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29, 2026</w:t>
      </w:r>
    </w:p>
    <w:p>
      <w:r>
        <w:t>Re: Lab Automation Specialist — Real</w:t>
      </w:r>
    </w:p>
    <w:p/>
    <w:p>
      <w:r>
        <w:t>Hi Real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team's focus on equipment lifecycle management and laboratory automation closely aligns with my technical background in regulated settings. Throughout my career, I have worked extensively with complex system specifications, data integrity standards, and cross-functional stakeholders to ensure reliable technical operations. I am comfortable bridging the gap between operational needs and technical execution, making sure that systems remain compliant and efficient.</w:t>
      </w:r>
    </w:p>
    <w:p>
      <w:r>
        <w:t>I would welcome the opportunity to bring my analytical problem-solving skills and experience with system workflows to the TDS Analytical Development organization.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2026-09-29T11:26:42Z</dcterms:created>
  <dcterms:modified xsi:type="dcterms:W3CDTF">2026-09-29T11:52:39Z</dcterms:modified>
  <cp:category/>
  <cp:contentStatus/>
</cp:coreProperties>
</file>