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12, 2026</w:t>
      </w:r>
    </w:p>
    <w:p>
      <w:r>
        <w:t>Re: Senior DevOps Engineer — ThreatFabric</w:t>
      </w:r>
    </w:p>
    <w:p/>
    <w:p>
      <w:r>
        <w:t>Hi ThreatFabric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bring extensive experience in managing cloud environments, CI/CD pipelines, and infrastructure using AWS, Terraform, and Jenkins. In my recent roles, I have focused on building scalable frameworks, supporting software delivery lifecycles, and improving release stability for financial clients. I have also used tools like Gemini Code Assist to streamline deployment scripts and improve testing efficiency.</w:t>
      </w:r>
    </w:p>
    <w:p>
      <w:r>
        <w:t>Your work protecting banks and users against cybercrime aligns with my background in regulated financial sectors. I am comfortable handling infrastructure tasks, troubleshooting deployments, and collaborating with development teams to maintain system reliability.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2026-10-12T13:09:47Z</dcterms:created>
  <dcterms:modified xsi:type="dcterms:W3CDTF">2026-10-12T14:01:31Z</dcterms:modified>
  <cp:category/>
  <cp:contentStatus/>
</cp:coreProperties>
</file>