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04, 2026</w:t>
      </w:r>
    </w:p>
    <w:p>
      <w:r>
        <w:t>Re: Technical Services Specialist - Math — Gaming Laboratories International, LLC</w:t>
      </w:r>
    </w:p>
    <w:p/>
    <w:p>
      <w:r>
        <w:t>Hi Gaming Laboratories International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Technical Services Specialist caught my eye because it relies heavily on close attention to detail, thorough documentation checks, and verifying system components against standards. Throughout my career in quality assurance, I have spent years reviewing test evidence, tracking project requirements, and ensuring that every deliverable meets precise specifications before release. I also use tools like Gemini Code Assist to help streamline my review and testing workflows.</w:t>
      </w:r>
    </w:p>
    <w:p>
      <w:r>
        <w:t>I am comfortable communicating findings clearly to engineers and stakeholders, and I appreciate the focus your team places on accuracy in certification processes.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2026-09-04T10:32:53Z</dcterms:created>
  <dcterms:modified xsi:type="dcterms:W3CDTF">2026-09-04T11:05:25Z</dcterms:modified>
  <cp:category/>
  <cp:contentStatus/>
</cp:coreProperties>
</file>