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01, 2026</w:t>
      </w:r>
    </w:p>
    <w:p>
      <w:r>
        <w:t>Re: Technical Services Specialist - Math — Gaming Laboratories International, LLC</w:t>
      </w:r>
    </w:p>
    <w:p/>
    <w:p>
      <w:r>
        <w:t>Hi Gaming Laboratories International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 Technical Services Specialist caught my eye because it relies heavily on careful review work, documentation, and attention to detail. Throughout my career in quality assurance, I have spent a lot of time reviewing technical evidence, checking system specifications, and making sure that deliverables match exact requirements before release. I am comfortable working with internal tracking tools, writing clear deficiency notes, and verifying components against strict guidelines.</w:t>
      </w:r>
    </w:p>
    <w:p>
      <w:r>
        <w:t>I appreciate the care Gaming Laboratories International puts into its certification processes and client delivery.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2026-10-01T11:50:03Z</dcterms:created>
  <dcterms:modified xsi:type="dcterms:W3CDTF">2026-10-01T12:08:03Z</dcterms:modified>
  <cp:category/>
  <cp:contentStatus/>
</cp:coreProperties>
</file>