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14, 2026</w:t>
      </w:r>
    </w:p>
    <w:p>
      <w:r>
        <w:t>Re: Lead engineer Applicatiebeheer — Booston.io</w:t>
      </w:r>
    </w:p>
    <w:p/>
    <w:p>
      <w:r>
        <w:t>Hi Rhobin Brander,</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a lead engineer caught my attention because it involves technical coordination, platform reliability, and automation. Throughout my career, I have focused on building scalable automation frameworks, configuring CI/CD pipelines, and streamlining deployment processes. I have experience working with various system components and ensuring that releases run smoothly without interrupting day-to-day operations. When working on projects, I enjoy digging into the technical details while keeping the end goals of the team in mind.</w:t>
      </w:r>
    </w:p>
    <w:p>
      <w:r>
        <w:t>I have also explored ways to improve efficiency through modern tooling, such as utilizing Gemini Code Assist to streamline test generation and deployment scripts. Working with Booston.io to support the service management platform and help maintain reliable digital services seems like a practical fit for my background in automation and quality assurance.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2026-09-14T12:09:51Z</dcterms:created>
  <dcterms:modified xsi:type="dcterms:W3CDTF">2026-09-14T12:28:01Z</dcterms:modified>
  <cp:category/>
  <cp:contentStatus/>
</cp:coreProperties>
</file>