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22, 2026</w:t>
      </w:r>
    </w:p>
    <w:p>
      <w:r>
        <w:t>Re: Software Engineering Intern Test Impact Analysis — ASML</w:t>
      </w:r>
    </w:p>
    <w:p/>
    <w:p>
      <w:r>
        <w:t>Hi ASML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internship focused on Test Impact Analysis within the Motion Control department aligns closely with my background in QA automation and CI/CD pipeline management. In my recent work, I have focused on optimizing test execution processes and integrating automated test builds within continuous delivery environments. I have also used AI tools like Gemini Code Assist to streamline test generation and make the development cycle more efficient.</w:t>
      </w:r>
    </w:p>
    <w:p>
      <w:r>
        <w:t>I bring strong analytical skills and experience collaborating with technical stakeholders to investigate testing bottlenecks and implement practical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2026-10-22T10:26:44Z</dcterms:created>
  <dcterms:modified xsi:type="dcterms:W3CDTF">2026-10-22T10:56:29Z</dcterms:modified>
  <cp:category/>
  <cp:contentStatus/>
</cp:coreProperties>
</file>