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Head of AI Support Product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building scalable automation frameworks and optimizing processes for regulated financial clients. Proficient in integrating AI tooling like Gemini Code Assist and deploying continuous testing frameworks using Java, Selenium, and Playwright TypeScript. Bringing strong cross-functional stakeholder management and a valid EU residence permit, ready to contribute locally in Amsterdam.</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Streamlined complex test generation and deployment scripts utilizing AI tools like Gemini Code Assist within financial services environments.</w:t>
      </w:r>
    </w:p>
    <w:p>
      <w:pPr>
        <w:spacing w:before="0" w:after="20"/>
      </w:pPr>
      <w:r>
        <w:rPr>
          <w:rFonts w:ascii="Calibri" w:hAnsi="Calibri"/>
          <w:b w:val="0"/>
          <w:sz w:val="18"/>
        </w:rPr>
        <w:t>▸ Migrated SeleniumJava frameworks to Playwright TypeScript for critical credit limit and rating analysis endtoend workflows, boosting execution efficiency by 20%.</w:t>
      </w:r>
    </w:p>
    <w:p>
      <w:pPr>
        <w:spacing w:before="0" w:after="20"/>
      </w:pPr>
      <w:r>
        <w:rPr>
          <w:rFonts w:ascii="Calibri" w:hAnsi="Calibri"/>
          <w:b w:val="0"/>
          <w:sz w:val="18"/>
        </w:rPr>
        <w:t>▸ Collaborated closely with SRE and product teams to translate business requirements into technical testing strategies and reduce defect leakage.</w:t>
      </w:r>
    </w:p>
    <w:p>
      <w:pPr>
        <w:spacing w:before="0" w:after="20"/>
      </w:pPr>
      <w:r>
        <w:rPr>
          <w:rFonts w:ascii="Calibri" w:hAnsi="Calibri"/>
          <w:b w:val="0"/>
          <w:sz w:val="18"/>
        </w:rPr>
        <w:t>▸ Executed complex backend data validation across massive datasets using Oracle SQL to ensure strict data integrity and compliance in regulated banking workflows.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