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16, 2026</w:t>
      </w:r>
    </w:p>
    <w:p>
      <w:r>
        <w:t>Re: Senior Risk Specialist Quality Management — ASN Bank</w:t>
      </w:r>
    </w:p>
    <w:p/>
    <w:p>
      <w:r>
        <w:t>Hi Vera Reidinga,</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At ASN Bank, your focus on strengthening the Second Line NFR framework and improving testing methodologies matches my background in banking QA. In my recent role at Tata Consultancy Services, I worked on test automation, data validation, and process optimization for financial clients. I also used Gemini Code Assist to streamline test generation scripts.</w:t>
      </w:r>
    </w:p>
    <w:p>
      <w:r>
        <w:t>I bring hands-on experience in defining test coverage, managing defect processes, and aligning technical testing strategies with business needs. Your work in risk management and continuous assurance fits well with my background in quality engineering.</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2026-10-16T10:19:01Z</dcterms:created>
  <dcterms:modified xsi:type="dcterms:W3CDTF">2026-10-16T10:30:16Z</dcterms:modified>
  <cp:category/>
  <cp:contentStatus/>
</cp:coreProperties>
</file>