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25, 2026</w:t>
      </w:r>
    </w:p>
    <w:p>
      <w:r>
        <w:t>Re: Technisch Applicatiespecialist — Royal De Heus</w:t>
      </w:r>
    </w:p>
    <w:p/>
    <w:p>
      <w:r>
        <w:t>Hi Laurens Heideveld,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the Technisch Applicatiespecialist role at Royal De Heus because of your focus on managing and improving a diverse application landscape and system integrations. Throughout my career, I have spent a lot of time digging into technical systems, analyzing how different applications work together, and troubleshooting complex issues. I enjoy working hands-on with technology and collaborating with colleagues to make sure systems run smoothly.</w:t>
      </w:r>
    </w:p>
    <w:p>
      <w:r>
        <w:t>Your work in the food production and distribution sector involves important processes that rely heavily on stable IT systems. I am comfortable analyzing system behavior, working with data flows, and communicating clearly with both technical specialists and everyday users to solve problems.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2026-10-25T09:47:23Z</dcterms:created>
  <dcterms:modified xsi:type="dcterms:W3CDTF">2026-10-25T10:29:34Z</dcterms:modified>
  <cp:category/>
  <cp:contentStatus/>
</cp:coreProperties>
</file>