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05, 2026</w:t>
      </w:r>
    </w:p>
    <w:p>
      <w:r>
        <w:t>Re: Quality Assurance Specialist — Achmea</w:t>
      </w:r>
    </w:p>
    <w:p/>
    <w:p>
      <w:r>
        <w:t>Hi Achmea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In my previous roles within the banking sector, I have focused heavily on quality assurance, data integrity, and structured reviews. I understand the importance of maintaining clear control frameworks and ensuring processes align with regulatory standards. My background includes analyzing complex workflows and translating findings into practical improvements.</w:t>
      </w:r>
    </w:p>
    <w:p>
      <w:r>
        <w:t>I have also used tools like Gemini Code Assist in my daily work to streamline test generation and support efficient delivery. Working within the KYC Centre at Achmea appeals to me because of the clear focus on risk management and continuous improvement.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2026-09-05T09:49:11Z</dcterms:created>
  <dcterms:modified xsi:type="dcterms:W3CDTF">2026-09-05T10:26:30Z</dcterms:modified>
  <cp:category/>
  <cp:contentStatus/>
</cp:coreProperties>
</file>