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21, 2026</w:t>
      </w:r>
    </w:p>
    <w:p>
      <w:r>
        <w:t>Re: Software Engineering Thesis Intern — ASML</w:t>
      </w:r>
    </w:p>
    <w:p/>
    <w:p>
      <w:r>
        <w:t>Hi ASML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observability-driven synthetic contract testing caught my attention because it addresses the core challenge of validating distributed service integrations. In my previous roles, I have worked extensively with backend data validation, CI/CD pipelines, and test automation frameworks. I also use tools like Gemini Code Assist to streamline test generation, which fits well with exploring innovative validation approaches. I am comfortable working independently and would enjoy contributing to your platform engineering efforts.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2026-10-21T10:34:58Z</dcterms:created>
  <dcterms:modified xsi:type="dcterms:W3CDTF">2026-10-21T10:53:24Z</dcterms:modified>
  <cp:category/>
  <cp:contentStatus/>
</cp:coreProperties>
</file>