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Open, 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77777777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&lt;DocumentName&gt;.doc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7777777" w:rsidR="000A4F19" w:rsidRDefault="000A4F19" w:rsidP="00DF3BA9">
            <w:pPr>
              <w:rPr>
                <w:sz w:val="16"/>
              </w:rPr>
            </w:pP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>
      <w:bookmarkStart w:id="0" w:name="_GoBack"/>
      <w:bookmarkEnd w:id="0"/>
    </w:p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77777777" w:rsidR="00FC2CB6" w:rsidRPr="0006008D" w:rsidRDefault="00FC2CB6" w:rsidP="00DF3BA9"/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77777777" w:rsidR="00FC2CB6" w:rsidRPr="0006008D" w:rsidRDefault="00FC2CB6" w:rsidP="00DF3BA9"/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 xml:space="preserve">Are all operations described in an adequate detail and with the adequate </w:t>
            </w:r>
            <w:r w:rsidRPr="00F807D7">
              <w:t>notation?</w:t>
            </w:r>
          </w:p>
        </w:tc>
        <w:tc>
          <w:tcPr>
            <w:tcW w:w="850" w:type="dxa"/>
          </w:tcPr>
          <w:p w14:paraId="4EAA51EA" w14:textId="77777777" w:rsidR="00FC2CB6" w:rsidRPr="0006008D" w:rsidRDefault="00FC2CB6" w:rsidP="00DF3BA9"/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77777777" w:rsidR="00FC2CB6" w:rsidRPr="0006008D" w:rsidRDefault="00FC2CB6" w:rsidP="00DF3BA9"/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pubilc data, the data </w:t>
            </w:r>
            <w:proofErr w:type="gramStart"/>
            <w:r w:rsidRPr="00F807D7">
              <w:t>has to</w:t>
            </w:r>
            <w:proofErr w:type="gramEnd"/>
            <w:r w:rsidRPr="00F807D7">
              <w:t xml:space="preserve"> be private)</w:t>
            </w:r>
          </w:p>
        </w:tc>
        <w:tc>
          <w:tcPr>
            <w:tcW w:w="850" w:type="dxa"/>
          </w:tcPr>
          <w:p w14:paraId="24906811" w14:textId="77777777" w:rsidR="00FC2CB6" w:rsidRPr="0006008D" w:rsidRDefault="00FC2CB6" w:rsidP="00DF3BA9"/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77777777" w:rsidR="00FC2CB6" w:rsidRPr="0006008D" w:rsidRDefault="00FC2CB6" w:rsidP="00DF3BA9"/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77777777" w:rsidR="00FC2CB6" w:rsidRPr="0006008D" w:rsidRDefault="00FC2CB6" w:rsidP="00DF3BA9"/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77777777" w:rsidR="00FC2CB6" w:rsidRPr="0006008D" w:rsidRDefault="00FC2CB6" w:rsidP="00DF3BA9"/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77777777" w:rsidR="00FC2CB6" w:rsidRPr="0006008D" w:rsidRDefault="00FC2CB6" w:rsidP="00DF3BA9"/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 xml:space="preserve">(If the state variable needs to be visible from another module (to be avoided), indicate it in the design and use the mechanism of </w:t>
            </w:r>
            <w:r w:rsidRPr="00F807D7">
              <w:t>read copy</w:t>
            </w:r>
            <w:r w:rsidRPr="00F807D7">
              <w:t xml:space="preserve"> on that variable).</w:t>
            </w:r>
          </w:p>
        </w:tc>
        <w:tc>
          <w:tcPr>
            <w:tcW w:w="850" w:type="dxa"/>
          </w:tcPr>
          <w:p w14:paraId="493C1A85" w14:textId="77777777" w:rsidR="00FC2CB6" w:rsidRPr="0006008D" w:rsidRDefault="00FC2CB6" w:rsidP="00DF3BA9"/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77777777" w:rsidR="00FC2CB6" w:rsidRPr="0006008D" w:rsidRDefault="00FC2CB6" w:rsidP="00DF3BA9"/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77777777" w:rsidR="00FC2CB6" w:rsidRPr="0006008D" w:rsidRDefault="00FC2CB6" w:rsidP="00DF3BA9"/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Diaz, Carlos02</cp:lastModifiedBy>
  <cp:revision>10</cp:revision>
  <dcterms:created xsi:type="dcterms:W3CDTF">2020-12-17T04:39:00Z</dcterms:created>
  <dcterms:modified xsi:type="dcterms:W3CDTF">2020-12-17T05:02:00Z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