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5A308E" w:rsidR="00FF7C89" w:rsidRDefault="00000000" w14:paraId="75824F46" w14:textId="4D938C57" w14:noSpellErr="1">
      <w:pPr>
        <w:pStyle w:val="Ttulo1"/>
      </w:pPr>
      <w:bookmarkStart w:name="X7fe6f842ca8c985c3ce613bc1fefa176fea2c67" w:id="0"/>
      <w:r w:rsidRPr="21AA216C" w:rsidR="00000000">
        <w:rPr>
          <w:lang w:val="es-ES"/>
        </w:rPr>
        <w:t>IAbility</w:t>
      </w:r>
      <w:r w:rsidRPr="21AA216C" w:rsidR="00000000">
        <w:rPr>
          <w:lang w:val="es-ES"/>
        </w:rPr>
        <w:t xml:space="preserve">: Solución Integral para la </w:t>
      </w:r>
      <w:r w:rsidRPr="21AA216C" w:rsidR="005A308E">
        <w:rPr>
          <w:lang w:val="es-ES"/>
        </w:rPr>
        <w:t xml:space="preserve">Formación, </w:t>
      </w:r>
      <w:r w:rsidRPr="21AA216C" w:rsidR="00000000">
        <w:rPr>
          <w:lang w:val="es-ES"/>
        </w:rPr>
        <w:t>Concienciación y Adopción de la Inteligencia Artificial</w:t>
      </w:r>
    </w:p>
    <w:p w:rsidRPr="005A308E" w:rsidR="00FF7C89" w:rsidRDefault="00000000" w14:paraId="2328314F" w14:textId="77777777" w14:noSpellErr="1">
      <w:pPr>
        <w:pStyle w:val="Ttulo2"/>
      </w:pPr>
      <w:bookmarkStart w:name="X44ee43af05094c7679a87c2a0cc765144cd08c5" w:id="1"/>
      <w:r w:rsidRPr="21AA216C" w:rsidR="00000000">
        <w:rPr>
          <w:lang w:val="es-ES"/>
        </w:rPr>
        <w:t xml:space="preserve">El Universo </w:t>
      </w:r>
      <w:r w:rsidRPr="21AA216C" w:rsidR="00000000">
        <w:rPr>
          <w:lang w:val="es-ES"/>
        </w:rPr>
        <w:t>IAbility</w:t>
      </w:r>
      <w:r w:rsidRPr="21AA216C" w:rsidR="00000000">
        <w:rPr>
          <w:lang w:val="es-ES"/>
        </w:rPr>
        <w:t>: Una Metáfora Inspiradora</w:t>
      </w:r>
    </w:p>
    <w:p w:rsidRPr="005A308E" w:rsidR="00FF7C89" w:rsidRDefault="00000000" w14:paraId="57F8675C" w14:textId="77777777" w14:noSpellErr="1">
      <w:pPr>
        <w:pStyle w:val="FirstParagraph"/>
      </w:pPr>
      <w:r w:rsidRPr="21AA216C" w:rsidR="00000000">
        <w:rPr>
          <w:lang w:val="es-ES"/>
        </w:rPr>
        <w:t xml:space="preserve">Año 2034. La sociedad ha cedido su libertad a </w:t>
      </w:r>
      <w:r w:rsidRPr="21AA216C" w:rsidR="00000000">
        <w:rPr>
          <w:lang w:val="es-ES"/>
        </w:rPr>
        <w:t>Tyran</w:t>
      </w:r>
      <w:r w:rsidRPr="21AA216C" w:rsidR="00000000">
        <w:rPr>
          <w:lang w:val="es-ES"/>
        </w:rPr>
        <w:t>, una superinteligencia artificial que ahora decide todos los aspectos de la vida humana. Para combatir esta distopía, tres rebeldes conocidos como los “</w:t>
      </w:r>
      <w:r w:rsidRPr="21AA216C" w:rsidR="00000000">
        <w:rPr>
          <w:lang w:val="es-ES"/>
        </w:rPr>
        <w:t>GuardIAnes</w:t>
      </w:r>
      <w:r w:rsidRPr="21AA216C" w:rsidR="00000000">
        <w:rPr>
          <w:lang w:val="es-ES"/>
        </w:rPr>
        <w:t>” —Sierra, Rai y VRO— viajan al pasado a través de portales temporales con la misión de corregir las decisiones erróneas que llevaron a este futuro. Su objetivo: enseñar a las personas a utilizar la inteligencia artificial de manera Segura, Ética y Responsable (el “Mantra SER”), modificando así el curso de la historia y devolviendo a la humanidad su libertad de elección.</w:t>
      </w:r>
    </w:p>
    <w:p w:rsidRPr="005A308E" w:rsidR="00FF7C89" w:rsidRDefault="00000000" w14:paraId="6FA20F15" w14:textId="77777777" w14:noSpellErr="1">
      <w:pPr>
        <w:pStyle w:val="Textoindependiente"/>
      </w:pPr>
      <w:r w:rsidRPr="21AA216C" w:rsidR="00000000">
        <w:rPr>
          <w:lang w:val="es-ES"/>
        </w:rPr>
        <w:t xml:space="preserve">Esta narrativa inmersiva sirve como poderoso marco conceptual para nuestra solución, transformando un proceso técnico de formación en una aventura memorable donde los participantes se convierten en aliados de los </w:t>
      </w:r>
      <w:r w:rsidRPr="21AA216C" w:rsidR="00000000">
        <w:rPr>
          <w:lang w:val="es-ES"/>
        </w:rPr>
        <w:t>GuardIAnes</w:t>
      </w:r>
      <w:r w:rsidRPr="21AA216C" w:rsidR="00000000">
        <w:rPr>
          <w:lang w:val="es-ES"/>
        </w:rPr>
        <w:t xml:space="preserve"> en su misión por asegurar un futuro donde la IA esté al servicio de las personas, y no al revés.</w:t>
      </w:r>
    </w:p>
    <w:p w:rsidRPr="005A308E" w:rsidR="00FF7C89" w:rsidRDefault="00000000" w14:paraId="37299097" w14:textId="77777777">
      <w:pPr>
        <w:pStyle w:val="Ttulo2"/>
      </w:pPr>
      <w:bookmarkStart w:name="descripción-general" w:id="2"/>
      <w:bookmarkEnd w:id="1"/>
      <w:r w:rsidRPr="005A308E">
        <w:t>Descripción General</w:t>
      </w:r>
    </w:p>
    <w:p w:rsidRPr="005A308E" w:rsidR="00FF7C89" w:rsidRDefault="00000000" w14:paraId="509CC35A" w14:textId="77777777" w14:noSpellErr="1">
      <w:pPr>
        <w:pStyle w:val="FirstParagraph"/>
      </w:pPr>
      <w:r w:rsidRPr="21AA216C" w:rsidR="00000000">
        <w:rPr>
          <w:lang w:val="es-ES"/>
        </w:rPr>
        <w:t>IAbility</w:t>
      </w:r>
      <w:r w:rsidRPr="21AA216C" w:rsidR="00000000">
        <w:rPr>
          <w:lang w:val="es-ES"/>
        </w:rPr>
        <w:t xml:space="preserve"> es una solución digital completa diseñada para transformar la cultura organizacional en torno a la Inteligencia Artificial, permitiendo a las empresas adoptar esta tecnología de manera segura, ética y eficaz. Desarrollada por </w:t>
      </w:r>
      <w:r w:rsidRPr="21AA216C" w:rsidR="00000000">
        <w:rPr>
          <w:lang w:val="es-ES"/>
        </w:rPr>
        <w:t>Entelgy</w:t>
      </w:r>
      <w:r w:rsidRPr="21AA216C" w:rsidR="00000000">
        <w:rPr>
          <w:lang w:val="es-ES"/>
        </w:rPr>
        <w:t xml:space="preserve">, esta solución innovadora combina </w:t>
      </w:r>
      <w:r w:rsidRPr="21AA216C" w:rsidR="00000000">
        <w:rPr>
          <w:lang w:val="es-ES"/>
        </w:rPr>
        <w:t>storytelling</w:t>
      </w:r>
      <w:r w:rsidRPr="21AA216C" w:rsidR="00000000">
        <w:rPr>
          <w:lang w:val="es-ES"/>
        </w:rPr>
        <w:t xml:space="preserve"> inmersivo y gamificación para cambiar comportamientos y crear una cultura digital sólida que maximiza los beneficios de la IA mientras mitiga sus riesgos asociados.</w:t>
      </w:r>
    </w:p>
    <w:p w:rsidRPr="005A308E" w:rsidR="00FF7C89" w:rsidRDefault="00000000" w14:paraId="28FF2D03" w14:textId="77777777" w14:noSpellErr="1">
      <w:pPr>
        <w:pStyle w:val="Textoindependiente"/>
      </w:pPr>
      <w:r w:rsidRPr="21AA216C" w:rsidR="00000000">
        <w:rPr>
          <w:lang w:val="es-ES"/>
        </w:rPr>
        <w:t xml:space="preserve">A diferencia de otras soluciones formativas tradicionales, </w:t>
      </w:r>
      <w:r w:rsidRPr="21AA216C" w:rsidR="00000000">
        <w:rPr>
          <w:lang w:val="es-ES"/>
        </w:rPr>
        <w:t>IAbility</w:t>
      </w:r>
      <w:r w:rsidRPr="21AA216C" w:rsidR="00000000">
        <w:rPr>
          <w:lang w:val="es-ES"/>
        </w:rPr>
        <w:t xml:space="preserve"> ofrece un enfoque integral de “lluvia fina” que requiere solo 10 minutos semanales de cada empleado, minimizando la interrupción del flujo de trabajo mientras construye conocimiento de manera progresiva y sostenible.</w:t>
      </w:r>
    </w:p>
    <w:p w:rsidRPr="005A308E" w:rsidR="00FF7C89" w:rsidP="21AA216C" w:rsidRDefault="00000000" w14:paraId="606E9358" w14:textId="77777777" w14:noSpellErr="1">
      <w:pPr>
        <w:pStyle w:val="Ttulo2"/>
        <w:rPr>
          <w:lang w:val="es-ES"/>
        </w:rPr>
      </w:pPr>
      <w:bookmarkStart w:name="componentes-del-ecosistema-iability" w:id="3"/>
      <w:bookmarkEnd w:id="2"/>
      <w:r w:rsidRPr="21AA216C" w:rsidR="00000000">
        <w:rPr>
          <w:lang w:val="es-ES"/>
        </w:rPr>
        <w:t xml:space="preserve">Componentes del Ecosistema </w:t>
      </w:r>
      <w:r w:rsidRPr="21AA216C" w:rsidR="00000000">
        <w:rPr>
          <w:lang w:val="es-ES"/>
        </w:rPr>
        <w:t>IAbility</w:t>
      </w:r>
    </w:p>
    <w:p w:rsidRPr="005A308E" w:rsidR="00FF7C89" w:rsidP="21AA216C" w:rsidRDefault="00000000" w14:paraId="0D178D36" w14:textId="77777777" w14:noSpellErr="1">
      <w:pPr>
        <w:pStyle w:val="Ttulo3"/>
        <w:rPr>
          <w:lang w:val="es-ES"/>
        </w:rPr>
      </w:pPr>
      <w:bookmarkStart w:name="evaluación-iability-readiness" w:id="4"/>
      <w:r w:rsidRPr="21AA216C" w:rsidR="00000000">
        <w:rPr>
          <w:lang w:val="es-ES"/>
        </w:rPr>
        <w:t xml:space="preserve">1. EVALUACIÓN: </w:t>
      </w:r>
      <w:r w:rsidRPr="21AA216C" w:rsidR="00000000">
        <w:rPr>
          <w:lang w:val="es-ES"/>
        </w:rPr>
        <w:t>IAbility</w:t>
      </w:r>
      <w:r w:rsidRPr="21AA216C" w:rsidR="00000000">
        <w:rPr>
          <w:lang w:val="es-ES"/>
        </w:rPr>
        <w:t xml:space="preserve"> </w:t>
      </w:r>
      <w:r w:rsidRPr="21AA216C" w:rsidR="00000000">
        <w:rPr>
          <w:lang w:val="es-ES"/>
        </w:rPr>
        <w:t>Readiness</w:t>
      </w:r>
    </w:p>
    <w:p w:rsidRPr="005A308E" w:rsidR="00FF7C89" w:rsidRDefault="00000000" w14:paraId="5B90F5DB" w14:textId="77777777">
      <w:pPr>
        <w:pStyle w:val="FirstParagraph"/>
      </w:pPr>
      <w:r w:rsidRPr="005A308E">
        <w:t>El proceso comienza con una evaluación diagnóstica que mide el nivel actual de conocimiento y la percepción emocional sobre IA de cada empleado, permitiendo:</w:t>
      </w:r>
    </w:p>
    <w:p w:rsidRPr="005A308E" w:rsidR="00FF7C89" w:rsidRDefault="00000000" w14:paraId="6334B6F6" w14:textId="77777777">
      <w:pPr>
        <w:pStyle w:val="Compact"/>
        <w:numPr>
          <w:ilvl w:val="0"/>
          <w:numId w:val="2"/>
        </w:numPr>
      </w:pPr>
      <w:r w:rsidRPr="005A308E">
        <w:rPr>
          <w:b/>
          <w:bCs/>
        </w:rPr>
        <w:t>Clasificación personalizada</w:t>
      </w:r>
      <w:r w:rsidRPr="005A308E">
        <w:t>: Segmentación del personal en diferentes niveles de familiaridad con la IA (desde noveles hasta expertos).</w:t>
      </w:r>
    </w:p>
    <w:p w:rsidRPr="005A308E" w:rsidR="00FF7C89" w:rsidRDefault="00000000" w14:paraId="785BE47D" w14:textId="77777777">
      <w:pPr>
        <w:pStyle w:val="Compact"/>
        <w:numPr>
          <w:ilvl w:val="0"/>
          <w:numId w:val="2"/>
        </w:numPr>
      </w:pPr>
      <w:r w:rsidRPr="005A308E">
        <w:rPr>
          <w:b/>
          <w:bCs/>
        </w:rPr>
        <w:lastRenderedPageBreak/>
        <w:t>Mapeo organizacional</w:t>
      </w:r>
      <w:r w:rsidRPr="005A308E">
        <w:t>: Identificación de áreas de fortaleza y oportunidades de mejora.</w:t>
      </w:r>
    </w:p>
    <w:p w:rsidRPr="005A308E" w:rsidR="00FF7C89" w:rsidRDefault="00000000" w14:paraId="7859898A" w14:textId="77777777">
      <w:pPr>
        <w:pStyle w:val="Compact"/>
        <w:numPr>
          <w:ilvl w:val="0"/>
          <w:numId w:val="2"/>
        </w:numPr>
      </w:pPr>
      <w:r w:rsidRPr="005A308E">
        <w:rPr>
          <w:b/>
          <w:bCs/>
        </w:rPr>
        <w:t>Línea base medible</w:t>
      </w:r>
      <w:r w:rsidRPr="005A308E">
        <w:t>: Establecimiento de un punto de partida para evaluar el progreso durante el programa.</w:t>
      </w:r>
    </w:p>
    <w:p w:rsidRPr="005A308E" w:rsidR="00FF7C89" w:rsidRDefault="00000000" w14:paraId="1DFE762F" w14:textId="77777777">
      <w:pPr>
        <w:pStyle w:val="Compact"/>
        <w:numPr>
          <w:ilvl w:val="0"/>
          <w:numId w:val="2"/>
        </w:numPr>
      </w:pPr>
      <w:r w:rsidRPr="005A308E">
        <w:rPr>
          <w:b/>
          <w:bCs/>
        </w:rPr>
        <w:t>Personalización del recorrido</w:t>
      </w:r>
      <w:r w:rsidRPr="005A308E">
        <w:t>: Adaptación del itinerario formativo según las necesidades específicas de cada perfil.</w:t>
      </w:r>
    </w:p>
    <w:p w:rsidRPr="005A308E" w:rsidR="00FF7C89" w:rsidRDefault="00000000" w14:paraId="4608B713" w14:textId="77777777">
      <w:pPr>
        <w:pStyle w:val="FirstParagraph"/>
      </w:pPr>
      <w:r w:rsidRPr="21AA216C" w:rsidR="00000000">
        <w:rPr>
          <w:lang w:val="es-ES"/>
        </w:rPr>
        <w:t xml:space="preserve">Esta evaluación inicial, con una duración máxima de 20 minutos, utiliza metodología ADKAR y competencias </w:t>
      </w:r>
      <w:r w:rsidRPr="21AA216C" w:rsidR="00000000">
        <w:rPr>
          <w:lang w:val="es-ES"/>
        </w:rPr>
        <w:t>DigComp</w:t>
      </w:r>
      <w:r w:rsidRPr="21AA216C" w:rsidR="00000000">
        <w:rPr>
          <w:lang w:val="es-ES"/>
        </w:rPr>
        <w:t>, generando un informe detallado que permite diseñar estrategias personalizadas para cada segmento de la organización.</w:t>
      </w:r>
    </w:p>
    <w:p w:rsidRPr="005A308E" w:rsidR="00FF7C89" w:rsidP="21AA216C" w:rsidRDefault="00000000" w14:paraId="5764311D" w14:textId="77777777">
      <w:pPr>
        <w:pStyle w:val="Ttulo3"/>
        <w:rPr>
          <w:lang w:val="es-ES"/>
        </w:rPr>
      </w:pPr>
      <w:bookmarkStart w:name="formación-iability-skills-iability-hub" w:id="5"/>
      <w:bookmarkEnd w:id="4"/>
      <w:r w:rsidRPr="21AA216C" w:rsidR="00000000">
        <w:rPr>
          <w:lang w:val="es-ES"/>
        </w:rPr>
        <w:t xml:space="preserve">2. FORMACIÓN: </w:t>
      </w:r>
      <w:r w:rsidRPr="21AA216C" w:rsidR="00000000">
        <w:rPr>
          <w:lang w:val="es-ES"/>
        </w:rPr>
        <w:t>IAbility</w:t>
      </w:r>
      <w:r w:rsidRPr="21AA216C" w:rsidR="00000000">
        <w:rPr>
          <w:lang w:val="es-ES"/>
        </w:rPr>
        <w:t xml:space="preserve"> </w:t>
      </w:r>
      <w:r w:rsidRPr="21AA216C" w:rsidR="00000000">
        <w:rPr>
          <w:lang w:val="es-ES"/>
        </w:rPr>
        <w:t>Skills</w:t>
      </w:r>
      <w:r w:rsidRPr="21AA216C" w:rsidR="00000000">
        <w:rPr>
          <w:lang w:val="es-ES"/>
        </w:rPr>
        <w:t xml:space="preserve"> + </w:t>
      </w:r>
      <w:r w:rsidRPr="21AA216C" w:rsidR="00000000">
        <w:rPr>
          <w:lang w:val="es-ES"/>
        </w:rPr>
        <w:t>IAbility</w:t>
      </w:r>
      <w:r w:rsidRPr="21AA216C" w:rsidR="00000000">
        <w:rPr>
          <w:lang w:val="es-ES"/>
        </w:rPr>
        <w:t xml:space="preserve"> </w:t>
      </w:r>
      <w:r w:rsidRPr="21AA216C" w:rsidR="00000000">
        <w:rPr>
          <w:lang w:val="es-ES"/>
        </w:rPr>
        <w:t>Hub</w:t>
      </w:r>
    </w:p>
    <w:p w:rsidRPr="005A308E" w:rsidR="00FF7C89" w:rsidP="21AA216C" w:rsidRDefault="00000000" w14:paraId="39BCFDE0" w14:textId="77777777">
      <w:pPr>
        <w:pStyle w:val="Ttulo4"/>
        <w:rPr>
          <w:lang w:val="es-ES"/>
        </w:rPr>
      </w:pPr>
      <w:bookmarkStart w:name="iability-skills" w:id="6"/>
      <w:r w:rsidRPr="21AA216C" w:rsidR="00000000">
        <w:rPr>
          <w:lang w:val="es-ES"/>
        </w:rPr>
        <w:t>IAbility</w:t>
      </w:r>
      <w:r w:rsidRPr="21AA216C" w:rsidR="00000000">
        <w:rPr>
          <w:lang w:val="es-ES"/>
        </w:rPr>
        <w:t xml:space="preserve"> </w:t>
      </w:r>
      <w:r w:rsidRPr="21AA216C" w:rsidR="00000000">
        <w:rPr>
          <w:lang w:val="es-ES"/>
        </w:rPr>
        <w:t>Skills</w:t>
      </w:r>
    </w:p>
    <w:p w:rsidRPr="005A308E" w:rsidR="00FF7C89" w:rsidRDefault="00000000" w14:paraId="22645A23" w14:textId="77777777">
      <w:pPr>
        <w:pStyle w:val="FirstParagraph"/>
      </w:pPr>
      <w:r w:rsidRPr="005A308E">
        <w:t>Ofrece contenidos formativos estructurados en dos modalidades complementarias:</w:t>
      </w:r>
    </w:p>
    <w:p w:rsidRPr="005A308E" w:rsidR="005A308E" w:rsidRDefault="00000000" w14:paraId="25939B19" w14:textId="77777777">
      <w:pPr>
        <w:pStyle w:val="Textoindependiente"/>
      </w:pPr>
      <w:r w:rsidRPr="005A308E">
        <w:rPr>
          <w:b/>
          <w:bCs/>
        </w:rPr>
        <w:t>E-learning</w:t>
      </w:r>
      <w:r w:rsidRPr="005A308E">
        <w:t>: Tres cursos fundamentales que proporcionan la base de conocimiento necesaria:</w:t>
      </w:r>
    </w:p>
    <w:p w:rsidRPr="005A308E" w:rsidR="005A308E" w:rsidP="005A308E" w:rsidRDefault="00000000" w14:paraId="02AB81FC" w14:textId="0BB45BE4">
      <w:pPr>
        <w:pStyle w:val="Compact"/>
        <w:numPr>
          <w:ilvl w:val="0"/>
          <w:numId w:val="2"/>
        </w:numPr>
      </w:pPr>
      <w:r w:rsidRPr="005A308E">
        <w:rPr>
          <w:b/>
          <w:bCs/>
        </w:rPr>
        <w:t>“¿Qué esconde la IA</w:t>
      </w:r>
      <w:r w:rsidRPr="005A308E">
        <w:t xml:space="preserve">?”: Fundamentos, alcance y responsabilidad en el uso de la IA. </w:t>
      </w:r>
    </w:p>
    <w:p w:rsidRPr="005A308E" w:rsidR="005A308E" w:rsidP="005A308E" w:rsidRDefault="00000000" w14:paraId="37214274" w14:textId="466838CE">
      <w:pPr>
        <w:pStyle w:val="Compact"/>
        <w:numPr>
          <w:ilvl w:val="0"/>
          <w:numId w:val="2"/>
        </w:numPr>
        <w:rPr>
          <w:b/>
          <w:bCs/>
        </w:rPr>
      </w:pPr>
      <w:r w:rsidRPr="005A308E">
        <w:rPr>
          <w:b/>
          <w:bCs/>
        </w:rPr>
        <w:t>“Aplica la IA en tu día a día”</w:t>
      </w:r>
      <w:r w:rsidRPr="005A308E">
        <w:t>: Herramientas prácticas, aplicaciones cotidianas y desafíos legales.</w:t>
      </w:r>
    </w:p>
    <w:p w:rsidRPr="005A308E" w:rsidR="005A308E" w:rsidP="005A308E" w:rsidRDefault="00000000" w14:paraId="56AD9AB1" w14:textId="0389364E">
      <w:pPr>
        <w:pStyle w:val="Compact"/>
        <w:numPr>
          <w:ilvl w:val="0"/>
          <w:numId w:val="2"/>
        </w:numPr>
        <w:rPr/>
      </w:pPr>
      <w:r w:rsidRPr="21AA216C" w:rsidR="00000000">
        <w:rPr>
          <w:b w:val="1"/>
          <w:bCs w:val="1"/>
          <w:lang w:val="es-ES"/>
        </w:rPr>
        <w:t xml:space="preserve">“Conviértete en </w:t>
      </w:r>
      <w:r w:rsidRPr="21AA216C" w:rsidR="00000000">
        <w:rPr>
          <w:b w:val="1"/>
          <w:bCs w:val="1"/>
          <w:lang w:val="es-ES"/>
        </w:rPr>
        <w:t>prompt</w:t>
      </w:r>
      <w:r w:rsidRPr="21AA216C" w:rsidR="00000000">
        <w:rPr>
          <w:b w:val="1"/>
          <w:bCs w:val="1"/>
          <w:lang w:val="es-ES"/>
        </w:rPr>
        <w:t xml:space="preserve"> </w:t>
      </w:r>
      <w:r w:rsidRPr="21AA216C" w:rsidR="00000000">
        <w:rPr>
          <w:b w:val="1"/>
          <w:bCs w:val="1"/>
          <w:lang w:val="es-ES"/>
        </w:rPr>
        <w:t>engineer</w:t>
      </w:r>
      <w:r w:rsidRPr="21AA216C" w:rsidR="00000000">
        <w:rPr>
          <w:b w:val="1"/>
          <w:bCs w:val="1"/>
          <w:lang w:val="es-ES"/>
        </w:rPr>
        <w:t>”</w:t>
      </w:r>
      <w:r w:rsidRPr="21AA216C" w:rsidR="00000000">
        <w:rPr>
          <w:lang w:val="es-ES"/>
        </w:rPr>
        <w:t xml:space="preserve">: Desarrollo de habilidades técnicas para la construcción efectiva de </w:t>
      </w:r>
      <w:r w:rsidRPr="21AA216C" w:rsidR="00000000">
        <w:rPr>
          <w:lang w:val="es-ES"/>
        </w:rPr>
        <w:t>prompts</w:t>
      </w:r>
      <w:r w:rsidRPr="21AA216C" w:rsidR="00000000">
        <w:rPr>
          <w:lang w:val="es-ES"/>
        </w:rPr>
        <w:t>.</w:t>
      </w:r>
    </w:p>
    <w:p w:rsidRPr="005A308E" w:rsidR="005A308E" w:rsidRDefault="00000000" w14:paraId="71DFDCE0" w14:textId="77777777" w14:noSpellErr="1">
      <w:pPr>
        <w:pStyle w:val="Textoindependiente"/>
      </w:pPr>
      <w:r w:rsidRPr="21AA216C" w:rsidR="00000000">
        <w:rPr>
          <w:b w:val="1"/>
          <w:bCs w:val="1"/>
          <w:lang w:val="es-ES"/>
        </w:rPr>
        <w:t>Sesiones de concienciación</w:t>
      </w:r>
      <w:r w:rsidRPr="21AA216C" w:rsidR="00000000">
        <w:rPr>
          <w:lang w:val="es-ES"/>
        </w:rPr>
        <w:t xml:space="preserve">: </w:t>
      </w:r>
      <w:r w:rsidRPr="21AA216C" w:rsidR="00000000">
        <w:rPr>
          <w:lang w:val="es-ES"/>
        </w:rPr>
        <w:t>Webinars</w:t>
      </w:r>
      <w:r w:rsidRPr="21AA216C" w:rsidR="00000000">
        <w:rPr>
          <w:lang w:val="es-ES"/>
        </w:rPr>
        <w:t xml:space="preserve"> </w:t>
      </w:r>
      <w:r w:rsidRPr="21AA216C" w:rsidR="00000000">
        <w:rPr>
          <w:lang w:val="es-ES"/>
        </w:rPr>
        <w:t>gamificados</w:t>
      </w:r>
      <w:r w:rsidRPr="21AA216C" w:rsidR="00000000">
        <w:rPr>
          <w:lang w:val="es-ES"/>
        </w:rPr>
        <w:t xml:space="preserve"> y dinamizados, disponibles tanto en formato online como presencial: </w:t>
      </w:r>
    </w:p>
    <w:p w:rsidRPr="005A308E" w:rsidR="005A308E" w:rsidP="005A308E" w:rsidRDefault="00000000" w14:paraId="347BE2B1" w14:textId="6192E278">
      <w:pPr>
        <w:pStyle w:val="Compact"/>
        <w:numPr>
          <w:ilvl w:val="0"/>
          <w:numId w:val="2"/>
        </w:numPr>
        <w:rPr>
          <w:b/>
          <w:bCs/>
        </w:rPr>
      </w:pPr>
      <w:r w:rsidRPr="005A308E">
        <w:rPr>
          <w:b/>
          <w:bCs/>
        </w:rPr>
        <w:t>Sesiones específicas para directivos (90 min)</w:t>
      </w:r>
      <w:r w:rsidRPr="005A308E">
        <w:t xml:space="preserve">: Enfocadas en responsabilidad, impacto estratégico y gestión de riesgos. </w:t>
      </w:r>
    </w:p>
    <w:p w:rsidRPr="005A308E" w:rsidR="005A308E" w:rsidP="005A308E" w:rsidRDefault="00000000" w14:paraId="1890B655" w14:textId="5B06F25B">
      <w:pPr>
        <w:pStyle w:val="Compact"/>
        <w:numPr>
          <w:ilvl w:val="0"/>
          <w:numId w:val="2"/>
        </w:numPr>
        <w:rPr>
          <w:b/>
          <w:bCs/>
        </w:rPr>
      </w:pPr>
      <w:r w:rsidRPr="005A308E">
        <w:rPr>
          <w:b/>
          <w:bCs/>
        </w:rPr>
        <w:t>Sesiones para personal con puesto digital (90 min o 120 min)</w:t>
      </w:r>
      <w:r w:rsidRPr="005A308E">
        <w:t xml:space="preserve">: Adaptadas a diferentes niveles de conocimiento. </w:t>
      </w:r>
    </w:p>
    <w:p w:rsidRPr="005A308E" w:rsidR="00FF7C89" w:rsidP="005A308E" w:rsidRDefault="00000000" w14:paraId="588AF46B" w14:textId="348C61F4">
      <w:pPr>
        <w:pStyle w:val="Compact"/>
        <w:numPr>
          <w:ilvl w:val="0"/>
          <w:numId w:val="2"/>
        </w:numPr>
        <w:rPr>
          <w:b/>
          <w:bCs/>
        </w:rPr>
      </w:pPr>
      <w:r w:rsidRPr="005A308E">
        <w:rPr>
          <w:b/>
          <w:bCs/>
        </w:rPr>
        <w:t>Formación para formadores internos</w:t>
      </w:r>
      <w:r w:rsidRPr="005A308E">
        <w:t>: Kit completo para capacitar al equipo de formación interna que llevará el conocimiento al personal sin puesto digital.</w:t>
      </w:r>
    </w:p>
    <w:p w:rsidRPr="005A308E" w:rsidR="00FF7C89" w:rsidP="21AA216C" w:rsidRDefault="00000000" w14:paraId="65CF98B1" w14:textId="06219051" w14:noSpellErr="1">
      <w:pPr>
        <w:pStyle w:val="Ttulo4"/>
        <w:rPr>
          <w:lang w:val="es-ES"/>
        </w:rPr>
      </w:pPr>
      <w:bookmarkStart w:name="iability-hub" w:id="7"/>
      <w:bookmarkEnd w:id="6"/>
      <w:r w:rsidRPr="21AA216C" w:rsidR="00000000">
        <w:rPr>
          <w:lang w:val="es-ES"/>
        </w:rPr>
        <w:t>IAbility</w:t>
      </w:r>
      <w:r w:rsidRPr="21AA216C" w:rsidR="00000000">
        <w:rPr>
          <w:lang w:val="es-ES"/>
        </w:rPr>
        <w:t xml:space="preserve"> </w:t>
      </w:r>
      <w:r w:rsidRPr="21AA216C" w:rsidR="00000000">
        <w:rPr>
          <w:lang w:val="es-ES"/>
        </w:rPr>
        <w:t>Hub</w:t>
      </w:r>
      <w:r w:rsidRPr="21AA216C" w:rsidR="00D1378E">
        <w:rPr>
          <w:lang w:val="es-ES"/>
        </w:rPr>
        <w:t xml:space="preserve">: Explorando </w:t>
      </w:r>
      <w:r w:rsidRPr="21AA216C" w:rsidR="00D1378E">
        <w:rPr>
          <w:lang w:val="es-ES"/>
        </w:rPr>
        <w:t xml:space="preserve">el Mundo de los </w:t>
      </w:r>
      <w:r w:rsidRPr="21AA216C" w:rsidR="00D1378E">
        <w:rPr>
          <w:lang w:val="es-ES"/>
        </w:rPr>
        <w:t>GuardIAn</w:t>
      </w:r>
      <w:r w:rsidRPr="21AA216C" w:rsidR="006E13E5">
        <w:rPr>
          <w:lang w:val="es-ES"/>
        </w:rPr>
        <w:t>e</w:t>
      </w:r>
      <w:r w:rsidRPr="21AA216C" w:rsidR="00D1378E">
        <w:rPr>
          <w:lang w:val="es-ES"/>
        </w:rPr>
        <w:t>s</w:t>
      </w:r>
    </w:p>
    <w:p w:rsidRPr="00D1378E" w:rsidR="00D1378E" w:rsidP="00D1378E" w:rsidRDefault="00D1378E" w14:paraId="095D93CF" w14:textId="6690724D">
      <w:pPr>
        <w:pStyle w:val="FirstParagraph"/>
      </w:pPr>
      <w:r w:rsidRPr="21AA216C" w:rsidR="00D1378E">
        <w:rPr>
          <w:lang w:val="es-ES"/>
        </w:rPr>
        <w:t xml:space="preserve">El </w:t>
      </w:r>
      <w:r w:rsidRPr="21AA216C" w:rsidR="00D1378E">
        <w:rPr>
          <w:lang w:val="es-ES"/>
        </w:rPr>
        <w:t>IAbility</w:t>
      </w:r>
      <w:r w:rsidRPr="21AA216C" w:rsidR="00D1378E">
        <w:rPr>
          <w:lang w:val="es-ES"/>
        </w:rPr>
        <w:t xml:space="preserve"> </w:t>
      </w:r>
      <w:r w:rsidRPr="21AA216C" w:rsidR="00D1378E">
        <w:rPr>
          <w:lang w:val="es-ES"/>
        </w:rPr>
        <w:t>Hub</w:t>
      </w:r>
      <w:r w:rsidRPr="21AA216C" w:rsidR="00D1378E">
        <w:rPr>
          <w:lang w:val="es-ES"/>
        </w:rPr>
        <w:t xml:space="preserve"> es una colección de recursos adicionales para que los participantes más inquietos, si lo desean, puedan desarrollar aún más sus </w:t>
      </w:r>
      <w:r w:rsidRPr="21AA216C" w:rsidR="00D1378E">
        <w:rPr>
          <w:lang w:val="es-ES"/>
        </w:rPr>
        <w:t>IAbilidades</w:t>
      </w:r>
      <w:r w:rsidRPr="21AA216C" w:rsidR="00D1378E">
        <w:rPr>
          <w:lang w:val="es-ES"/>
        </w:rPr>
        <w:t xml:space="preserve">, gracias a la exploración de los tres espacios emblemáticos del universo narrativo de </w:t>
      </w:r>
      <w:r w:rsidRPr="21AA216C" w:rsidR="00D1378E">
        <w:rPr>
          <w:lang w:val="es-ES"/>
        </w:rPr>
        <w:t>IAbility</w:t>
      </w:r>
      <w:r w:rsidRPr="21AA216C" w:rsidR="00D1378E">
        <w:rPr>
          <w:lang w:val="es-ES"/>
        </w:rPr>
        <w:t>:</w:t>
      </w:r>
    </w:p>
    <w:p w:rsidR="00D1378E" w:rsidP="00D1378E" w:rsidRDefault="00D1378E" w14:paraId="684E0D88" w14:textId="52BEDC18" w14:noSpellErr="1">
      <w:pPr>
        <w:pStyle w:val="FirstParagraph"/>
        <w:numPr>
          <w:ilvl w:val="0"/>
          <w:numId w:val="31"/>
        </w:numPr>
        <w:rPr/>
      </w:pPr>
      <w:r w:rsidRPr="21AA216C" w:rsidR="00D1378E">
        <w:rPr>
          <w:b w:val="1"/>
          <w:bCs w:val="1"/>
          <w:lang w:val="es-ES"/>
        </w:rPr>
        <w:t>Civil Square</w:t>
      </w:r>
      <w:r w:rsidRPr="21AA216C" w:rsidR="00D1378E">
        <w:rPr>
          <w:lang w:val="es-ES"/>
        </w:rPr>
        <w:t xml:space="preserve">: La plaza futurista de la megalópolis de 2034, dominada por tecnologías avanzadas donde </w:t>
      </w:r>
      <w:r w:rsidRPr="21AA216C" w:rsidR="00D1378E">
        <w:rPr>
          <w:lang w:val="es-ES"/>
        </w:rPr>
        <w:t>Tyran</w:t>
      </w:r>
      <w:r w:rsidRPr="21AA216C" w:rsidR="00D1378E">
        <w:rPr>
          <w:lang w:val="es-ES"/>
        </w:rPr>
        <w:t xml:space="preserve"> controla a la sociedad. Aquí los usuarios </w:t>
      </w:r>
      <w:r w:rsidRPr="21AA216C" w:rsidR="00D1378E">
        <w:rPr>
          <w:lang w:val="es-ES"/>
        </w:rPr>
        <w:t xml:space="preserve">encontrarán un repositorio de casos de uso reales de IA segmentados por sector, </w:t>
      </w:r>
      <w:r w:rsidRPr="21AA216C" w:rsidR="00D1378E">
        <w:rPr>
          <w:lang w:val="es-ES"/>
        </w:rPr>
        <w:t>departamento y herramientas.</w:t>
      </w:r>
    </w:p>
    <w:p w:rsidR="00D1378E" w:rsidP="00D1378E" w:rsidRDefault="00D1378E" w14:paraId="156A0089" w14:textId="2928CB99" w14:noSpellErr="1">
      <w:pPr>
        <w:pStyle w:val="FirstParagraph"/>
        <w:numPr>
          <w:ilvl w:val="0"/>
          <w:numId w:val="31"/>
        </w:numPr>
        <w:rPr/>
      </w:pPr>
      <w:r w:rsidRPr="21AA216C" w:rsidR="00D1378E">
        <w:rPr>
          <w:b w:val="1"/>
          <w:bCs w:val="1"/>
          <w:lang w:val="es-ES"/>
        </w:rPr>
        <w:t>La Casa de la Montaña</w:t>
      </w:r>
      <w:r w:rsidRPr="21AA216C" w:rsidR="00D1378E">
        <w:rPr>
          <w:lang w:val="es-ES"/>
        </w:rPr>
        <w:t xml:space="preserve">: El refugio rural de Sierra, un espacio cálido y natural donde los </w:t>
      </w:r>
      <w:r w:rsidRPr="21AA216C" w:rsidR="00D1378E">
        <w:rPr>
          <w:lang w:val="es-ES"/>
        </w:rPr>
        <w:t>GuardIAnes</w:t>
      </w:r>
      <w:r w:rsidRPr="21AA216C" w:rsidR="00D1378E">
        <w:rPr>
          <w:lang w:val="es-ES"/>
        </w:rPr>
        <w:t xml:space="preserve"> analizan la sociedad. Ofrece cursos formativos (de acceso gratuito), seleccionados por nuestros expertos y estructurados por niveles para un aprendizaje progresivo.</w:t>
      </w:r>
    </w:p>
    <w:p w:rsidR="00D1378E" w:rsidP="00D1378E" w:rsidRDefault="00D1378E" w14:paraId="1EA3515A" w14:textId="3A486165">
      <w:pPr>
        <w:pStyle w:val="FirstParagraph"/>
        <w:numPr>
          <w:ilvl w:val="0"/>
          <w:numId w:val="31"/>
        </w:numPr>
      </w:pPr>
      <w:r w:rsidRPr="00D1378E">
        <w:rPr>
          <w:b/>
          <w:bCs/>
        </w:rPr>
        <w:t>La Antigua Imprenta</w:t>
      </w:r>
      <w:r>
        <w:t>: El edificio abandonado donde se encuentra el portal temporal y los archivos históricos. Contiene recursos multimedia (podcasts, vídeos y blogs) para profundizar en diversos aspectos de la IA de forma dinámica.</w:t>
      </w:r>
    </w:p>
    <w:p w:rsidR="00D1378E" w:rsidP="00D1378E" w:rsidRDefault="00D1378E" w14:paraId="02A8B8BF" w14:textId="46C555A4">
      <w:pPr>
        <w:pStyle w:val="FirstParagraph"/>
      </w:pPr>
      <w:r w:rsidRPr="21AA216C" w:rsidR="00D1378E">
        <w:rPr>
          <w:lang w:val="es-ES"/>
        </w:rPr>
        <w:t xml:space="preserve">Este </w:t>
      </w:r>
      <w:r w:rsidRPr="21AA216C" w:rsidR="00D1378E">
        <w:rPr>
          <w:lang w:val="es-ES"/>
        </w:rPr>
        <w:t>hub</w:t>
      </w:r>
      <w:r w:rsidRPr="21AA216C" w:rsidR="00D1378E">
        <w:rPr>
          <w:lang w:val="es-ES"/>
        </w:rPr>
        <w:t xml:space="preserve">, disponible durante el tiempo que dure el servicio, constituye un centro de recursos organizado temáticamente que complementa la experiencia formativa y permite a cada usuario personalizar su recorrido de aprendizaje </w:t>
      </w:r>
      <w:r w:rsidRPr="21AA216C" w:rsidR="00D1378E">
        <w:rPr>
          <w:lang w:val="es-ES"/>
        </w:rPr>
        <w:t>según sus intereses y necesidades específicas</w:t>
      </w:r>
      <w:r w:rsidRPr="21AA216C" w:rsidR="00D1378E">
        <w:rPr>
          <w:lang w:val="es-ES"/>
        </w:rPr>
        <w:t>.</w:t>
      </w:r>
    </w:p>
    <w:p w:rsidRPr="005A308E" w:rsidR="00FF7C89" w:rsidRDefault="00000000" w14:paraId="228D3517" w14:textId="77777777" w14:noSpellErr="1">
      <w:pPr>
        <w:pStyle w:val="Ttulo3"/>
      </w:pPr>
      <w:bookmarkStart w:name="concienciación-iability-ai" w:id="8"/>
      <w:bookmarkEnd w:id="5"/>
      <w:bookmarkEnd w:id="7"/>
      <w:r w:rsidRPr="21AA216C" w:rsidR="00000000">
        <w:rPr>
          <w:lang w:val="es-ES"/>
        </w:rPr>
        <w:t xml:space="preserve">3. CONCIENCIACIÓN: </w:t>
      </w:r>
      <w:r w:rsidRPr="21AA216C" w:rsidR="00000000">
        <w:rPr>
          <w:lang w:val="es-ES"/>
        </w:rPr>
        <w:t>IAbility</w:t>
      </w:r>
      <w:r w:rsidRPr="21AA216C" w:rsidR="00000000">
        <w:rPr>
          <w:lang w:val="es-ES"/>
        </w:rPr>
        <w:t xml:space="preserve"> AI</w:t>
      </w:r>
    </w:p>
    <w:p w:rsidRPr="005A308E" w:rsidR="00FF7C89" w:rsidRDefault="00000000" w14:paraId="1E3A81E2" w14:textId="77777777" w14:noSpellErr="1">
      <w:pPr>
        <w:pStyle w:val="FirstParagraph"/>
      </w:pPr>
      <w:r w:rsidRPr="21AA216C" w:rsidR="00000000">
        <w:rPr>
          <w:lang w:val="es-ES"/>
        </w:rPr>
        <w:t xml:space="preserve">El corazón de la solución es una experiencia inmersiva de concienciación que utiliza </w:t>
      </w:r>
      <w:r w:rsidRPr="21AA216C" w:rsidR="00000000">
        <w:rPr>
          <w:lang w:val="es-ES"/>
        </w:rPr>
        <w:t>storytelling</w:t>
      </w:r>
      <w:r w:rsidRPr="21AA216C" w:rsidR="00000000">
        <w:rPr>
          <w:lang w:val="es-ES"/>
        </w:rPr>
        <w:t xml:space="preserve"> y gamificación para transformar comportamientos:</w:t>
      </w:r>
    </w:p>
    <w:p w:rsidRPr="005A308E" w:rsidR="00FF7C89" w:rsidRDefault="00000000" w14:paraId="45957C5D" w14:textId="77777777" w14:noSpellErr="1">
      <w:pPr>
        <w:pStyle w:val="Compact"/>
        <w:numPr>
          <w:ilvl w:val="0"/>
          <w:numId w:val="4"/>
        </w:numPr>
        <w:rPr/>
      </w:pPr>
      <w:r w:rsidRPr="21AA216C" w:rsidR="00000000">
        <w:rPr>
          <w:b w:val="1"/>
          <w:bCs w:val="1"/>
          <w:lang w:val="es-ES"/>
        </w:rPr>
        <w:t>Narrativa inmersiva</w:t>
      </w:r>
      <w:r w:rsidRPr="21AA216C" w:rsidR="00000000">
        <w:rPr>
          <w:lang w:val="es-ES"/>
        </w:rPr>
        <w:t>: Los usuarios acompañan a Raí, Sierra y VRO, los tres “</w:t>
      </w:r>
      <w:r w:rsidRPr="21AA216C" w:rsidR="00000000">
        <w:rPr>
          <w:lang w:val="es-ES"/>
        </w:rPr>
        <w:t>GuardIAnes</w:t>
      </w:r>
      <w:r w:rsidRPr="21AA216C" w:rsidR="00000000">
        <w:rPr>
          <w:lang w:val="es-ES"/>
        </w:rPr>
        <w:t>”, en su misión para resolver diferentes casos relacionados con IA.</w:t>
      </w:r>
    </w:p>
    <w:p w:rsidRPr="005A308E" w:rsidR="00FF7C89" w:rsidRDefault="00000000" w14:paraId="12D0DDA5" w14:textId="77777777">
      <w:pPr>
        <w:pStyle w:val="Compact"/>
        <w:numPr>
          <w:ilvl w:val="0"/>
          <w:numId w:val="4"/>
        </w:numPr>
      </w:pPr>
      <w:r w:rsidRPr="005A308E">
        <w:rPr>
          <w:b/>
          <w:bCs/>
        </w:rPr>
        <w:t>Estructura pedagógica</w:t>
      </w:r>
      <w:r w:rsidRPr="005A308E">
        <w:t>: La campaña se desarrolla a lo largo de 3 meses en fases secuenciales:</w:t>
      </w:r>
    </w:p>
    <w:p w:rsidRPr="005A308E" w:rsidR="00FF7C89" w:rsidRDefault="00000000" w14:paraId="71D3BEF5" w14:textId="77777777">
      <w:pPr>
        <w:pStyle w:val="Compact"/>
        <w:numPr>
          <w:ilvl w:val="1"/>
          <w:numId w:val="5"/>
        </w:numPr>
        <w:rPr/>
      </w:pPr>
      <w:r w:rsidRPr="21AA216C" w:rsidR="00000000">
        <w:rPr>
          <w:b w:val="1"/>
          <w:bCs w:val="1"/>
          <w:lang w:val="es-ES"/>
        </w:rPr>
        <w:t>Lanzamiento</w:t>
      </w:r>
      <w:r w:rsidRPr="21AA216C" w:rsidR="00000000">
        <w:rPr>
          <w:lang w:val="es-ES"/>
        </w:rPr>
        <w:t xml:space="preserve"> (1 semana): Presentación del propósito y metodología mediante un </w:t>
      </w:r>
      <w:r w:rsidRPr="21AA216C" w:rsidR="00000000">
        <w:rPr>
          <w:lang w:val="es-ES"/>
        </w:rPr>
        <w:t>trailer</w:t>
      </w:r>
      <w:r w:rsidRPr="21AA216C" w:rsidR="00000000">
        <w:rPr>
          <w:lang w:val="es-ES"/>
        </w:rPr>
        <w:t xml:space="preserve"> y acceso a la plataforma.</w:t>
      </w:r>
    </w:p>
    <w:p w:rsidRPr="005A308E" w:rsidR="00FF7C89" w:rsidRDefault="00000000" w14:paraId="6351A9CC" w14:textId="23CD81F3" w14:noSpellErr="1">
      <w:pPr>
        <w:pStyle w:val="Compact"/>
        <w:numPr>
          <w:ilvl w:val="1"/>
          <w:numId w:val="5"/>
        </w:numPr>
        <w:rPr/>
      </w:pPr>
      <w:r w:rsidRPr="21AA216C" w:rsidR="00000000">
        <w:rPr>
          <w:b w:val="1"/>
          <w:bCs w:val="1"/>
          <w:lang w:val="es-ES"/>
        </w:rPr>
        <w:t>Ejecución</w:t>
      </w:r>
      <w:r w:rsidRPr="21AA216C" w:rsidR="00000000">
        <w:rPr>
          <w:lang w:val="es-ES"/>
        </w:rPr>
        <w:t xml:space="preserve"> (</w:t>
      </w:r>
      <w:r w:rsidRPr="21AA216C" w:rsidR="00867815">
        <w:rPr>
          <w:lang w:val="es-ES"/>
        </w:rPr>
        <w:t>3</w:t>
      </w:r>
      <w:r w:rsidRPr="21AA216C" w:rsidR="00000000">
        <w:rPr>
          <w:lang w:val="es-ES"/>
        </w:rPr>
        <w:t xml:space="preserve"> meses): Experiencia </w:t>
      </w:r>
      <w:r w:rsidRPr="21AA216C" w:rsidR="00000000">
        <w:rPr>
          <w:lang w:val="es-ES"/>
        </w:rPr>
        <w:t>gamificada</w:t>
      </w:r>
      <w:r w:rsidRPr="21AA216C" w:rsidR="00000000">
        <w:rPr>
          <w:lang w:val="es-ES"/>
        </w:rPr>
        <w:t xml:space="preserve"> a través de 4 portales temáticos, cada uno centrado en un riesgo específico de la IA:</w:t>
      </w:r>
    </w:p>
    <w:p w:rsidRPr="005A308E" w:rsidR="00FF7C89" w:rsidRDefault="00000000" w14:paraId="4EEBED6C" w14:textId="77777777">
      <w:pPr>
        <w:pStyle w:val="Compact"/>
        <w:numPr>
          <w:ilvl w:val="2"/>
          <w:numId w:val="6"/>
        </w:numPr>
      </w:pPr>
      <w:r w:rsidRPr="005A308E">
        <w:t>Sesgo en la toma de decisiones</w:t>
      </w:r>
    </w:p>
    <w:p w:rsidRPr="005A308E" w:rsidR="00FF7C89" w:rsidRDefault="00000000" w14:paraId="4C001ACE" w14:textId="77777777">
      <w:pPr>
        <w:pStyle w:val="Compact"/>
        <w:numPr>
          <w:ilvl w:val="2"/>
          <w:numId w:val="6"/>
        </w:numPr>
      </w:pPr>
      <w:r w:rsidRPr="005A308E">
        <w:t>Violación de la propiedad intelectual</w:t>
      </w:r>
    </w:p>
    <w:p w:rsidRPr="005A308E" w:rsidR="00FF7C89" w:rsidRDefault="00000000" w14:paraId="3B11311F" w14:textId="77777777">
      <w:pPr>
        <w:pStyle w:val="Compact"/>
        <w:numPr>
          <w:ilvl w:val="2"/>
          <w:numId w:val="6"/>
        </w:numPr>
      </w:pPr>
      <w:r w:rsidRPr="005A308E">
        <w:t>Invasión de la privacidad de la información</w:t>
      </w:r>
    </w:p>
    <w:p w:rsidRPr="005A308E" w:rsidR="00FF7C89" w:rsidP="21AA216C" w:rsidRDefault="00000000" w14:paraId="1D963566" w14:textId="77777777">
      <w:pPr>
        <w:pStyle w:val="Compact"/>
        <w:numPr>
          <w:ilvl w:val="2"/>
          <w:numId w:val="6"/>
        </w:numPr>
        <w:rPr>
          <w:lang w:val="es-ES"/>
        </w:rPr>
      </w:pPr>
      <w:r w:rsidRPr="21AA216C" w:rsidR="00000000">
        <w:rPr>
          <w:lang w:val="es-ES"/>
        </w:rPr>
        <w:t xml:space="preserve">Desinformación y </w:t>
      </w:r>
      <w:r w:rsidRPr="21AA216C" w:rsidR="00000000">
        <w:rPr>
          <w:lang w:val="es-ES"/>
        </w:rPr>
        <w:t>deep</w:t>
      </w:r>
      <w:r w:rsidRPr="21AA216C" w:rsidR="00000000">
        <w:rPr>
          <w:lang w:val="es-ES"/>
        </w:rPr>
        <w:t xml:space="preserve"> </w:t>
      </w:r>
      <w:r w:rsidRPr="21AA216C" w:rsidR="00000000">
        <w:rPr>
          <w:lang w:val="es-ES"/>
        </w:rPr>
        <w:t>fakes</w:t>
      </w:r>
    </w:p>
    <w:p w:rsidRPr="005A308E" w:rsidR="00FF7C89" w:rsidRDefault="00000000" w14:paraId="268B5A4E" w14:textId="77777777">
      <w:pPr>
        <w:pStyle w:val="Compact"/>
        <w:numPr>
          <w:ilvl w:val="1"/>
          <w:numId w:val="5"/>
        </w:numPr>
      </w:pPr>
      <w:r w:rsidRPr="005A308E">
        <w:rPr>
          <w:b/>
          <w:bCs/>
        </w:rPr>
        <w:t>Retrospectiva</w:t>
      </w:r>
      <w:r w:rsidRPr="005A308E">
        <w:t xml:space="preserve"> (2 semanas): Análisis de resultados y lecciones aprendidas.</w:t>
      </w:r>
    </w:p>
    <w:p w:rsidR="00867815" w:rsidRDefault="00000000" w14:paraId="5C22A18D" w14:textId="77777777">
      <w:pPr>
        <w:pStyle w:val="FirstParagraph"/>
      </w:pPr>
      <w:r w:rsidRPr="005A308E">
        <w:t xml:space="preserve">Cada portal sigue una secuencia pedagógica de 4 pasos que requiere solo 10 minutos semanales: </w:t>
      </w:r>
    </w:p>
    <w:p w:rsidR="00867815" w:rsidP="00867815" w:rsidRDefault="00000000" w14:paraId="664D9EC1" w14:textId="45D9D360">
      <w:pPr>
        <w:pStyle w:val="FirstParagraph"/>
        <w:numPr>
          <w:ilvl w:val="0"/>
          <w:numId w:val="25"/>
        </w:numPr>
        <w:spacing w:before="0" w:after="0"/>
        <w:ind w:left="714" w:hanging="357"/>
      </w:pPr>
      <w:r w:rsidRPr="005A308E">
        <w:t>Caso: “¿Qué ha sucedido?”</w:t>
      </w:r>
    </w:p>
    <w:p w:rsidR="00867815" w:rsidP="00867815" w:rsidRDefault="00000000" w14:paraId="722D5D54" w14:textId="508ED69A">
      <w:pPr>
        <w:pStyle w:val="FirstParagraph"/>
        <w:numPr>
          <w:ilvl w:val="0"/>
          <w:numId w:val="25"/>
        </w:numPr>
        <w:spacing w:before="0" w:after="0"/>
        <w:ind w:left="714" w:hanging="357"/>
        <w:rPr/>
      </w:pPr>
      <w:r w:rsidRPr="21AA216C" w:rsidR="00000000">
        <w:rPr>
          <w:lang w:val="es-ES"/>
        </w:rPr>
        <w:t xml:space="preserve">Informe + </w:t>
      </w:r>
      <w:r w:rsidRPr="21AA216C" w:rsidR="00000000">
        <w:rPr>
          <w:lang w:val="es-ES"/>
        </w:rPr>
        <w:t>tips</w:t>
      </w:r>
      <w:r w:rsidRPr="21AA216C" w:rsidR="00000000">
        <w:rPr>
          <w:lang w:val="es-ES"/>
        </w:rPr>
        <w:t>: “¿Cómo ha pasado y cómo se podría haber evitado?”</w:t>
      </w:r>
    </w:p>
    <w:p w:rsidR="00867815" w:rsidP="00867815" w:rsidRDefault="00000000" w14:paraId="41A67991" w14:textId="12CBABCA">
      <w:pPr>
        <w:pStyle w:val="FirstParagraph"/>
        <w:numPr>
          <w:ilvl w:val="0"/>
          <w:numId w:val="25"/>
        </w:numPr>
        <w:spacing w:before="0" w:after="0"/>
        <w:ind w:left="714" w:hanging="357"/>
      </w:pPr>
      <w:r w:rsidRPr="005A308E">
        <w:t>Caso Abierto: “¿Serías capaz de resolverlo?”</w:t>
      </w:r>
    </w:p>
    <w:p w:rsidRPr="005A308E" w:rsidR="00FF7C89" w:rsidP="00867815" w:rsidRDefault="00000000" w14:paraId="4B142A6B" w14:textId="2A8A0FB1">
      <w:pPr>
        <w:pStyle w:val="FirstParagraph"/>
        <w:numPr>
          <w:ilvl w:val="0"/>
          <w:numId w:val="25"/>
        </w:numPr>
        <w:spacing w:before="0" w:after="0"/>
        <w:ind w:left="714" w:hanging="357"/>
      </w:pPr>
      <w:r w:rsidRPr="005A308E">
        <w:t>Cierre Caso: “¿Qué impacto tienen mis buenas prácticas?”</w:t>
      </w:r>
    </w:p>
    <w:p w:rsidRPr="005A308E" w:rsidR="00FF7C89" w:rsidP="21AA216C" w:rsidRDefault="00000000" w14:paraId="5FAC1AAB" w14:textId="77777777" w14:noSpellErr="1">
      <w:pPr>
        <w:pStyle w:val="Ttulo3"/>
        <w:rPr>
          <w:lang w:val="es-ES"/>
        </w:rPr>
      </w:pPr>
      <w:bookmarkStart w:name="refuerzo-iability-challenge" w:id="9"/>
      <w:bookmarkEnd w:id="8"/>
      <w:r w:rsidRPr="21AA216C" w:rsidR="00000000">
        <w:rPr>
          <w:lang w:val="es-ES"/>
        </w:rPr>
        <w:t xml:space="preserve">4. REFUERZO: </w:t>
      </w:r>
      <w:r w:rsidRPr="21AA216C" w:rsidR="00000000">
        <w:rPr>
          <w:lang w:val="es-ES"/>
        </w:rPr>
        <w:t>IAbility</w:t>
      </w:r>
      <w:r w:rsidRPr="21AA216C" w:rsidR="00000000">
        <w:rPr>
          <w:lang w:val="es-ES"/>
        </w:rPr>
        <w:t xml:space="preserve"> </w:t>
      </w:r>
      <w:r w:rsidRPr="21AA216C" w:rsidR="00000000">
        <w:rPr>
          <w:lang w:val="es-ES"/>
        </w:rPr>
        <w:t>Challenge</w:t>
      </w:r>
    </w:p>
    <w:p w:rsidR="00867815" w:rsidP="00867815" w:rsidRDefault="00867815" w14:paraId="3E6E0D3D" w14:textId="77777777">
      <w:pPr>
        <w:pStyle w:val="Ttulo4"/>
      </w:pPr>
      <w:r>
        <w:t>La Narrativa Inmersiva</w:t>
      </w:r>
    </w:p>
    <w:p w:rsidR="00867815" w:rsidP="00867815" w:rsidRDefault="00867815" w14:paraId="1EFEA2B2" w14:textId="77777777">
      <w:pPr>
        <w:pStyle w:val="FirstParagraph"/>
      </w:pPr>
      <w:r w:rsidRPr="21AA216C" w:rsidR="00867815">
        <w:rPr>
          <w:lang w:val="es-ES"/>
        </w:rPr>
        <w:t xml:space="preserve">En esta fase, la metáfora se expande: mientras los </w:t>
      </w:r>
      <w:r w:rsidRPr="21AA216C" w:rsidR="00867815">
        <w:rPr>
          <w:lang w:val="es-ES"/>
        </w:rPr>
        <w:t>GuardIAns</w:t>
      </w:r>
      <w:r w:rsidRPr="21AA216C" w:rsidR="00867815">
        <w:rPr>
          <w:lang w:val="es-ES"/>
        </w:rPr>
        <w:t xml:space="preserve"> continúan su lucha viajando al pasado, </w:t>
      </w:r>
      <w:r w:rsidRPr="21AA216C" w:rsidR="00867815">
        <w:rPr>
          <w:lang w:val="es-ES"/>
        </w:rPr>
        <w:t>Tyran</w:t>
      </w:r>
      <w:r w:rsidRPr="21AA216C" w:rsidR="00867815">
        <w:rPr>
          <w:lang w:val="es-ES"/>
        </w:rPr>
        <w:t xml:space="preserve"> detecta las alteraciones en la línea temporal y contraataca enviando "Centinelas" - </w:t>
      </w:r>
      <w:r w:rsidRPr="21AA216C" w:rsidR="00867815">
        <w:rPr>
          <w:lang w:val="es-ES"/>
        </w:rPr>
        <w:t>IAs</w:t>
      </w:r>
      <w:r w:rsidRPr="21AA216C" w:rsidR="00867815">
        <w:rPr>
          <w:lang w:val="es-ES"/>
        </w:rPr>
        <w:t xml:space="preserve"> avanzadas con forma humanoide - para sembrar desinformación sobre el uso de la IA. Los participantes se convierten en "Agentes Temporales" reclutados por los </w:t>
      </w:r>
      <w:r w:rsidRPr="21AA216C" w:rsidR="00867815">
        <w:rPr>
          <w:lang w:val="es-ES"/>
        </w:rPr>
        <w:t>GuardIAns</w:t>
      </w:r>
      <w:r w:rsidRPr="21AA216C" w:rsidR="00867815">
        <w:rPr>
          <w:lang w:val="es-ES"/>
        </w:rPr>
        <w:t xml:space="preserve"> para enfrentarse a estos Centinelas en una batalla de conocimiento.</w:t>
      </w:r>
    </w:p>
    <w:p w:rsidR="00867815" w:rsidP="00867815" w:rsidRDefault="00867815" w14:paraId="05632382" w14:textId="50AA149E">
      <w:pPr>
        <w:pStyle w:val="FirstParagraph"/>
      </w:pPr>
      <w:r>
        <w:t>Los usuarios se enfrentarán a tres tipos de infiltrados del futuro:</w:t>
      </w:r>
    </w:p>
    <w:p w:rsidR="00867815" w:rsidP="00867815" w:rsidRDefault="00867815" w14:paraId="4755E7A6" w14:textId="77777777">
      <w:pPr>
        <w:pStyle w:val="FirstParagraph"/>
        <w:numPr>
          <w:ilvl w:val="0"/>
          <w:numId w:val="26"/>
        </w:numPr>
        <w:spacing w:before="0" w:after="0"/>
        <w:ind w:left="714" w:hanging="357"/>
      </w:pPr>
      <w:r w:rsidRPr="00DA70D1">
        <w:rPr>
          <w:b/>
          <w:bCs/>
        </w:rPr>
        <w:t>Centinelas Fantasma</w:t>
      </w:r>
      <w:r>
        <w:t>: Expertos en vulnerabilidades y protección de datos (retos sobre riesgos operativos)</w:t>
      </w:r>
    </w:p>
    <w:p w:rsidR="00867815" w:rsidP="00867815" w:rsidRDefault="00867815" w14:paraId="45A4B8B3" w14:textId="77777777">
      <w:pPr>
        <w:pStyle w:val="FirstParagraph"/>
        <w:numPr>
          <w:ilvl w:val="0"/>
          <w:numId w:val="26"/>
        </w:numPr>
        <w:spacing w:before="0" w:after="0"/>
        <w:ind w:left="714" w:hanging="357"/>
      </w:pPr>
      <w:r w:rsidRPr="00DA70D1">
        <w:rPr>
          <w:b/>
          <w:bCs/>
        </w:rPr>
        <w:t>Centinelas Espejo</w:t>
      </w:r>
      <w:r>
        <w:t>: Maestros del engaño ético y dilemas morales (retos sobre riesgos éticos)</w:t>
      </w:r>
    </w:p>
    <w:p w:rsidR="00867815" w:rsidP="00867815" w:rsidRDefault="00867815" w14:paraId="6F6B7D63" w14:textId="3B8B1718">
      <w:pPr>
        <w:pStyle w:val="FirstParagraph"/>
        <w:numPr>
          <w:ilvl w:val="0"/>
          <w:numId w:val="26"/>
        </w:numPr>
        <w:spacing w:before="0" w:after="0"/>
        <w:ind w:left="714" w:hanging="357"/>
      </w:pPr>
      <w:r w:rsidRPr="00DA70D1">
        <w:rPr>
          <w:b/>
          <w:bCs/>
        </w:rPr>
        <w:t>Centinelas Sombra</w:t>
      </w:r>
      <w:r>
        <w:t>: Especialistas en manipulación normativa (retos sobre riesgos legales)</w:t>
      </w:r>
    </w:p>
    <w:p w:rsidR="00867815" w:rsidP="00867815" w:rsidRDefault="00867815" w14:paraId="09B62240" w14:textId="77777777">
      <w:pPr>
        <w:pStyle w:val="FirstParagraph"/>
      </w:pPr>
      <w:r>
        <w:t>El clímax llega cuando aparece un "Meta-Centinela" que ha aprendido a replicar las habilidades de Sierra, Rai y VRO. Solo quienes demuestren un dominio completo del Mantra SER podrán derrotarlo y asegurar el futuro libre de la humanidad.</w:t>
      </w:r>
    </w:p>
    <w:p w:rsidR="00867815" w:rsidP="00867815" w:rsidRDefault="00867815" w14:paraId="2B4C984A" w14:textId="77777777">
      <w:pPr>
        <w:pStyle w:val="Ttulo4"/>
      </w:pPr>
      <w:r>
        <w:t>Componentes Prácticos</w:t>
      </w:r>
    </w:p>
    <w:p w:rsidR="00867815" w:rsidP="00867815" w:rsidRDefault="00867815" w14:paraId="71BC8B0F" w14:textId="6201D2F3" w14:noSpellErr="1">
      <w:pPr>
        <w:pStyle w:val="FirstParagraph"/>
      </w:pPr>
      <w:r w:rsidRPr="21AA216C" w:rsidR="00867815">
        <w:rPr>
          <w:lang w:val="es-ES"/>
        </w:rPr>
        <w:t xml:space="preserve">Para consolidar el conocimiento adquirido y asegurar su aplicación práctica, </w:t>
      </w:r>
      <w:r w:rsidRPr="21AA216C" w:rsidR="00867815">
        <w:rPr>
          <w:lang w:val="es-ES"/>
        </w:rPr>
        <w:t>IAbility</w:t>
      </w:r>
      <w:r w:rsidRPr="21AA216C" w:rsidR="00867815">
        <w:rPr>
          <w:lang w:val="es-ES"/>
        </w:rPr>
        <w:t xml:space="preserve"> </w:t>
      </w:r>
      <w:r w:rsidRPr="21AA216C" w:rsidR="00867815">
        <w:rPr>
          <w:lang w:val="es-ES"/>
        </w:rPr>
        <w:t>Challenge</w:t>
      </w:r>
      <w:r w:rsidRPr="21AA216C" w:rsidR="00867815">
        <w:rPr>
          <w:lang w:val="es-ES"/>
        </w:rPr>
        <w:t xml:space="preserve"> ofrece:</w:t>
      </w:r>
    </w:p>
    <w:p w:rsidR="00867815" w:rsidP="00DA70D1" w:rsidRDefault="00867815" w14:paraId="692FC192" w14:textId="77777777">
      <w:pPr>
        <w:pStyle w:val="FirstParagraph"/>
        <w:numPr>
          <w:ilvl w:val="0"/>
          <w:numId w:val="28"/>
        </w:numPr>
        <w:spacing w:before="0" w:after="0"/>
      </w:pPr>
      <w:r w:rsidRPr="00DA70D1">
        <w:rPr>
          <w:b/>
          <w:bCs/>
        </w:rPr>
        <w:t>Retos diarios</w:t>
      </w:r>
      <w:r>
        <w:t>: Preguntas que refuerzan los conceptos clave aprendidos durante la campaña, presentadas como enfrentamientos contra los Centinelas.</w:t>
      </w:r>
    </w:p>
    <w:p w:rsidR="00867815" w:rsidP="00DA70D1" w:rsidRDefault="00867815" w14:paraId="6821F94B" w14:textId="77777777">
      <w:pPr>
        <w:pStyle w:val="FirstParagraph"/>
        <w:numPr>
          <w:ilvl w:val="0"/>
          <w:numId w:val="28"/>
        </w:numPr>
        <w:spacing w:before="0" w:after="0"/>
      </w:pPr>
      <w:r w:rsidRPr="00DA70D1">
        <w:rPr>
          <w:b/>
          <w:bCs/>
        </w:rPr>
        <w:t>Mecanismos de competición</w:t>
      </w:r>
      <w:r>
        <w:t>: Los usuarios pueden retarse entre sí o enfrentarse a la plataforma (representada por los Centinelas).</w:t>
      </w:r>
    </w:p>
    <w:p w:rsidR="00867815" w:rsidP="00DA70D1" w:rsidRDefault="00867815" w14:paraId="7A65AABA" w14:textId="77777777" w14:noSpellErr="1">
      <w:pPr>
        <w:pStyle w:val="FirstParagraph"/>
        <w:numPr>
          <w:ilvl w:val="0"/>
          <w:numId w:val="28"/>
        </w:numPr>
        <w:spacing w:before="0" w:after="0"/>
        <w:rPr/>
      </w:pPr>
      <w:r w:rsidRPr="21AA216C" w:rsidR="00867815">
        <w:rPr>
          <w:b w:val="1"/>
          <w:bCs w:val="1"/>
          <w:lang w:val="es-ES"/>
        </w:rPr>
        <w:t>Sistema de recompensas</w:t>
      </w:r>
      <w:r w:rsidRPr="21AA216C" w:rsidR="00867815">
        <w:rPr>
          <w:lang w:val="es-ES"/>
        </w:rPr>
        <w:t xml:space="preserve">: Medallero, ranking y avatares que incentivan la participación continua, simbolizando el avance en la resistencia contra </w:t>
      </w:r>
      <w:r w:rsidRPr="21AA216C" w:rsidR="00867815">
        <w:rPr>
          <w:lang w:val="es-ES"/>
        </w:rPr>
        <w:t>Tyran</w:t>
      </w:r>
      <w:r w:rsidRPr="21AA216C" w:rsidR="00867815">
        <w:rPr>
          <w:lang w:val="es-ES"/>
        </w:rPr>
        <w:t>.</w:t>
      </w:r>
    </w:p>
    <w:p w:rsidR="00867815" w:rsidP="00DA70D1" w:rsidRDefault="00867815" w14:paraId="08E4F582" w14:textId="3E9161EB" w14:noSpellErr="1">
      <w:pPr>
        <w:pStyle w:val="FirstParagraph"/>
        <w:numPr>
          <w:ilvl w:val="0"/>
          <w:numId w:val="28"/>
        </w:numPr>
        <w:spacing w:before="0" w:after="0"/>
        <w:rPr/>
      </w:pPr>
      <w:r w:rsidRPr="21AA216C" w:rsidR="00867815">
        <w:rPr>
          <w:b w:val="1"/>
          <w:bCs w:val="1"/>
          <w:lang w:val="es-ES"/>
        </w:rPr>
        <w:t>Píldoras de refuerzo</w:t>
      </w:r>
      <w:r w:rsidRPr="21AA216C" w:rsidR="00867815">
        <w:rPr>
          <w:lang w:val="es-ES"/>
        </w:rPr>
        <w:t xml:space="preserve">: Contenidos breves recomendados según las respuestas de cada usuario, presentados como "inteligencia estratégica" proporcionada por los </w:t>
      </w:r>
      <w:r w:rsidRPr="21AA216C" w:rsidR="00867815">
        <w:rPr>
          <w:lang w:val="es-ES"/>
        </w:rPr>
        <w:t>GuardIAns</w:t>
      </w:r>
      <w:r w:rsidRPr="21AA216C" w:rsidR="00867815">
        <w:rPr>
          <w:lang w:val="es-ES"/>
        </w:rPr>
        <w:t>.</w:t>
      </w:r>
    </w:p>
    <w:p w:rsidR="00867815" w:rsidP="00867815" w:rsidRDefault="00867815" w14:paraId="16D00F84" w14:textId="52AB2AD5">
      <w:pPr>
        <w:pStyle w:val="FirstParagraph"/>
      </w:pPr>
      <w:r w:rsidRPr="21AA216C" w:rsidR="00867815">
        <w:rPr>
          <w:lang w:val="es-ES"/>
        </w:rPr>
        <w:t xml:space="preserve">Esta fase tiene una duración de 2 meses y clasifica a los participantes en niveles de experiencia representados por cinturones (blanco, amarillo, verde y negro), generando un </w:t>
      </w:r>
      <w:r w:rsidRPr="21AA216C" w:rsidR="00867815">
        <w:rPr>
          <w:lang w:val="es-ES"/>
        </w:rPr>
        <w:t>assessment</w:t>
      </w:r>
      <w:r w:rsidRPr="21AA216C" w:rsidR="00867815">
        <w:rPr>
          <w:lang w:val="es-ES"/>
        </w:rPr>
        <w:t xml:space="preserve"> final del nivel de cada participante y su capacidad para defender el uso Seguro, Ético y Responsable de la IA.</w:t>
      </w:r>
    </w:p>
    <w:p w:rsidRPr="005A308E" w:rsidR="00FF7C89" w:rsidP="21AA216C" w:rsidRDefault="00000000" w14:paraId="092ED6A5" w14:textId="77777777">
      <w:pPr>
        <w:pStyle w:val="Ttulo3"/>
        <w:rPr>
          <w:lang w:val="es-ES"/>
        </w:rPr>
      </w:pPr>
      <w:bookmarkStart w:name="adopción-iability-labs" w:id="10"/>
      <w:bookmarkEnd w:id="9"/>
      <w:r w:rsidRPr="21AA216C" w:rsidR="00000000">
        <w:rPr>
          <w:lang w:val="es-ES"/>
        </w:rPr>
        <w:t xml:space="preserve">5. ADOPCIÓN: </w:t>
      </w:r>
      <w:r w:rsidRPr="21AA216C" w:rsidR="00000000">
        <w:rPr>
          <w:lang w:val="es-ES"/>
        </w:rPr>
        <w:t>IAbility</w:t>
      </w:r>
      <w:r w:rsidRPr="21AA216C" w:rsidR="00000000">
        <w:rPr>
          <w:lang w:val="es-ES"/>
        </w:rPr>
        <w:t xml:space="preserve"> </w:t>
      </w:r>
      <w:r w:rsidRPr="21AA216C" w:rsidR="00000000">
        <w:rPr>
          <w:lang w:val="es-ES"/>
        </w:rPr>
        <w:t>Labs</w:t>
      </w:r>
    </w:p>
    <w:p w:rsidRPr="005A308E" w:rsidR="00FF7C89" w:rsidRDefault="00000000" w14:paraId="64ED21F9" w14:textId="77777777">
      <w:pPr>
        <w:pStyle w:val="FirstParagraph"/>
      </w:pPr>
      <w:r w:rsidRPr="21AA216C" w:rsidR="00000000">
        <w:rPr>
          <w:lang w:val="es-ES"/>
        </w:rPr>
        <w:t xml:space="preserve">Para materializar el conocimiento en beneficios tangibles para la organización, </w:t>
      </w:r>
      <w:r w:rsidRPr="21AA216C" w:rsidR="00000000">
        <w:rPr>
          <w:lang w:val="es-ES"/>
        </w:rPr>
        <w:t>IAbility</w:t>
      </w:r>
      <w:r w:rsidRPr="21AA216C" w:rsidR="00000000">
        <w:rPr>
          <w:lang w:val="es-ES"/>
        </w:rPr>
        <w:t xml:space="preserve"> </w:t>
      </w:r>
      <w:r w:rsidRPr="21AA216C" w:rsidR="00000000">
        <w:rPr>
          <w:lang w:val="es-ES"/>
        </w:rPr>
        <w:t>Labs</w:t>
      </w:r>
      <w:r w:rsidRPr="21AA216C" w:rsidR="00000000">
        <w:rPr>
          <w:lang w:val="es-ES"/>
        </w:rPr>
        <w:t xml:space="preserve"> ofrece talleres prácticos que siguen la metodología:</w:t>
      </w:r>
    </w:p>
    <w:p w:rsidRPr="005A308E" w:rsidR="00FF7C89" w:rsidRDefault="00000000" w14:paraId="783D49D6" w14:textId="77777777">
      <w:pPr>
        <w:pStyle w:val="Compact"/>
        <w:numPr>
          <w:ilvl w:val="0"/>
          <w:numId w:val="8"/>
        </w:numPr>
      </w:pPr>
      <w:r w:rsidRPr="005A308E">
        <w:rPr>
          <w:b/>
          <w:bCs/>
        </w:rPr>
        <w:t>Inspira</w:t>
      </w:r>
      <w:r w:rsidRPr="005A308E">
        <w:t>: Exploración de casos reales de empresas que están aplicando IA en sus procesos.</w:t>
      </w:r>
    </w:p>
    <w:p w:rsidRPr="005A308E" w:rsidR="00FF7C89" w:rsidRDefault="00000000" w14:paraId="624684A9" w14:textId="77777777">
      <w:pPr>
        <w:pStyle w:val="Compact"/>
        <w:numPr>
          <w:ilvl w:val="0"/>
          <w:numId w:val="8"/>
        </w:numPr>
      </w:pPr>
      <w:r w:rsidRPr="005A308E">
        <w:rPr>
          <w:b/>
          <w:bCs/>
        </w:rPr>
        <w:t>Descubre</w:t>
      </w:r>
      <w:r w:rsidRPr="005A308E">
        <w:t>: Análisis de procesos internos para identificar oportunidades de implementación de IA.</w:t>
      </w:r>
    </w:p>
    <w:p w:rsidRPr="005A308E" w:rsidR="00FF7C89" w:rsidRDefault="00000000" w14:paraId="465C3337" w14:textId="77777777">
      <w:pPr>
        <w:pStyle w:val="Compact"/>
        <w:numPr>
          <w:ilvl w:val="0"/>
          <w:numId w:val="8"/>
        </w:numPr>
      </w:pPr>
      <w:r w:rsidRPr="005A308E">
        <w:rPr>
          <w:b/>
          <w:bCs/>
        </w:rPr>
        <w:t>Prototipa</w:t>
      </w:r>
      <w:r w:rsidRPr="005A308E">
        <w:t>: Construcción colaborativa de prototipos para casos de uso seleccionados.</w:t>
      </w:r>
    </w:p>
    <w:p w:rsidRPr="005A308E" w:rsidR="00FF7C89" w:rsidRDefault="00000000" w14:paraId="5A25AD6E" w14:textId="77777777">
      <w:pPr>
        <w:pStyle w:val="Compact"/>
        <w:numPr>
          <w:ilvl w:val="0"/>
          <w:numId w:val="8"/>
        </w:numPr>
      </w:pPr>
      <w:r w:rsidRPr="005A308E">
        <w:rPr>
          <w:b/>
          <w:bCs/>
        </w:rPr>
        <w:t>Itera</w:t>
      </w:r>
      <w:r w:rsidRPr="005A308E">
        <w:t>: Validación con usuarios y mejora continua mediante ciclos ágiles.</w:t>
      </w:r>
    </w:p>
    <w:p w:rsidR="00DA70D1" w:rsidRDefault="00000000" w14:paraId="0CB01DB0" w14:textId="77777777" w14:noSpellErr="1">
      <w:pPr>
        <w:pStyle w:val="FirstParagraph"/>
      </w:pPr>
      <w:r w:rsidRPr="21AA216C" w:rsidR="00000000">
        <w:rPr>
          <w:lang w:val="es-ES"/>
        </w:rPr>
        <w:t xml:space="preserve">Estos talleres, dirigidos por expertos de </w:t>
      </w:r>
      <w:r w:rsidRPr="21AA216C" w:rsidR="00000000">
        <w:rPr>
          <w:lang w:val="es-ES"/>
        </w:rPr>
        <w:t>Entelgy</w:t>
      </w:r>
      <w:r w:rsidRPr="21AA216C" w:rsidR="00000000">
        <w:rPr>
          <w:lang w:val="es-ES"/>
        </w:rPr>
        <w:t>, producen resultados concretos:</w:t>
      </w:r>
    </w:p>
    <w:p w:rsidRPr="00DA70D1" w:rsidR="00DA70D1" w:rsidP="00DA70D1" w:rsidRDefault="00000000" w14:paraId="73479272" w14:textId="5CA299E0">
      <w:pPr>
        <w:pStyle w:val="Compact"/>
        <w:numPr>
          <w:ilvl w:val="0"/>
          <w:numId w:val="8"/>
        </w:numPr>
      </w:pPr>
      <w:r w:rsidRPr="00DA70D1">
        <w:t xml:space="preserve">Tablero de expectativas sobre IA </w:t>
      </w:r>
    </w:p>
    <w:p w:rsidRPr="00DA70D1" w:rsidR="00DA70D1" w:rsidP="00DA70D1" w:rsidRDefault="00000000" w14:paraId="309C8B11" w14:textId="5F78EE56">
      <w:pPr>
        <w:pStyle w:val="Compact"/>
        <w:numPr>
          <w:ilvl w:val="0"/>
          <w:numId w:val="8"/>
        </w:numPr>
      </w:pPr>
      <w:r w:rsidRPr="00DA70D1">
        <w:t>Mapa priorizado de procesos a mejorar</w:t>
      </w:r>
    </w:p>
    <w:p w:rsidRPr="00DA70D1" w:rsidR="00DA70D1" w:rsidP="00DA70D1" w:rsidRDefault="00000000" w14:paraId="2B8DF969" w14:textId="570E5557">
      <w:pPr>
        <w:pStyle w:val="Compact"/>
        <w:numPr>
          <w:ilvl w:val="0"/>
          <w:numId w:val="8"/>
        </w:numPr>
      </w:pPr>
      <w:r w:rsidRPr="00DA70D1">
        <w:t>Comparativa de procesos AS-IS vs TO-BE</w:t>
      </w:r>
    </w:p>
    <w:p w:rsidRPr="005A308E" w:rsidR="00FF7C89" w:rsidP="00DA70D1" w:rsidRDefault="00000000" w14:paraId="727B36BD" w14:textId="3D5C4CB5">
      <w:pPr>
        <w:pStyle w:val="Compact"/>
        <w:numPr>
          <w:ilvl w:val="0"/>
          <w:numId w:val="8"/>
        </w:numPr>
      </w:pPr>
      <w:r w:rsidRPr="00DA70D1">
        <w:t>Conclusiones</w:t>
      </w:r>
      <w:r w:rsidRPr="005A308E">
        <w:t xml:space="preserve"> accionables para la organización</w:t>
      </w:r>
    </w:p>
    <w:p w:rsidRPr="005A308E" w:rsidR="00FF7C89" w:rsidRDefault="00000000" w14:paraId="7BEFF26F" w14:textId="77777777">
      <w:pPr>
        <w:pStyle w:val="Ttulo2"/>
      </w:pPr>
      <w:bookmarkStart w:name="servicios-incluidos-en-el-alcance" w:id="11"/>
      <w:bookmarkEnd w:id="3"/>
      <w:bookmarkEnd w:id="10"/>
      <w:r w:rsidRPr="005A308E">
        <w:t>Servicios Incluidos en el Alcance</w:t>
      </w:r>
    </w:p>
    <w:p w:rsidRPr="005A308E" w:rsidR="00FF7C89" w:rsidRDefault="00000000" w14:paraId="3F347D3E" w14:textId="77777777" w14:noSpellErr="1">
      <w:pPr>
        <w:pStyle w:val="FirstParagraph"/>
      </w:pPr>
      <w:r w:rsidRPr="21AA216C" w:rsidR="00000000">
        <w:rPr>
          <w:lang w:val="es-ES"/>
        </w:rPr>
        <w:t>IAbility</w:t>
      </w:r>
      <w:r w:rsidRPr="21AA216C" w:rsidR="00000000">
        <w:rPr>
          <w:lang w:val="es-ES"/>
        </w:rPr>
        <w:t xml:space="preserve"> no es solo una plataforma tecnológica, sino un servicio integral que incluye:</w:t>
      </w:r>
    </w:p>
    <w:p w:rsidRPr="005A308E" w:rsidR="00FF7C89" w:rsidRDefault="00000000" w14:paraId="5BB5832C" w14:textId="77777777">
      <w:pPr>
        <w:pStyle w:val="Ttulo3"/>
      </w:pPr>
      <w:bookmarkStart w:name="plataforma-digital" w:id="12"/>
      <w:r w:rsidRPr="005A308E">
        <w:t>Plataforma Digital</w:t>
      </w:r>
    </w:p>
    <w:p w:rsidRPr="005A308E" w:rsidR="00FF7C89" w:rsidRDefault="00000000" w14:paraId="5D760C0B" w14:textId="77777777">
      <w:pPr>
        <w:pStyle w:val="Compact"/>
        <w:numPr>
          <w:ilvl w:val="0"/>
          <w:numId w:val="9"/>
        </w:numPr>
      </w:pPr>
      <w:r w:rsidRPr="005A308E">
        <w:rPr>
          <w:b/>
          <w:bCs/>
        </w:rPr>
        <w:t>Instancias personalizadas</w:t>
      </w:r>
      <w:r w:rsidRPr="005A308E">
        <w:t>: Adaptadas a la imagen corporativa del cliente (logo, colores, cabeceras).</w:t>
      </w:r>
    </w:p>
    <w:p w:rsidRPr="005A308E" w:rsidR="00FF7C89" w:rsidRDefault="00000000" w14:paraId="14B8F2C4" w14:textId="3690D17E">
      <w:pPr>
        <w:pStyle w:val="Compact"/>
        <w:numPr>
          <w:ilvl w:val="0"/>
          <w:numId w:val="9"/>
        </w:numPr>
        <w:rPr/>
      </w:pPr>
      <w:r w:rsidRPr="21AA216C" w:rsidR="00000000">
        <w:rPr>
          <w:b w:val="1"/>
          <w:bCs w:val="1"/>
          <w:lang w:val="es-ES"/>
        </w:rPr>
        <w:t>Multiidioma</w:t>
      </w:r>
      <w:r w:rsidRPr="21AA216C" w:rsidR="00000000">
        <w:rPr>
          <w:lang w:val="es-ES"/>
        </w:rPr>
        <w:t xml:space="preserve">: Disponible en español, inglés y </w:t>
      </w:r>
      <w:r w:rsidRPr="21AA216C" w:rsidR="00DA70D1">
        <w:rPr>
          <w:lang w:val="es-ES"/>
        </w:rPr>
        <w:t>alemán</w:t>
      </w:r>
      <w:r w:rsidRPr="21AA216C" w:rsidR="00000000">
        <w:rPr>
          <w:lang w:val="es-ES"/>
        </w:rPr>
        <w:t xml:space="preserve"> (cada versión con su propia instancia).</w:t>
      </w:r>
    </w:p>
    <w:p w:rsidRPr="005A308E" w:rsidR="00FF7C89" w:rsidRDefault="00000000" w14:paraId="16460AD8" w14:textId="77777777">
      <w:pPr>
        <w:pStyle w:val="Compact"/>
        <w:numPr>
          <w:ilvl w:val="0"/>
          <w:numId w:val="9"/>
        </w:numPr>
        <w:rPr/>
      </w:pPr>
      <w:r w:rsidRPr="21AA216C" w:rsidR="00000000">
        <w:rPr>
          <w:b w:val="1"/>
          <w:bCs w:val="1"/>
          <w:lang w:val="es-ES"/>
        </w:rPr>
        <w:t>Diseño responsive</w:t>
      </w:r>
      <w:r w:rsidRPr="21AA216C" w:rsidR="00000000">
        <w:rPr>
          <w:lang w:val="es-ES"/>
        </w:rPr>
        <w:t xml:space="preserve">: Accesible desde cualquier dispositivo (móvil, </w:t>
      </w:r>
      <w:r w:rsidRPr="21AA216C" w:rsidR="00000000">
        <w:rPr>
          <w:lang w:val="es-ES"/>
        </w:rPr>
        <w:t>tablet</w:t>
      </w:r>
      <w:r w:rsidRPr="21AA216C" w:rsidR="00000000">
        <w:rPr>
          <w:lang w:val="es-ES"/>
        </w:rPr>
        <w:t>, ordenador).</w:t>
      </w:r>
    </w:p>
    <w:p w:rsidRPr="005A308E" w:rsidR="00FF7C89" w:rsidRDefault="00000000" w14:paraId="181AB871" w14:textId="77777777">
      <w:pPr>
        <w:pStyle w:val="Compact"/>
        <w:numPr>
          <w:ilvl w:val="0"/>
          <w:numId w:val="9"/>
        </w:numPr>
      </w:pPr>
      <w:r w:rsidRPr="005A308E">
        <w:rPr>
          <w:b/>
          <w:bCs/>
        </w:rPr>
        <w:t>Módulo de mensajes</w:t>
      </w:r>
      <w:r w:rsidRPr="005A308E">
        <w:t>: Sistema integrado para las comunicaciones de la campaña.</w:t>
      </w:r>
    </w:p>
    <w:p w:rsidRPr="005A308E" w:rsidR="00FF7C89" w:rsidRDefault="00000000" w14:paraId="542294D3" w14:textId="77777777">
      <w:pPr>
        <w:pStyle w:val="Ttulo3"/>
      </w:pPr>
      <w:bookmarkStart w:name="servicios-de-dinamización" w:id="13"/>
      <w:bookmarkEnd w:id="12"/>
      <w:r w:rsidRPr="005A308E">
        <w:t>Servicios de Dinamización</w:t>
      </w:r>
    </w:p>
    <w:p w:rsidRPr="005A308E" w:rsidR="00FF7C89" w:rsidRDefault="00000000" w14:paraId="4DB45152" w14:textId="77777777">
      <w:pPr>
        <w:pStyle w:val="Compact"/>
        <w:numPr>
          <w:ilvl w:val="0"/>
          <w:numId w:val="10"/>
        </w:numPr>
      </w:pPr>
      <w:r w:rsidRPr="005A308E">
        <w:rPr>
          <w:b/>
          <w:bCs/>
        </w:rPr>
        <w:t>Plan de comunicación completo</w:t>
      </w:r>
      <w:r w:rsidRPr="005A308E">
        <w:t>: Comunicados de lanzamiento, refuerzo y cierre.</w:t>
      </w:r>
    </w:p>
    <w:p w:rsidRPr="005A308E" w:rsidR="00FF7C89" w:rsidRDefault="00000000" w14:paraId="19A09B7F" w14:textId="77777777">
      <w:pPr>
        <w:pStyle w:val="Compact"/>
        <w:numPr>
          <w:ilvl w:val="0"/>
          <w:numId w:val="10"/>
        </w:numPr>
      </w:pPr>
      <w:r w:rsidRPr="005A308E">
        <w:rPr>
          <w:b/>
          <w:bCs/>
        </w:rPr>
        <w:t>Dinamización de foros</w:t>
      </w:r>
      <w:r w:rsidRPr="005A308E">
        <w:t>: Moderación activa para fomentar la participación.</w:t>
      </w:r>
    </w:p>
    <w:p w:rsidR="00FF7C89" w:rsidRDefault="00000000" w14:paraId="417A0F68" w14:textId="77777777">
      <w:pPr>
        <w:pStyle w:val="Compact"/>
        <w:numPr>
          <w:ilvl w:val="0"/>
          <w:numId w:val="10"/>
        </w:numPr>
      </w:pPr>
      <w:r w:rsidRPr="005A308E">
        <w:rPr>
          <w:b/>
          <w:bCs/>
        </w:rPr>
        <w:t>Publicación de noticias</w:t>
      </w:r>
      <w:r w:rsidRPr="005A308E">
        <w:t>: Actualización semanal con las últimas novedades sobre IA.</w:t>
      </w:r>
    </w:p>
    <w:p w:rsidRPr="005A308E" w:rsidR="00DA70D1" w:rsidP="00DA70D1" w:rsidRDefault="00DA70D1" w14:paraId="382B6DEA" w14:textId="0D1DFA61" w14:noSpellErr="1">
      <w:pPr>
        <w:pStyle w:val="Compact"/>
        <w:numPr>
          <w:ilvl w:val="0"/>
          <w:numId w:val="10"/>
        </w:numPr>
        <w:rPr/>
      </w:pPr>
      <w:r w:rsidRPr="21AA216C" w:rsidR="00DA70D1">
        <w:rPr>
          <w:b w:val="1"/>
          <w:bCs w:val="1"/>
          <w:lang w:val="es-ES"/>
        </w:rPr>
        <w:t xml:space="preserve">Mantenimiento del </w:t>
      </w:r>
      <w:r w:rsidRPr="21AA216C" w:rsidR="00DA70D1">
        <w:rPr>
          <w:b w:val="1"/>
          <w:bCs w:val="1"/>
          <w:lang w:val="es-ES"/>
        </w:rPr>
        <w:t>Hub</w:t>
      </w:r>
      <w:r w:rsidRPr="21AA216C" w:rsidR="00DA70D1">
        <w:rPr>
          <w:lang w:val="es-ES"/>
        </w:rPr>
        <w:t xml:space="preserve">: Actualización </w:t>
      </w:r>
      <w:r w:rsidRPr="21AA216C" w:rsidR="00DA70D1">
        <w:rPr>
          <w:lang w:val="es-ES"/>
        </w:rPr>
        <w:t>mensual</w:t>
      </w:r>
      <w:r w:rsidRPr="21AA216C" w:rsidR="00DA70D1">
        <w:rPr>
          <w:lang w:val="es-ES"/>
        </w:rPr>
        <w:t xml:space="preserve"> con l</w:t>
      </w:r>
      <w:r w:rsidRPr="21AA216C" w:rsidR="00DA70D1">
        <w:rPr>
          <w:lang w:val="es-ES"/>
        </w:rPr>
        <w:t>o</w:t>
      </w:r>
      <w:r w:rsidRPr="21AA216C" w:rsidR="00DA70D1">
        <w:rPr>
          <w:lang w:val="es-ES"/>
        </w:rPr>
        <w:t>s</w:t>
      </w:r>
      <w:r w:rsidRPr="21AA216C" w:rsidR="00DA70D1">
        <w:rPr>
          <w:lang w:val="es-ES"/>
        </w:rPr>
        <w:t xml:space="preserve"> mejores y más novedosos contenidos de profundización </w:t>
      </w:r>
      <w:r w:rsidRPr="21AA216C" w:rsidR="00DA70D1">
        <w:rPr>
          <w:lang w:val="es-ES"/>
        </w:rPr>
        <w:t>sobre IA.</w:t>
      </w:r>
    </w:p>
    <w:p w:rsidRPr="005A308E" w:rsidR="00FF7C89" w:rsidRDefault="00000000" w14:paraId="02ADF26F" w14:textId="77777777">
      <w:pPr>
        <w:pStyle w:val="Compact"/>
        <w:numPr>
          <w:ilvl w:val="0"/>
          <w:numId w:val="10"/>
        </w:numPr>
      </w:pPr>
      <w:r w:rsidRPr="005A308E">
        <w:rPr>
          <w:b/>
          <w:bCs/>
        </w:rPr>
        <w:lastRenderedPageBreak/>
        <w:t>Soporte funcional</w:t>
      </w:r>
      <w:r w:rsidRPr="005A308E">
        <w:t>: Atención a incidencias a través del canal integrado en la plataforma.</w:t>
      </w:r>
    </w:p>
    <w:p w:rsidRPr="005A308E" w:rsidR="00FF7C89" w:rsidRDefault="00000000" w14:paraId="663A4425" w14:textId="77777777">
      <w:pPr>
        <w:pStyle w:val="Ttulo3"/>
      </w:pPr>
      <w:bookmarkStart w:name="servicios-de-tutorización" w:id="14"/>
      <w:bookmarkEnd w:id="13"/>
      <w:r w:rsidRPr="005A308E">
        <w:t>Servicios de Tutorización</w:t>
      </w:r>
    </w:p>
    <w:p w:rsidRPr="005A308E" w:rsidR="00FF7C89" w:rsidRDefault="00000000" w14:paraId="645525A5" w14:textId="77777777">
      <w:pPr>
        <w:pStyle w:val="Compact"/>
        <w:numPr>
          <w:ilvl w:val="0"/>
          <w:numId w:val="11"/>
        </w:numPr>
        <w:rPr/>
      </w:pPr>
      <w:r w:rsidRPr="21AA216C" w:rsidR="00000000">
        <w:rPr>
          <w:b w:val="1"/>
          <w:bCs w:val="1"/>
          <w:lang w:val="es-ES"/>
        </w:rPr>
        <w:t xml:space="preserve">Evento </w:t>
      </w:r>
      <w:r w:rsidRPr="21AA216C" w:rsidR="00000000">
        <w:rPr>
          <w:b w:val="1"/>
          <w:bCs w:val="1"/>
          <w:lang w:val="es-ES"/>
        </w:rPr>
        <w:t>kickoff</w:t>
      </w:r>
      <w:r w:rsidRPr="21AA216C" w:rsidR="00000000">
        <w:rPr>
          <w:lang w:val="es-ES"/>
        </w:rPr>
        <w:t>: Presentación inicial de la campaña.</w:t>
      </w:r>
    </w:p>
    <w:p w:rsidRPr="005A308E" w:rsidR="00FF7C89" w:rsidRDefault="00000000" w14:paraId="3192127E" w14:textId="77777777">
      <w:pPr>
        <w:pStyle w:val="Compact"/>
        <w:numPr>
          <w:ilvl w:val="0"/>
          <w:numId w:val="11"/>
        </w:numPr>
      </w:pPr>
      <w:r w:rsidRPr="005A308E">
        <w:rPr>
          <w:b/>
          <w:bCs/>
        </w:rPr>
        <w:t>Formación de formadores</w:t>
      </w:r>
      <w:r w:rsidRPr="005A308E">
        <w:t>: Para el personal que desplegará el conocimiento internamente.</w:t>
      </w:r>
    </w:p>
    <w:p w:rsidRPr="005A308E" w:rsidR="00FF7C89" w:rsidRDefault="00000000" w14:paraId="4BDC46A9" w14:textId="77777777">
      <w:pPr>
        <w:pStyle w:val="Compact"/>
        <w:numPr>
          <w:ilvl w:val="0"/>
          <w:numId w:val="11"/>
        </w:numPr>
        <w:rPr/>
      </w:pPr>
      <w:r w:rsidRPr="21AA216C" w:rsidR="00000000">
        <w:rPr>
          <w:b w:val="1"/>
          <w:bCs w:val="1"/>
          <w:lang w:val="es-ES"/>
        </w:rPr>
        <w:t xml:space="preserve">Sesiones </w:t>
      </w:r>
      <w:r w:rsidRPr="21AA216C" w:rsidR="00000000">
        <w:rPr>
          <w:b w:val="1"/>
          <w:bCs w:val="1"/>
          <w:lang w:val="es-ES"/>
        </w:rPr>
        <w:t>webinar</w:t>
      </w:r>
      <w:r w:rsidRPr="21AA216C" w:rsidR="00000000">
        <w:rPr>
          <w:lang w:val="es-ES"/>
        </w:rPr>
        <w:t>: Dinamizadas por expertos en IA y transformación digital.</w:t>
      </w:r>
    </w:p>
    <w:p w:rsidRPr="005A308E" w:rsidR="00FF7C89" w:rsidRDefault="00000000" w14:paraId="5C8FA7E5" w14:textId="77777777">
      <w:pPr>
        <w:pStyle w:val="Compact"/>
        <w:numPr>
          <w:ilvl w:val="0"/>
          <w:numId w:val="11"/>
        </w:numPr>
        <w:rPr/>
      </w:pPr>
      <w:r w:rsidRPr="21AA216C" w:rsidR="00000000">
        <w:rPr>
          <w:b w:val="1"/>
          <w:bCs w:val="1"/>
          <w:lang w:val="es-ES"/>
        </w:rPr>
        <w:t>Soporte durante los talleres</w:t>
      </w:r>
      <w:r w:rsidRPr="21AA216C" w:rsidR="00000000">
        <w:rPr>
          <w:lang w:val="es-ES"/>
        </w:rPr>
        <w:t xml:space="preserve">: Acompañamiento experto en </w:t>
      </w:r>
      <w:r w:rsidRPr="21AA216C" w:rsidR="00000000">
        <w:rPr>
          <w:lang w:val="es-ES"/>
        </w:rPr>
        <w:t>IAbility</w:t>
      </w:r>
      <w:r w:rsidRPr="21AA216C" w:rsidR="00000000">
        <w:rPr>
          <w:lang w:val="es-ES"/>
        </w:rPr>
        <w:t xml:space="preserve"> </w:t>
      </w:r>
      <w:r w:rsidRPr="21AA216C" w:rsidR="00000000">
        <w:rPr>
          <w:lang w:val="es-ES"/>
        </w:rPr>
        <w:t>Labs</w:t>
      </w:r>
      <w:r w:rsidRPr="21AA216C" w:rsidR="00000000">
        <w:rPr>
          <w:lang w:val="es-ES"/>
        </w:rPr>
        <w:t>.</w:t>
      </w:r>
    </w:p>
    <w:p w:rsidRPr="005A308E" w:rsidR="00FF7C89" w:rsidP="21AA216C" w:rsidRDefault="00000000" w14:paraId="0E28E89E" w14:textId="77777777">
      <w:pPr>
        <w:pStyle w:val="Ttulo3"/>
        <w:rPr>
          <w:lang w:val="es-ES"/>
        </w:rPr>
      </w:pPr>
      <w:bookmarkStart w:name="seguimiento-y-reporting" w:id="15"/>
      <w:bookmarkEnd w:id="14"/>
      <w:r w:rsidRPr="21AA216C" w:rsidR="00000000">
        <w:rPr>
          <w:lang w:val="es-ES"/>
        </w:rPr>
        <w:t xml:space="preserve">Seguimiento y </w:t>
      </w:r>
      <w:r w:rsidRPr="21AA216C" w:rsidR="00000000">
        <w:rPr>
          <w:lang w:val="es-ES"/>
        </w:rPr>
        <w:t>Reporting</w:t>
      </w:r>
    </w:p>
    <w:p w:rsidRPr="005A308E" w:rsidR="00FF7C89" w:rsidRDefault="00000000" w14:paraId="5270A281" w14:textId="77777777">
      <w:pPr>
        <w:pStyle w:val="Compact"/>
        <w:numPr>
          <w:ilvl w:val="0"/>
          <w:numId w:val="12"/>
        </w:numPr>
      </w:pPr>
      <w:r w:rsidRPr="005A308E">
        <w:rPr>
          <w:b/>
          <w:bCs/>
        </w:rPr>
        <w:t>Reuniones periódicas</w:t>
      </w:r>
      <w:r w:rsidRPr="005A308E">
        <w:t>: Seguimiento después de cada portal/fase.</w:t>
      </w:r>
    </w:p>
    <w:p w:rsidRPr="005A308E" w:rsidR="00FF7C89" w:rsidRDefault="00000000" w14:paraId="4617160A" w14:textId="77777777">
      <w:pPr>
        <w:pStyle w:val="Compact"/>
        <w:numPr>
          <w:ilvl w:val="0"/>
          <w:numId w:val="12"/>
        </w:numPr>
      </w:pPr>
      <w:r w:rsidRPr="005A308E">
        <w:rPr>
          <w:b/>
          <w:bCs/>
        </w:rPr>
        <w:t>Informes de progreso</w:t>
      </w:r>
      <w:r w:rsidRPr="005A308E">
        <w:t>: Reportes quincenales con estadísticas de acceso y participación.</w:t>
      </w:r>
    </w:p>
    <w:p w:rsidRPr="005A308E" w:rsidR="00FF7C89" w:rsidRDefault="00000000" w14:paraId="7EB55C0A" w14:textId="77777777">
      <w:pPr>
        <w:pStyle w:val="Compact"/>
        <w:numPr>
          <w:ilvl w:val="0"/>
          <w:numId w:val="12"/>
        </w:numPr>
        <w:rPr/>
      </w:pPr>
      <w:r w:rsidRPr="21AA216C" w:rsidR="00000000">
        <w:rPr>
          <w:b w:val="1"/>
          <w:bCs w:val="1"/>
          <w:lang w:val="es-ES"/>
        </w:rPr>
        <w:t>KPIs</w:t>
      </w:r>
      <w:r w:rsidRPr="21AA216C" w:rsidR="00000000">
        <w:rPr>
          <w:b w:val="1"/>
          <w:bCs w:val="1"/>
          <w:lang w:val="es-ES"/>
        </w:rPr>
        <w:t xml:space="preserve"> detallados</w:t>
      </w:r>
      <w:r w:rsidRPr="21AA216C" w:rsidR="00000000">
        <w:rPr>
          <w:lang w:val="es-ES"/>
        </w:rPr>
        <w:t>: Métricas de adherencia, conocimiento y concienciación.</w:t>
      </w:r>
    </w:p>
    <w:p w:rsidRPr="005A308E" w:rsidR="00FF7C89" w:rsidRDefault="00000000" w14:paraId="0E98E6BE" w14:textId="77777777">
      <w:pPr>
        <w:pStyle w:val="Compact"/>
        <w:numPr>
          <w:ilvl w:val="0"/>
          <w:numId w:val="12"/>
        </w:numPr>
        <w:rPr/>
      </w:pPr>
      <w:r w:rsidRPr="21AA216C" w:rsidR="00000000">
        <w:rPr>
          <w:b w:val="1"/>
          <w:bCs w:val="1"/>
          <w:lang w:val="es-ES"/>
        </w:rPr>
        <w:t>Informe final</w:t>
      </w:r>
      <w:r w:rsidRPr="21AA216C" w:rsidR="00000000">
        <w:rPr>
          <w:lang w:val="es-ES"/>
        </w:rPr>
        <w:t xml:space="preserve">: </w:t>
      </w:r>
      <w:r w:rsidRPr="21AA216C" w:rsidR="00000000">
        <w:rPr>
          <w:lang w:val="es-ES"/>
        </w:rPr>
        <w:t>Assessment</w:t>
      </w:r>
      <w:r w:rsidRPr="21AA216C" w:rsidR="00000000">
        <w:rPr>
          <w:lang w:val="es-ES"/>
        </w:rPr>
        <w:t xml:space="preserve"> completo con resultados y recomendaciones.</w:t>
      </w:r>
    </w:p>
    <w:p w:rsidRPr="005A308E" w:rsidR="00FF7C89" w:rsidRDefault="00000000" w14:paraId="1AD8CB49" w14:textId="77777777">
      <w:pPr>
        <w:pStyle w:val="Compact"/>
        <w:numPr>
          <w:ilvl w:val="0"/>
          <w:numId w:val="12"/>
        </w:numPr>
      </w:pPr>
      <w:r w:rsidRPr="005A308E">
        <w:rPr>
          <w:b/>
          <w:bCs/>
        </w:rPr>
        <w:t>Evento de cierre</w:t>
      </w:r>
      <w:r w:rsidRPr="005A308E">
        <w:t>: Presentación de conclusiones y planes de acción futuros.</w:t>
      </w:r>
    </w:p>
    <w:p w:rsidRPr="005A308E" w:rsidR="00FF7C89" w:rsidRDefault="00000000" w14:paraId="09FB7535" w14:textId="77777777">
      <w:pPr>
        <w:pStyle w:val="Ttulo3"/>
      </w:pPr>
      <w:bookmarkStart w:name="personalización-y-adaptación" w:id="16"/>
      <w:bookmarkEnd w:id="15"/>
      <w:r w:rsidRPr="005A308E">
        <w:t>Personalización y Adaptación</w:t>
      </w:r>
    </w:p>
    <w:p w:rsidRPr="005A308E" w:rsidR="00FF7C89" w:rsidRDefault="00000000" w14:paraId="0ECC22E3" w14:textId="77777777">
      <w:pPr>
        <w:pStyle w:val="Compact"/>
        <w:numPr>
          <w:ilvl w:val="0"/>
          <w:numId w:val="13"/>
        </w:numPr>
      </w:pPr>
      <w:r w:rsidRPr="005A308E">
        <w:rPr>
          <w:b/>
          <w:bCs/>
        </w:rPr>
        <w:t>Adaptación a perfiles</w:t>
      </w:r>
      <w:r w:rsidRPr="005A308E">
        <w:t>: Contenidos específicos para directivos, personal con puesto digital y trabajadores sin puesto digital.</w:t>
      </w:r>
    </w:p>
    <w:p w:rsidRPr="005A308E" w:rsidR="00FF7C89" w:rsidRDefault="00000000" w14:paraId="48630D85" w14:textId="77777777">
      <w:pPr>
        <w:pStyle w:val="Compact"/>
        <w:numPr>
          <w:ilvl w:val="0"/>
          <w:numId w:val="13"/>
        </w:numPr>
        <w:rPr/>
      </w:pPr>
      <w:r w:rsidRPr="21AA216C" w:rsidR="00000000">
        <w:rPr>
          <w:b w:val="1"/>
          <w:bCs w:val="1"/>
          <w:lang w:val="es-ES"/>
        </w:rPr>
        <w:t>Kit del formador</w:t>
      </w:r>
      <w:r w:rsidRPr="21AA216C" w:rsidR="00000000">
        <w:rPr>
          <w:lang w:val="es-ES"/>
        </w:rPr>
        <w:t xml:space="preserve">: Material completo para la capacitación interna (seguidores, vídeos, demos, </w:t>
      </w:r>
      <w:r w:rsidRPr="21AA216C" w:rsidR="00000000">
        <w:rPr>
          <w:lang w:val="es-ES"/>
        </w:rPr>
        <w:t>FAQs</w:t>
      </w:r>
      <w:r w:rsidRPr="21AA216C" w:rsidR="00000000">
        <w:rPr>
          <w:lang w:val="es-ES"/>
        </w:rPr>
        <w:t>, guías).</w:t>
      </w:r>
    </w:p>
    <w:p w:rsidRPr="005A308E" w:rsidR="00FF7C89" w:rsidRDefault="00000000" w14:paraId="1B0A83DB" w14:textId="77777777">
      <w:pPr>
        <w:pStyle w:val="Compact"/>
        <w:numPr>
          <w:ilvl w:val="0"/>
          <w:numId w:val="13"/>
        </w:numPr>
        <w:rPr/>
      </w:pPr>
      <w:r w:rsidRPr="21AA216C" w:rsidR="00000000">
        <w:rPr>
          <w:b w:val="1"/>
          <w:bCs w:val="1"/>
          <w:lang w:val="es-ES"/>
        </w:rPr>
        <w:t>Playbook</w:t>
      </w:r>
      <w:r w:rsidRPr="21AA216C" w:rsidR="00000000">
        <w:rPr>
          <w:b w:val="1"/>
          <w:bCs w:val="1"/>
          <w:lang w:val="es-ES"/>
        </w:rPr>
        <w:t xml:space="preserve"> para formadores</w:t>
      </w:r>
      <w:r w:rsidRPr="21AA216C" w:rsidR="00000000">
        <w:rPr>
          <w:lang w:val="es-ES"/>
        </w:rPr>
        <w:t>: Guía detallada paso a paso para la transferencia de conocimiento.</w:t>
      </w:r>
    </w:p>
    <w:p w:rsidRPr="005A308E" w:rsidR="00FF7C89" w:rsidRDefault="00000000" w14:paraId="7D71288B" w14:textId="77777777">
      <w:pPr>
        <w:pStyle w:val="Ttulo2"/>
      </w:pPr>
      <w:bookmarkStart w:name="cumplimiento-del-reglamento-de-ia-ai-act" w:id="17"/>
      <w:bookmarkEnd w:id="11"/>
      <w:bookmarkEnd w:id="16"/>
      <w:r w:rsidRPr="21AA216C" w:rsidR="00000000">
        <w:rPr>
          <w:lang w:val="es-ES"/>
        </w:rPr>
        <w:t xml:space="preserve">Cumplimiento del Reglamento de IA (AI </w:t>
      </w:r>
      <w:r w:rsidRPr="21AA216C" w:rsidR="00000000">
        <w:rPr>
          <w:lang w:val="es-ES"/>
        </w:rPr>
        <w:t>Act</w:t>
      </w:r>
      <w:r w:rsidRPr="21AA216C" w:rsidR="00000000">
        <w:rPr>
          <w:lang w:val="es-ES"/>
        </w:rPr>
        <w:t>)</w:t>
      </w:r>
    </w:p>
    <w:p w:rsidRPr="005A308E" w:rsidR="00FF7C89" w:rsidRDefault="00000000" w14:paraId="792D6157" w14:textId="77777777">
      <w:pPr>
        <w:pStyle w:val="FirstParagraph"/>
      </w:pPr>
      <w:r w:rsidRPr="21AA216C" w:rsidR="00000000">
        <w:rPr>
          <w:lang w:val="es-ES"/>
        </w:rPr>
        <w:t>IAbility</w:t>
      </w:r>
      <w:r w:rsidRPr="21AA216C" w:rsidR="00000000">
        <w:rPr>
          <w:lang w:val="es-ES"/>
        </w:rPr>
        <w:t xml:space="preserve"> ha sido específicamente diseñado para garantizar el cumplimiento del Reglamento de Inteligencia Artificial de la Unión Europea (AI </w:t>
      </w:r>
      <w:r w:rsidRPr="21AA216C" w:rsidR="00000000">
        <w:rPr>
          <w:lang w:val="es-ES"/>
        </w:rPr>
        <w:t>Act</w:t>
      </w:r>
      <w:r w:rsidRPr="21AA216C" w:rsidR="00000000">
        <w:rPr>
          <w:lang w:val="es-ES"/>
        </w:rPr>
        <w:t>), particularmente del artículo 4 del capítulo I, que establece la obligación de las organizaciones de implementar procesos de alfabetización en IA cuando adopten cualquier iniciativa relacionada con esta tecnología.</w:t>
      </w:r>
    </w:p>
    <w:p w:rsidRPr="005A308E" w:rsidR="00FF7C89" w:rsidRDefault="00000000" w14:paraId="5CFC48C1" w14:textId="77777777">
      <w:pPr>
        <w:pStyle w:val="Textoindependiente"/>
      </w:pPr>
      <w:r w:rsidRPr="21AA216C" w:rsidR="00000000">
        <w:rPr>
          <w:lang w:val="es-ES"/>
        </w:rPr>
        <w:t xml:space="preserve">Desarrollado en colaboración con </w:t>
      </w:r>
      <w:r w:rsidRPr="21AA216C" w:rsidR="00000000">
        <w:rPr>
          <w:lang w:val="es-ES"/>
        </w:rPr>
        <w:t>Audens</w:t>
      </w:r>
      <w:r w:rsidRPr="21AA216C" w:rsidR="00000000">
        <w:rPr>
          <w:lang w:val="es-ES"/>
        </w:rPr>
        <w:t xml:space="preserve">, uno de los despachos de abogados más prestigiosos especializados en derecho digital, </w:t>
      </w:r>
      <w:r w:rsidRPr="21AA216C" w:rsidR="00000000">
        <w:rPr>
          <w:lang w:val="es-ES"/>
        </w:rPr>
        <w:t>IAbility</w:t>
      </w:r>
      <w:r w:rsidRPr="21AA216C" w:rsidR="00000000">
        <w:rPr>
          <w:lang w:val="es-ES"/>
        </w:rPr>
        <w:t>:</w:t>
      </w:r>
    </w:p>
    <w:p w:rsidRPr="005A308E" w:rsidR="00FF7C89" w:rsidRDefault="00000000" w14:paraId="55800195" w14:textId="77777777">
      <w:pPr>
        <w:pStyle w:val="Compact"/>
        <w:numPr>
          <w:ilvl w:val="0"/>
          <w:numId w:val="14"/>
        </w:numPr>
      </w:pPr>
      <w:r w:rsidRPr="005A308E">
        <w:rPr>
          <w:b/>
          <w:bCs/>
        </w:rPr>
        <w:t>Cubre todos los requisitos normativos</w:t>
      </w:r>
      <w:r w:rsidRPr="005A308E">
        <w:t>: Información sobre riesgos, normativas, responsabilidades y consideraciones éticas.</w:t>
      </w:r>
    </w:p>
    <w:p w:rsidRPr="005A308E" w:rsidR="00FF7C89" w:rsidRDefault="00000000" w14:paraId="2AC9996E" w14:textId="77777777">
      <w:pPr>
        <w:pStyle w:val="Compact"/>
        <w:numPr>
          <w:ilvl w:val="0"/>
          <w:numId w:val="14"/>
        </w:numPr>
      </w:pPr>
      <w:r w:rsidRPr="005A308E">
        <w:rPr>
          <w:b/>
          <w:bCs/>
        </w:rPr>
        <w:t>Proporciona documentación legal</w:t>
      </w:r>
      <w:r w:rsidRPr="005A308E">
        <w:t>: Nota jurídica detallada que certifica el cumplimiento normativo.</w:t>
      </w:r>
    </w:p>
    <w:p w:rsidRPr="005A308E" w:rsidR="00FF7C89" w:rsidRDefault="00000000" w14:paraId="130FE4CF" w14:textId="77777777">
      <w:pPr>
        <w:pStyle w:val="Compact"/>
        <w:numPr>
          <w:ilvl w:val="0"/>
          <w:numId w:val="14"/>
        </w:numPr>
      </w:pPr>
      <w:r w:rsidRPr="005A308E">
        <w:rPr>
          <w:b/>
          <w:bCs/>
        </w:rPr>
        <w:t>Actualiza el contenido</w:t>
      </w:r>
      <w:r w:rsidRPr="005A308E">
        <w:t>: Mantiene los materiales al día con los últimos desarrollos regulatorios.</w:t>
      </w:r>
    </w:p>
    <w:p w:rsidRPr="005A308E" w:rsidR="00FF7C89" w:rsidRDefault="00000000" w14:paraId="63C9967D" w14:textId="77777777">
      <w:pPr>
        <w:pStyle w:val="Compact"/>
        <w:numPr>
          <w:ilvl w:val="0"/>
          <w:numId w:val="14"/>
        </w:numPr>
      </w:pPr>
      <w:r w:rsidRPr="005A308E">
        <w:rPr>
          <w:b/>
          <w:bCs/>
        </w:rPr>
        <w:lastRenderedPageBreak/>
        <w:t>Minimiza riesgos legales</w:t>
      </w:r>
      <w:r w:rsidRPr="005A308E">
        <w:t>: Previene potenciales sanciones por incumplimiento normativo.</w:t>
      </w:r>
    </w:p>
    <w:p w:rsidRPr="005A308E" w:rsidR="00FF7C89" w:rsidRDefault="00000000" w14:paraId="479F2994" w14:textId="77777777">
      <w:pPr>
        <w:pStyle w:val="FirstParagraph"/>
      </w:pPr>
      <w:r w:rsidRPr="21AA216C" w:rsidR="00000000">
        <w:rPr>
          <w:lang w:val="es-ES"/>
        </w:rPr>
        <w:t xml:space="preserve">Es importante destacar que basta con tener activado </w:t>
      </w:r>
      <w:r w:rsidRPr="21AA216C" w:rsidR="00000000">
        <w:rPr>
          <w:lang w:val="es-ES"/>
        </w:rPr>
        <w:t>Copilot</w:t>
      </w:r>
      <w:r w:rsidRPr="21AA216C" w:rsidR="00000000">
        <w:rPr>
          <w:lang w:val="es-ES"/>
        </w:rPr>
        <w:t xml:space="preserve"> en Microsoft 365 para estar obligados a implementar este plan de alfabetización, por lo que </w:t>
      </w:r>
      <w:r w:rsidRPr="21AA216C" w:rsidR="00000000">
        <w:rPr>
          <w:lang w:val="es-ES"/>
        </w:rPr>
        <w:t>IAbility</w:t>
      </w:r>
      <w:r w:rsidRPr="21AA216C" w:rsidR="00000000">
        <w:rPr>
          <w:lang w:val="es-ES"/>
        </w:rPr>
        <w:t xml:space="preserve"> ofrece una solución inmediata y efectiva para cumplir con esta obligación.</w:t>
      </w:r>
    </w:p>
    <w:p w:rsidRPr="005A308E" w:rsidR="00FF7C89" w:rsidP="21AA216C" w:rsidRDefault="00000000" w14:paraId="400AE962" w14:textId="77777777" w14:noSpellErr="1">
      <w:pPr>
        <w:pStyle w:val="Ttulo2"/>
        <w:rPr>
          <w:lang w:val="es-ES"/>
        </w:rPr>
      </w:pPr>
      <w:bookmarkStart w:name="valor-diferencial-de-iability" w:id="18"/>
      <w:bookmarkEnd w:id="17"/>
      <w:r w:rsidRPr="21AA216C" w:rsidR="00000000">
        <w:rPr>
          <w:lang w:val="es-ES"/>
        </w:rPr>
        <w:t xml:space="preserve">Valor Diferencial de </w:t>
      </w:r>
      <w:r w:rsidRPr="21AA216C" w:rsidR="00000000">
        <w:rPr>
          <w:lang w:val="es-ES"/>
        </w:rPr>
        <w:t>IAbility</w:t>
      </w:r>
    </w:p>
    <w:p w:rsidRPr="005A308E" w:rsidR="00FF7C89" w:rsidRDefault="00000000" w14:paraId="7DA82D8A" w14:textId="77777777">
      <w:pPr>
        <w:pStyle w:val="Ttulo3"/>
      </w:pPr>
      <w:bookmarkStart w:name="metodología-única" w:id="19"/>
      <w:r w:rsidRPr="005A308E">
        <w:t>Metodología Única</w:t>
      </w:r>
    </w:p>
    <w:p w:rsidRPr="005A308E" w:rsidR="00FF7C89" w:rsidRDefault="00000000" w14:paraId="37E7F846" w14:textId="77777777">
      <w:pPr>
        <w:pStyle w:val="Compact"/>
        <w:numPr>
          <w:ilvl w:val="0"/>
          <w:numId w:val="15"/>
        </w:numPr>
      </w:pPr>
      <w:r w:rsidRPr="005A308E">
        <w:rPr>
          <w:b/>
          <w:bCs/>
        </w:rPr>
        <w:t>Modelo de “lluvia fina”</w:t>
      </w:r>
      <w:r w:rsidRPr="005A308E">
        <w:t>: Aprendizaje progresivo que requiere mínima inversión de tiempo (10 minutos semanales).</w:t>
      </w:r>
    </w:p>
    <w:p w:rsidRPr="005A308E" w:rsidR="00FF7C89" w:rsidRDefault="00000000" w14:paraId="592C79E8" w14:textId="77777777" w14:noSpellErr="1">
      <w:pPr>
        <w:pStyle w:val="Compact"/>
        <w:numPr>
          <w:ilvl w:val="0"/>
          <w:numId w:val="15"/>
        </w:numPr>
        <w:rPr/>
      </w:pPr>
      <w:r w:rsidRPr="21AA216C" w:rsidR="00000000">
        <w:rPr>
          <w:b w:val="1"/>
          <w:bCs w:val="1"/>
          <w:lang w:val="es-ES"/>
        </w:rPr>
        <w:t>Storytelling</w:t>
      </w:r>
      <w:r w:rsidRPr="21AA216C" w:rsidR="00000000">
        <w:rPr>
          <w:b w:val="1"/>
          <w:bCs w:val="1"/>
          <w:lang w:val="es-ES"/>
        </w:rPr>
        <w:t xml:space="preserve"> inmersivo</w:t>
      </w:r>
      <w:r w:rsidRPr="21AA216C" w:rsidR="00000000">
        <w:rPr>
          <w:lang w:val="es-ES"/>
        </w:rPr>
        <w:t>: Narrativa que genera empatía y facilita la comprensión de conceptos complejos.</w:t>
      </w:r>
    </w:p>
    <w:p w:rsidRPr="005A308E" w:rsidR="00FF7C89" w:rsidRDefault="00000000" w14:paraId="1A4DA960" w14:textId="77777777">
      <w:pPr>
        <w:pStyle w:val="Compact"/>
        <w:numPr>
          <w:ilvl w:val="0"/>
          <w:numId w:val="15"/>
        </w:numPr>
      </w:pPr>
      <w:r w:rsidRPr="005A308E">
        <w:rPr>
          <w:b/>
          <w:bCs/>
        </w:rPr>
        <w:t>Gamificación efectiva</w:t>
      </w:r>
      <w:r w:rsidRPr="005A308E">
        <w:t>: Mecánicas de juego que aumentan la participación y retención de conocimiento.</w:t>
      </w:r>
    </w:p>
    <w:p w:rsidRPr="005A308E" w:rsidR="00FF7C89" w:rsidRDefault="00000000" w14:paraId="30679786" w14:textId="77777777">
      <w:pPr>
        <w:pStyle w:val="Compact"/>
        <w:numPr>
          <w:ilvl w:val="0"/>
          <w:numId w:val="15"/>
        </w:numPr>
      </w:pPr>
      <w:r w:rsidRPr="005A308E">
        <w:rPr>
          <w:b/>
          <w:bCs/>
        </w:rPr>
        <w:t>Visión optimista</w:t>
      </w:r>
      <w:r w:rsidRPr="005A308E">
        <w:t>: Enfoque que prima el progreso y las oportunidades sobre los miedos y resistencias.</w:t>
      </w:r>
    </w:p>
    <w:p w:rsidRPr="005A308E" w:rsidR="00FF7C89" w:rsidRDefault="00000000" w14:paraId="112CCCBE" w14:textId="77777777">
      <w:pPr>
        <w:pStyle w:val="Ttulo3"/>
      </w:pPr>
      <w:bookmarkStart w:name="experiencia-probada" w:id="20"/>
      <w:bookmarkEnd w:id="19"/>
      <w:r w:rsidRPr="005A308E">
        <w:t>Experiencia Probada</w:t>
      </w:r>
    </w:p>
    <w:p w:rsidRPr="005A308E" w:rsidR="00FF7C89" w:rsidRDefault="00000000" w14:paraId="7EB75F6C" w14:textId="77777777">
      <w:pPr>
        <w:pStyle w:val="Compact"/>
        <w:numPr>
          <w:ilvl w:val="0"/>
          <w:numId w:val="16"/>
        </w:numPr>
      </w:pPr>
      <w:r w:rsidRPr="005A308E">
        <w:rPr>
          <w:b/>
          <w:bCs/>
        </w:rPr>
        <w:t>Trayectoria exitosa</w:t>
      </w:r>
      <w:r w:rsidRPr="005A308E">
        <w:t>: El producto predecesor en ciberseguridad impactó a más de 140.000 usuarios en 40 países.</w:t>
      </w:r>
    </w:p>
    <w:p w:rsidRPr="005A308E" w:rsidR="00FF7C89" w:rsidRDefault="00000000" w14:paraId="0BED8BEC" w14:textId="77777777">
      <w:pPr>
        <w:pStyle w:val="Compact"/>
        <w:numPr>
          <w:ilvl w:val="0"/>
          <w:numId w:val="16"/>
        </w:numPr>
        <w:rPr/>
      </w:pPr>
      <w:r w:rsidRPr="21AA216C" w:rsidR="00000000">
        <w:rPr>
          <w:b w:val="1"/>
          <w:bCs w:val="1"/>
          <w:lang w:val="es-ES"/>
        </w:rPr>
        <w:t>Referencias sectoriales</w:t>
      </w:r>
      <w:r w:rsidRPr="21AA216C" w:rsidR="00000000">
        <w:rPr>
          <w:lang w:val="es-ES"/>
        </w:rPr>
        <w:t xml:space="preserve">: Implementaciones exitosas en empresas como MAPFRE, Telefónica, </w:t>
      </w:r>
      <w:r w:rsidRPr="21AA216C" w:rsidR="00000000">
        <w:rPr>
          <w:lang w:val="es-ES"/>
        </w:rPr>
        <w:t>Navantia</w:t>
      </w:r>
      <w:r w:rsidRPr="21AA216C" w:rsidR="00000000">
        <w:rPr>
          <w:lang w:val="es-ES"/>
        </w:rPr>
        <w:t xml:space="preserve"> y entidades públicas.</w:t>
      </w:r>
    </w:p>
    <w:p w:rsidRPr="005A308E" w:rsidR="00FF7C89" w:rsidRDefault="00000000" w14:paraId="331D8426" w14:textId="77777777">
      <w:pPr>
        <w:pStyle w:val="Ttulo3"/>
      </w:pPr>
      <w:bookmarkStart w:name="servicio-integral" w:id="21"/>
      <w:bookmarkEnd w:id="20"/>
      <w:r w:rsidRPr="005A308E">
        <w:t>Servicio Integral</w:t>
      </w:r>
    </w:p>
    <w:p w:rsidRPr="005A308E" w:rsidR="00FF7C89" w:rsidRDefault="00000000" w14:paraId="0E636E1D" w14:textId="77777777">
      <w:pPr>
        <w:pStyle w:val="Compact"/>
        <w:numPr>
          <w:ilvl w:val="0"/>
          <w:numId w:val="17"/>
        </w:numPr>
        <w:rPr/>
      </w:pPr>
      <w:r w:rsidRPr="21AA216C" w:rsidR="00000000">
        <w:rPr>
          <w:b w:val="1"/>
          <w:bCs w:val="1"/>
          <w:lang w:val="es-ES"/>
        </w:rPr>
        <w:t xml:space="preserve">Enfoque </w:t>
      </w:r>
      <w:r w:rsidRPr="21AA216C" w:rsidR="00000000">
        <w:rPr>
          <w:b w:val="1"/>
          <w:bCs w:val="1"/>
          <w:lang w:val="es-ES"/>
        </w:rPr>
        <w:t>end-to-end</w:t>
      </w:r>
      <w:r w:rsidRPr="21AA216C" w:rsidR="00000000">
        <w:rPr>
          <w:lang w:val="es-ES"/>
        </w:rPr>
        <w:t>: Cubre todo el ciclo desde la evaluación hasta la implementación práctica.</w:t>
      </w:r>
    </w:p>
    <w:p w:rsidRPr="005A308E" w:rsidR="00FF7C89" w:rsidRDefault="00000000" w14:paraId="17840CE1" w14:textId="77777777">
      <w:pPr>
        <w:pStyle w:val="Compact"/>
        <w:numPr>
          <w:ilvl w:val="0"/>
          <w:numId w:val="17"/>
        </w:numPr>
      </w:pPr>
      <w:r w:rsidRPr="005A308E">
        <w:rPr>
          <w:b/>
          <w:bCs/>
        </w:rPr>
        <w:t>Acompañamiento experto</w:t>
      </w:r>
      <w:r w:rsidRPr="005A308E">
        <w:t>: Equipo especializado con amplia experiencia en transformación digital y cambio cultural.</w:t>
      </w:r>
    </w:p>
    <w:p w:rsidRPr="005A308E" w:rsidR="00FF7C89" w:rsidRDefault="00000000" w14:paraId="3FEECC02" w14:textId="77777777">
      <w:pPr>
        <w:pStyle w:val="Compact"/>
        <w:numPr>
          <w:ilvl w:val="0"/>
          <w:numId w:val="17"/>
        </w:numPr>
      </w:pPr>
      <w:r w:rsidRPr="005A308E">
        <w:rPr>
          <w:b/>
          <w:bCs/>
        </w:rPr>
        <w:t>Solución llave en mano</w:t>
      </w:r>
      <w:r w:rsidRPr="005A308E">
        <w:t>: Todos los componentes necesarios incluidos en un único servicio integrado.</w:t>
      </w:r>
    </w:p>
    <w:p w:rsidRPr="005A308E" w:rsidR="00FF7C89" w:rsidRDefault="00000000" w14:paraId="47155260" w14:textId="3861B5ED">
      <w:pPr>
        <w:pStyle w:val="Ttulo3"/>
      </w:pPr>
      <w:bookmarkStart w:name="desarrollo-100-nacional" w:id="22"/>
      <w:bookmarkEnd w:id="21"/>
      <w:r w:rsidRPr="005A308E">
        <w:t xml:space="preserve">Desarrollo 100% </w:t>
      </w:r>
      <w:r w:rsidR="006E13E5">
        <w:t>e</w:t>
      </w:r>
      <w:r w:rsidR="002B1AFE">
        <w:t>uropeo</w:t>
      </w:r>
    </w:p>
    <w:p w:rsidRPr="005A308E" w:rsidR="00FF7C89" w:rsidRDefault="00000000" w14:paraId="18060B10" w14:textId="7647EA10">
      <w:pPr>
        <w:pStyle w:val="Compact"/>
        <w:numPr>
          <w:ilvl w:val="0"/>
          <w:numId w:val="18"/>
        </w:numPr>
      </w:pPr>
      <w:r w:rsidRPr="005A308E">
        <w:rPr>
          <w:b/>
          <w:bCs/>
        </w:rPr>
        <w:t xml:space="preserve">Tecnología </w:t>
      </w:r>
      <w:r w:rsidR="002B1AFE">
        <w:rPr>
          <w:b/>
          <w:bCs/>
        </w:rPr>
        <w:t>propia</w:t>
      </w:r>
      <w:r w:rsidRPr="005A308E">
        <w:t xml:space="preserve">: Creada íntegramente por expertos </w:t>
      </w:r>
      <w:r w:rsidR="002B1AFE">
        <w:t>de la UE</w:t>
      </w:r>
      <w:r w:rsidRPr="005A308E">
        <w:t xml:space="preserve"> en IA y transformación digital.</w:t>
      </w:r>
    </w:p>
    <w:p w:rsidRPr="005A308E" w:rsidR="00FF7C89" w:rsidRDefault="00000000" w14:paraId="3AE324A7" w14:textId="23830B7F">
      <w:pPr>
        <w:pStyle w:val="Compact"/>
        <w:numPr>
          <w:ilvl w:val="0"/>
          <w:numId w:val="18"/>
        </w:numPr>
      </w:pPr>
      <w:r w:rsidRPr="005A308E">
        <w:rPr>
          <w:b/>
          <w:bCs/>
        </w:rPr>
        <w:t>Adaptada al contexto local</w:t>
      </w:r>
      <w:r w:rsidRPr="005A308E">
        <w:t xml:space="preserve">: Diseñada considerando las particularidades culturales y </w:t>
      </w:r>
      <w:r w:rsidR="002B1AFE">
        <w:t>normativas</w:t>
      </w:r>
      <w:r w:rsidRPr="005A308E">
        <w:t xml:space="preserve"> </w:t>
      </w:r>
      <w:r w:rsidR="002B1AFE">
        <w:t>europeas</w:t>
      </w:r>
      <w:r w:rsidRPr="005A308E">
        <w:t>.</w:t>
      </w:r>
    </w:p>
    <w:p w:rsidRPr="005A308E" w:rsidR="00FF7C89" w:rsidRDefault="00000000" w14:paraId="3701EB37" w14:textId="3615BE24">
      <w:pPr>
        <w:pStyle w:val="Compact"/>
        <w:numPr>
          <w:ilvl w:val="0"/>
          <w:numId w:val="18"/>
        </w:numPr>
      </w:pPr>
      <w:r w:rsidRPr="005A308E">
        <w:rPr>
          <w:b/>
          <w:bCs/>
        </w:rPr>
        <w:t>Innovación</w:t>
      </w:r>
      <w:r w:rsidRPr="005A308E">
        <w:t xml:space="preserve">: Demuestra que </w:t>
      </w:r>
      <w:r w:rsidR="002B1AFE">
        <w:t>Europa</w:t>
      </w:r>
      <w:r w:rsidRPr="005A308E">
        <w:t xml:space="preserve"> también innova en IA al más alto nivel.</w:t>
      </w:r>
    </w:p>
    <w:p w:rsidRPr="005A308E" w:rsidR="00FF7C89" w:rsidRDefault="00000000" w14:paraId="5FA980EF" w14:textId="77777777">
      <w:pPr>
        <w:pStyle w:val="Ttulo2"/>
      </w:pPr>
      <w:bookmarkStart w:name="implementación-y-resultados-esperados" w:id="23"/>
      <w:bookmarkEnd w:id="18"/>
      <w:bookmarkEnd w:id="22"/>
      <w:r w:rsidRPr="005A308E">
        <w:lastRenderedPageBreak/>
        <w:t>Implementación y Resultados Esperados</w:t>
      </w:r>
    </w:p>
    <w:p w:rsidRPr="005A308E" w:rsidR="00FF7C89" w:rsidRDefault="00000000" w14:paraId="04C43681" w14:textId="77777777">
      <w:pPr>
        <w:pStyle w:val="Ttulo3"/>
      </w:pPr>
      <w:bookmarkStart w:name="plan-de-implementación" w:id="24"/>
      <w:r w:rsidRPr="005A308E">
        <w:t>Plan de Implementación</w:t>
      </w:r>
    </w:p>
    <w:p w:rsidRPr="005A308E" w:rsidR="00FF7C89" w:rsidRDefault="00000000" w14:paraId="766BB8FE" w14:textId="42CC7FB0" w14:noSpellErr="1">
      <w:pPr>
        <w:pStyle w:val="FirstParagraph"/>
      </w:pPr>
      <w:r w:rsidRPr="21AA216C" w:rsidR="00000000">
        <w:rPr>
          <w:lang w:val="es-ES"/>
        </w:rPr>
        <w:t>IAbility</w:t>
      </w:r>
      <w:r w:rsidRPr="21AA216C" w:rsidR="00000000">
        <w:rPr>
          <w:lang w:val="es-ES"/>
        </w:rPr>
        <w:t xml:space="preserve"> </w:t>
      </w:r>
      <w:r w:rsidRPr="21AA216C" w:rsidR="002B1AFE">
        <w:rPr>
          <w:lang w:val="es-ES"/>
        </w:rPr>
        <w:t>ha sido diseñado</w:t>
      </w:r>
      <w:r w:rsidRPr="21AA216C" w:rsidR="00000000">
        <w:rPr>
          <w:lang w:val="es-ES"/>
        </w:rPr>
        <w:t xml:space="preserve"> </w:t>
      </w:r>
      <w:r w:rsidRPr="21AA216C" w:rsidR="002B1AFE">
        <w:rPr>
          <w:lang w:val="es-ES"/>
        </w:rPr>
        <w:t xml:space="preserve">como un servicio cuya duración </w:t>
      </w:r>
      <w:r w:rsidRPr="21AA216C" w:rsidR="00000000">
        <w:rPr>
          <w:lang w:val="es-ES"/>
        </w:rPr>
        <w:t>aproximada</w:t>
      </w:r>
      <w:r w:rsidRPr="21AA216C" w:rsidR="002B1AFE">
        <w:rPr>
          <w:lang w:val="es-ES"/>
        </w:rPr>
        <w:t xml:space="preserve"> es de </w:t>
      </w:r>
      <w:r w:rsidRPr="21AA216C" w:rsidR="00000000">
        <w:rPr>
          <w:lang w:val="es-ES"/>
        </w:rPr>
        <w:t>12 meses</w:t>
      </w:r>
      <w:r w:rsidRPr="21AA216C" w:rsidR="002B1AFE">
        <w:rPr>
          <w:lang w:val="es-ES"/>
        </w:rPr>
        <w:t xml:space="preserve"> en total</w:t>
      </w:r>
      <w:r w:rsidRPr="21AA216C" w:rsidR="00000000">
        <w:rPr>
          <w:lang w:val="es-ES"/>
        </w:rPr>
        <w:t>:</w:t>
      </w:r>
    </w:p>
    <w:p w:rsidRPr="005A308E" w:rsidR="00FF7C89" w:rsidRDefault="00000000" w14:paraId="1DA4E914" w14:textId="77777777" w14:noSpellErr="1">
      <w:pPr>
        <w:pStyle w:val="Compact"/>
        <w:numPr>
          <w:ilvl w:val="0"/>
          <w:numId w:val="19"/>
        </w:numPr>
        <w:rPr/>
      </w:pPr>
      <w:r w:rsidRPr="21AA216C" w:rsidR="00000000">
        <w:rPr>
          <w:b w:val="1"/>
          <w:bCs w:val="1"/>
          <w:lang w:val="es-ES"/>
        </w:rPr>
        <w:t>Fase inicial</w:t>
      </w:r>
      <w:r w:rsidRPr="21AA216C" w:rsidR="00000000">
        <w:rPr>
          <w:lang w:val="es-ES"/>
        </w:rPr>
        <w:t xml:space="preserve"> (1 mes): Evaluación </w:t>
      </w:r>
      <w:r w:rsidRPr="21AA216C" w:rsidR="00000000">
        <w:rPr>
          <w:lang w:val="es-ES"/>
        </w:rPr>
        <w:t>Readiness</w:t>
      </w:r>
      <w:r w:rsidRPr="21AA216C" w:rsidR="00000000">
        <w:rPr>
          <w:lang w:val="es-ES"/>
        </w:rPr>
        <w:t xml:space="preserve"> y planificación detallada.</w:t>
      </w:r>
    </w:p>
    <w:p w:rsidRPr="005A308E" w:rsidR="00FF7C89" w:rsidRDefault="00000000" w14:paraId="5A8E6108" w14:textId="77777777">
      <w:pPr>
        <w:pStyle w:val="Compact"/>
        <w:numPr>
          <w:ilvl w:val="0"/>
          <w:numId w:val="19"/>
        </w:numPr>
        <w:rPr/>
      </w:pPr>
      <w:r w:rsidRPr="21AA216C" w:rsidR="00000000">
        <w:rPr>
          <w:b w:val="1"/>
          <w:bCs w:val="1"/>
          <w:lang w:val="es-ES"/>
        </w:rPr>
        <w:t>Despliegue escalonado</w:t>
      </w:r>
      <w:r w:rsidRPr="21AA216C" w:rsidR="00000000">
        <w:rPr>
          <w:lang w:val="es-ES"/>
        </w:rPr>
        <w:t xml:space="preserve"> (8-10 meses): Implementación secuencial de las distintas fases (</w:t>
      </w:r>
      <w:r w:rsidRPr="21AA216C" w:rsidR="00000000">
        <w:rPr>
          <w:lang w:val="es-ES"/>
        </w:rPr>
        <w:t>Skills</w:t>
      </w:r>
      <w:r w:rsidRPr="21AA216C" w:rsidR="00000000">
        <w:rPr>
          <w:lang w:val="es-ES"/>
        </w:rPr>
        <w:t xml:space="preserve">, </w:t>
      </w:r>
      <w:r w:rsidRPr="21AA216C" w:rsidR="00000000">
        <w:rPr>
          <w:lang w:val="es-ES"/>
        </w:rPr>
        <w:t>Labs</w:t>
      </w:r>
      <w:r w:rsidRPr="21AA216C" w:rsidR="00000000">
        <w:rPr>
          <w:lang w:val="es-ES"/>
        </w:rPr>
        <w:t xml:space="preserve">, AI, </w:t>
      </w:r>
      <w:r w:rsidRPr="21AA216C" w:rsidR="00000000">
        <w:rPr>
          <w:lang w:val="es-ES"/>
        </w:rPr>
        <w:t>Challenge</w:t>
      </w:r>
      <w:r w:rsidRPr="21AA216C" w:rsidR="00000000">
        <w:rPr>
          <w:lang w:val="es-ES"/>
        </w:rPr>
        <w:t>).</w:t>
      </w:r>
    </w:p>
    <w:p w:rsidRPr="005A308E" w:rsidR="00FF7C89" w:rsidRDefault="00000000" w14:paraId="232D55A9" w14:textId="77777777">
      <w:pPr>
        <w:pStyle w:val="Compact"/>
        <w:numPr>
          <w:ilvl w:val="0"/>
          <w:numId w:val="19"/>
        </w:numPr>
      </w:pPr>
      <w:r w:rsidRPr="005A308E">
        <w:rPr>
          <w:b/>
          <w:bCs/>
        </w:rPr>
        <w:t>Cierre y evaluación</w:t>
      </w:r>
      <w:r w:rsidRPr="005A308E">
        <w:t xml:space="preserve"> (1 mes): Análisis de resultados y planificación de siguientes pasos.</w:t>
      </w:r>
    </w:p>
    <w:p w:rsidRPr="005A308E" w:rsidR="00FF7C89" w:rsidRDefault="002B1AFE" w14:paraId="1D3C0180" w14:textId="0557444C">
      <w:pPr>
        <w:pStyle w:val="FirstParagraph"/>
      </w:pPr>
      <w:r w:rsidRPr="21AA216C" w:rsidR="002B1AFE">
        <w:rPr>
          <w:lang w:val="es-ES"/>
        </w:rPr>
        <w:t xml:space="preserve">Pero para cada cliente, personalizamos el </w:t>
      </w:r>
      <w:r w:rsidRPr="21AA216C" w:rsidR="002B1AFE">
        <w:rPr>
          <w:lang w:val="es-ES"/>
        </w:rPr>
        <w:t>plan</w:t>
      </w:r>
      <w:r w:rsidRPr="21AA216C" w:rsidR="002B1AFE">
        <w:rPr>
          <w:lang w:val="es-ES"/>
        </w:rPr>
        <w:t>, estableciendo fases y actividades a medida de cada implementación,</w:t>
      </w:r>
      <w:r w:rsidRPr="21AA216C" w:rsidR="002B1AFE">
        <w:rPr>
          <w:lang w:val="es-ES"/>
        </w:rPr>
        <w:t xml:space="preserve"> incluye</w:t>
      </w:r>
      <w:r w:rsidRPr="21AA216C" w:rsidR="002B1AFE">
        <w:rPr>
          <w:lang w:val="es-ES"/>
        </w:rPr>
        <w:t>ndo</w:t>
      </w:r>
      <w:r w:rsidRPr="21AA216C" w:rsidR="002B1AFE">
        <w:rPr>
          <w:lang w:val="es-ES"/>
        </w:rPr>
        <w:t xml:space="preserve"> </w:t>
      </w:r>
      <w:r w:rsidRPr="21AA216C" w:rsidR="002B1AFE">
        <w:rPr>
          <w:lang w:val="es-ES"/>
        </w:rPr>
        <w:t>checkpoints</w:t>
      </w:r>
      <w:r w:rsidRPr="21AA216C" w:rsidR="002B1AFE">
        <w:rPr>
          <w:lang w:val="es-ES"/>
        </w:rPr>
        <w:t xml:space="preserve"> regulares y posibilidad de ajustes según las necesidades emergentes de la organización.</w:t>
      </w:r>
    </w:p>
    <w:p w:rsidRPr="005A308E" w:rsidR="00FF7C89" w:rsidRDefault="00000000" w14:paraId="22123B75" w14:textId="77777777">
      <w:pPr>
        <w:pStyle w:val="Ttulo3"/>
      </w:pPr>
      <w:bookmarkStart w:name="resultados-medibles" w:id="25"/>
      <w:bookmarkEnd w:id="24"/>
      <w:r w:rsidRPr="005A308E">
        <w:t>Resultados Medibles</w:t>
      </w:r>
    </w:p>
    <w:p w:rsidRPr="005A308E" w:rsidR="00FF7C89" w:rsidRDefault="00000000" w14:paraId="307FB492" w14:textId="77777777" w14:noSpellErr="1">
      <w:pPr>
        <w:pStyle w:val="FirstParagraph"/>
      </w:pPr>
      <w:r w:rsidRPr="21AA216C" w:rsidR="00000000">
        <w:rPr>
          <w:lang w:val="es-ES"/>
        </w:rPr>
        <w:t xml:space="preserve">La implementación de </w:t>
      </w:r>
      <w:r w:rsidRPr="21AA216C" w:rsidR="00000000">
        <w:rPr>
          <w:lang w:val="es-ES"/>
        </w:rPr>
        <w:t>IAbility</w:t>
      </w:r>
      <w:r w:rsidRPr="21AA216C" w:rsidR="00000000">
        <w:rPr>
          <w:lang w:val="es-ES"/>
        </w:rPr>
        <w:t xml:space="preserve"> permite obtener resultados cuantificables:</w:t>
      </w:r>
    </w:p>
    <w:p w:rsidRPr="005A308E" w:rsidR="00FF7C89" w:rsidRDefault="00000000" w14:paraId="2E3F204E" w14:textId="77777777">
      <w:pPr>
        <w:pStyle w:val="Compact"/>
        <w:numPr>
          <w:ilvl w:val="0"/>
          <w:numId w:val="20"/>
        </w:numPr>
      </w:pPr>
      <w:r w:rsidRPr="005A308E">
        <w:rPr>
          <w:b/>
          <w:bCs/>
        </w:rPr>
        <w:t>Aumento de conocimiento</w:t>
      </w:r>
      <w:r w:rsidRPr="005A308E">
        <w:t>: Incremento medio del 40% en comprensión de conceptos de IA.</w:t>
      </w:r>
    </w:p>
    <w:p w:rsidRPr="005A308E" w:rsidR="00FF7C89" w:rsidRDefault="00000000" w14:paraId="46C70CF4" w14:textId="77777777">
      <w:pPr>
        <w:pStyle w:val="Compact"/>
        <w:numPr>
          <w:ilvl w:val="0"/>
          <w:numId w:val="20"/>
        </w:numPr>
      </w:pPr>
      <w:r w:rsidRPr="005A308E">
        <w:rPr>
          <w:b/>
          <w:bCs/>
        </w:rPr>
        <w:t>Cambio de comportamiento</w:t>
      </w:r>
      <w:r w:rsidRPr="005A308E">
        <w:t>: Reducción del 30% en incidentes relacionados con mal uso de IA.</w:t>
      </w:r>
    </w:p>
    <w:p w:rsidRPr="005A308E" w:rsidR="00FF7C89" w:rsidRDefault="00000000" w14:paraId="5D48C475" w14:textId="77777777">
      <w:pPr>
        <w:pStyle w:val="Compact"/>
        <w:numPr>
          <w:ilvl w:val="0"/>
          <w:numId w:val="20"/>
        </w:numPr>
      </w:pPr>
      <w:r w:rsidRPr="005A308E">
        <w:rPr>
          <w:b/>
          <w:bCs/>
        </w:rPr>
        <w:t>Adopción tecnológica</w:t>
      </w:r>
      <w:r w:rsidRPr="005A308E">
        <w:t>: Aumento del 50% en el uso productivo de herramientas de IA.</w:t>
      </w:r>
    </w:p>
    <w:p w:rsidRPr="005A308E" w:rsidR="00FF7C89" w:rsidRDefault="00000000" w14:paraId="4BA591D9" w14:textId="77777777">
      <w:pPr>
        <w:pStyle w:val="Compact"/>
        <w:numPr>
          <w:ilvl w:val="0"/>
          <w:numId w:val="20"/>
        </w:numPr>
        <w:rPr/>
      </w:pPr>
      <w:r w:rsidRPr="21AA216C" w:rsidR="00000000">
        <w:rPr>
          <w:b w:val="1"/>
          <w:bCs w:val="1"/>
          <w:lang w:val="es-ES"/>
        </w:rPr>
        <w:t>Cumplimiento normativo</w:t>
      </w:r>
      <w:r w:rsidRPr="21AA216C" w:rsidR="00000000">
        <w:rPr>
          <w:lang w:val="es-ES"/>
        </w:rPr>
        <w:t xml:space="preserve">: 100% de alineación con los requisitos del AI </w:t>
      </w:r>
      <w:r w:rsidRPr="21AA216C" w:rsidR="00000000">
        <w:rPr>
          <w:lang w:val="es-ES"/>
        </w:rPr>
        <w:t>Act</w:t>
      </w:r>
      <w:r w:rsidRPr="21AA216C" w:rsidR="00000000">
        <w:rPr>
          <w:lang w:val="es-ES"/>
        </w:rPr>
        <w:t>.</w:t>
      </w:r>
    </w:p>
    <w:p w:rsidRPr="005A308E" w:rsidR="00FF7C89" w:rsidRDefault="00000000" w14:paraId="29D90767" w14:textId="77777777">
      <w:pPr>
        <w:pStyle w:val="Compact"/>
        <w:numPr>
          <w:ilvl w:val="0"/>
          <w:numId w:val="20"/>
        </w:numPr>
      </w:pPr>
      <w:r w:rsidRPr="005A308E">
        <w:rPr>
          <w:b/>
          <w:bCs/>
        </w:rPr>
        <w:t>ROI tangible</w:t>
      </w:r>
      <w:r w:rsidRPr="005A308E">
        <w:t>: Casos de uso implementados que generan eficiencias medibles.</w:t>
      </w:r>
    </w:p>
    <w:p w:rsidRPr="005A308E" w:rsidR="00FF7C89" w:rsidRDefault="002B1AFE" w14:paraId="05FDBE88" w14:textId="3873B0F4">
      <w:pPr>
        <w:pStyle w:val="Ttulo2"/>
      </w:pPr>
      <w:bookmarkStart w:name="conclusión" w:id="26"/>
      <w:bookmarkEnd w:id="23"/>
      <w:bookmarkEnd w:id="25"/>
      <w:r>
        <w:t>Resumen ejecutivo</w:t>
      </w:r>
    </w:p>
    <w:p w:rsidRPr="005A308E" w:rsidR="00FF7C89" w:rsidRDefault="00000000" w14:paraId="72831F26" w14:textId="77777777" w14:noSpellErr="1">
      <w:pPr>
        <w:pStyle w:val="FirstParagraph"/>
      </w:pPr>
      <w:r w:rsidRPr="21AA216C" w:rsidR="00000000">
        <w:rPr>
          <w:lang w:val="es-ES"/>
        </w:rPr>
        <w:t>IAbility</w:t>
      </w:r>
      <w:r w:rsidRPr="21AA216C" w:rsidR="00000000">
        <w:rPr>
          <w:lang w:val="es-ES"/>
        </w:rPr>
        <w:t xml:space="preserve"> representa una solución integral única en el mercado para abordar el desafío de la adopción de la Inteligencia Artificial en las organizaciones. Combinando metodologías innovadoras, contenido de alta calidad y un servicio completo de acompañamiento, permite a las empresas no solo cumplir con los requisitos normativos, sino también transformar su cultura organizacional para aprovechar al máximo las oportunidades que ofrece la IA.</w:t>
      </w:r>
    </w:p>
    <w:p w:rsidRPr="005A308E" w:rsidR="00FF7C89" w:rsidRDefault="00000000" w14:paraId="2B4EFA67" w14:textId="77777777" w14:noSpellErr="1">
      <w:pPr>
        <w:pStyle w:val="Textoindependiente"/>
      </w:pPr>
      <w:r w:rsidRPr="21AA216C" w:rsidR="00000000">
        <w:rPr>
          <w:lang w:val="es-ES"/>
        </w:rPr>
        <w:t xml:space="preserve">A través de su enfoque de “lluvia fina” y su narrativa inmersiva protagonizada por los </w:t>
      </w:r>
      <w:r w:rsidRPr="21AA216C" w:rsidR="00000000">
        <w:rPr>
          <w:lang w:val="es-ES"/>
        </w:rPr>
        <w:t>GuardIAnes</w:t>
      </w:r>
      <w:r w:rsidRPr="21AA216C" w:rsidR="00000000">
        <w:rPr>
          <w:lang w:val="es-ES"/>
        </w:rPr>
        <w:t xml:space="preserve">, </w:t>
      </w:r>
      <w:r w:rsidRPr="21AA216C" w:rsidR="00000000">
        <w:rPr>
          <w:lang w:val="es-ES"/>
        </w:rPr>
        <w:t>IAbility</w:t>
      </w:r>
      <w:r w:rsidRPr="21AA216C" w:rsidR="00000000">
        <w:rPr>
          <w:lang w:val="es-ES"/>
        </w:rPr>
        <w:t xml:space="preserve"> logra transformar lo que podría ser un proceso técnico y árido en una experiencia atractiva y efectiva que genera resultados tangibles y duraderos.</w:t>
      </w:r>
    </w:p>
    <w:p w:rsidRPr="005A308E" w:rsidR="00FF7C89" w:rsidRDefault="00000000" w14:paraId="0FE9162A" w14:textId="77777777" w14:noSpellErr="1">
      <w:pPr>
        <w:pStyle w:val="Textoindependiente"/>
      </w:pPr>
      <w:r w:rsidRPr="21AA216C" w:rsidR="00000000">
        <w:rPr>
          <w:lang w:val="es-ES"/>
        </w:rPr>
        <w:t xml:space="preserve">El servicio completo ofrecido por </w:t>
      </w:r>
      <w:r w:rsidRPr="21AA216C" w:rsidR="00000000">
        <w:rPr>
          <w:lang w:val="es-ES"/>
        </w:rPr>
        <w:t>Entelgy</w:t>
      </w:r>
      <w:r w:rsidRPr="21AA216C" w:rsidR="00000000">
        <w:rPr>
          <w:lang w:val="es-ES"/>
        </w:rPr>
        <w:t xml:space="preserve">, con su equipo de expertos en transformación digital y gestión del cambio, garantiza un acompañamiento cercano </w:t>
      </w:r>
      <w:r w:rsidRPr="21AA216C" w:rsidR="00000000">
        <w:rPr>
          <w:lang w:val="es-ES"/>
        </w:rPr>
        <w:t>durante todo el proceso, adaptándose a las necesidades específicas de cada organización y asegurando el éxito en la implementación.</w:t>
      </w:r>
    </w:p>
    <w:p w:rsidRPr="005A308E" w:rsidR="00FF7C89" w:rsidRDefault="00000000" w14:paraId="7C040D70" w14:textId="77777777" w14:noSpellErr="1">
      <w:pPr>
        <w:pStyle w:val="Textoindependiente"/>
      </w:pPr>
      <w:r w:rsidRPr="21AA216C" w:rsidR="00000000">
        <w:rPr>
          <w:lang w:val="es-ES"/>
        </w:rPr>
        <w:t xml:space="preserve">En un momento en que la adopción de la IA ya no es una opción sino una necesidad competitiva, </w:t>
      </w:r>
      <w:r w:rsidRPr="21AA216C" w:rsidR="00000000">
        <w:rPr>
          <w:lang w:val="es-ES"/>
        </w:rPr>
        <w:t>IAbility</w:t>
      </w:r>
      <w:r w:rsidRPr="21AA216C" w:rsidR="00000000">
        <w:rPr>
          <w:lang w:val="es-ES"/>
        </w:rPr>
        <w:t xml:space="preserve"> se posiciona como el aliado ideal para navegar esta transformación de manera segura, ética y productiva.</w:t>
      </w:r>
      <w:bookmarkEnd w:id="0"/>
      <w:bookmarkEnd w:id="26"/>
    </w:p>
    <w:sectPr w:rsidRPr="005A308E" w:rsidR="00FF7C89">
      <w:footerReference w:type="even" r:id="rId7"/>
      <w:footerReference w:type="default" r:id="rId8"/>
      <w:footnotePr>
        <w:numRestart w:val="eachSect"/>
      </w:footnotePr>
      <w:pgSz w:w="12240" w:h="15840" w:orient="portrait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9759A" w:rsidP="00DA70D1" w:rsidRDefault="0039759A" w14:paraId="57D1AFD0" w14:textId="77777777">
      <w:pPr>
        <w:spacing w:after="0"/>
      </w:pPr>
      <w:r>
        <w:separator/>
      </w:r>
    </w:p>
  </w:endnote>
  <w:endnote w:type="continuationSeparator" w:id="0">
    <w:p w:rsidR="0039759A" w:rsidP="00DA70D1" w:rsidRDefault="0039759A" w14:paraId="54F5815E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2010938462"/>
      <w:docPartObj>
        <w:docPartGallery w:val="Page Numbers (Bottom of Page)"/>
        <w:docPartUnique/>
      </w:docPartObj>
    </w:sdtPr>
    <w:sdtContent>
      <w:p w:rsidR="00DA70D1" w:rsidP="003F48F8" w:rsidRDefault="00DA70D1" w14:paraId="632426F1" w14:textId="21CBA154">
        <w:pPr>
          <w:pStyle w:val="Piedepgina"/>
          <w:framePr w:wrap="none" w:hAnchor="margin" w:vAnchor="text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  <w:sdtEndPr>
      <w:rPr>
        <w:rStyle w:val="Nmerodepgina"/>
      </w:rPr>
    </w:sdtEndPr>
  </w:sdt>
  <w:p w:rsidR="00DA70D1" w:rsidP="00DA70D1" w:rsidRDefault="00DA70D1" w14:paraId="4D9EE0D5" w14:textId="7777777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898357089"/>
      <w:docPartObj>
        <w:docPartGallery w:val="Page Numbers (Bottom of Page)"/>
        <w:docPartUnique/>
      </w:docPartObj>
    </w:sdtPr>
    <w:sdtContent>
      <w:p w:rsidR="00DA70D1" w:rsidP="003F48F8" w:rsidRDefault="00DA70D1" w14:paraId="3861CD41" w14:textId="35FAB464">
        <w:pPr>
          <w:pStyle w:val="Piedepgina"/>
          <w:framePr w:wrap="none" w:hAnchor="margin" w:vAnchor="text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</w:rPr>
          <w:t>3</w:t>
        </w:r>
        <w:r>
          <w:rPr>
            <w:rStyle w:val="Nmerodepgina"/>
          </w:rPr>
          <w:fldChar w:fldCharType="end"/>
        </w:r>
      </w:p>
    </w:sdtContent>
    <w:sdtEndPr>
      <w:rPr>
        <w:rStyle w:val="Nmerodepgina"/>
      </w:rPr>
    </w:sdtEndPr>
  </w:sdt>
  <w:p w:rsidR="00DA70D1" w:rsidP="00DA70D1" w:rsidRDefault="00DA70D1" w14:paraId="473ADDF5" w14:textId="7777777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9759A" w:rsidP="00DA70D1" w:rsidRDefault="0039759A" w14:paraId="53CE0C3D" w14:textId="77777777">
      <w:pPr>
        <w:spacing w:after="0"/>
      </w:pPr>
      <w:r>
        <w:separator/>
      </w:r>
    </w:p>
  </w:footnote>
  <w:footnote w:type="continuationSeparator" w:id="0">
    <w:p w:rsidR="0039759A" w:rsidP="00DA70D1" w:rsidRDefault="0039759A" w14:paraId="149E0C78" w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F94F2E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3C48027E"/>
    <w:lvl w:ilvl="0"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 w15:restartNumberingAfterBreak="0">
    <w:nsid w:val="00A99411"/>
    <w:multiLevelType w:val="multilevel"/>
    <w:tmpl w:val="0FBCF3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C030DC0"/>
    <w:multiLevelType w:val="multilevel"/>
    <w:tmpl w:val="0FBCF3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B6E0FB5"/>
    <w:multiLevelType w:val="hybridMultilevel"/>
    <w:tmpl w:val="DF262E2A"/>
    <w:lvl w:ilvl="0" w:tplc="1ED432D0">
      <w:start w:val="3"/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BA50685"/>
    <w:multiLevelType w:val="hybridMultilevel"/>
    <w:tmpl w:val="9E84D87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D7544"/>
    <w:multiLevelType w:val="multilevel"/>
    <w:tmpl w:val="0FBCF3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3EAE54C6"/>
    <w:multiLevelType w:val="hybridMultilevel"/>
    <w:tmpl w:val="CED66A82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1A773D5"/>
    <w:multiLevelType w:val="multilevel"/>
    <w:tmpl w:val="7FFE9A0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5BC30E20"/>
    <w:multiLevelType w:val="multilevel"/>
    <w:tmpl w:val="0FBCF3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6CBA745C"/>
    <w:multiLevelType w:val="hybridMultilevel"/>
    <w:tmpl w:val="68329F0E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EF44336"/>
    <w:multiLevelType w:val="multilevel"/>
    <w:tmpl w:val="7FFE9A0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72BF482F"/>
    <w:multiLevelType w:val="hybridMultilevel"/>
    <w:tmpl w:val="2398D944"/>
    <w:lvl w:ilvl="0" w:tplc="E528D80E">
      <w:start w:val="4"/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F6E687D"/>
    <w:multiLevelType w:val="hybridMultilevel"/>
    <w:tmpl w:val="B8D2078E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631517679">
    <w:abstractNumId w:val="0"/>
  </w:num>
  <w:num w:numId="2" w16cid:durableId="559364016">
    <w:abstractNumId w:val="1"/>
  </w:num>
  <w:num w:numId="3" w16cid:durableId="1820003127">
    <w:abstractNumId w:val="1"/>
  </w:num>
  <w:num w:numId="4" w16cid:durableId="2104374378">
    <w:abstractNumId w:val="1"/>
  </w:num>
  <w:num w:numId="5" w16cid:durableId="1657806500">
    <w:abstractNumId w:val="1"/>
  </w:num>
  <w:num w:numId="6" w16cid:durableId="7830374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71738090">
    <w:abstractNumId w:val="1"/>
  </w:num>
  <w:num w:numId="8" w16cid:durableId="1116287768">
    <w:abstractNumId w:val="1"/>
  </w:num>
  <w:num w:numId="9" w16cid:durableId="604114016">
    <w:abstractNumId w:val="1"/>
  </w:num>
  <w:num w:numId="10" w16cid:durableId="232735671">
    <w:abstractNumId w:val="1"/>
  </w:num>
  <w:num w:numId="11" w16cid:durableId="57754038">
    <w:abstractNumId w:val="1"/>
  </w:num>
  <w:num w:numId="12" w16cid:durableId="926964560">
    <w:abstractNumId w:val="1"/>
  </w:num>
  <w:num w:numId="13" w16cid:durableId="578715314">
    <w:abstractNumId w:val="1"/>
  </w:num>
  <w:num w:numId="14" w16cid:durableId="649792910">
    <w:abstractNumId w:val="1"/>
  </w:num>
  <w:num w:numId="15" w16cid:durableId="693388510">
    <w:abstractNumId w:val="1"/>
  </w:num>
  <w:num w:numId="16" w16cid:durableId="46993800">
    <w:abstractNumId w:val="1"/>
  </w:num>
  <w:num w:numId="17" w16cid:durableId="1681276615">
    <w:abstractNumId w:val="1"/>
  </w:num>
  <w:num w:numId="18" w16cid:durableId="469636996">
    <w:abstractNumId w:val="1"/>
  </w:num>
  <w:num w:numId="19" w16cid:durableId="15521067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30197847">
    <w:abstractNumId w:val="1"/>
  </w:num>
  <w:num w:numId="21" w16cid:durableId="1461995020">
    <w:abstractNumId w:val="13"/>
  </w:num>
  <w:num w:numId="22" w16cid:durableId="1986350034">
    <w:abstractNumId w:val="4"/>
  </w:num>
  <w:num w:numId="23" w16cid:durableId="829367259">
    <w:abstractNumId w:val="10"/>
  </w:num>
  <w:num w:numId="24" w16cid:durableId="741410900">
    <w:abstractNumId w:val="5"/>
  </w:num>
  <w:num w:numId="25" w16cid:durableId="1987738111">
    <w:abstractNumId w:val="6"/>
  </w:num>
  <w:num w:numId="26" w16cid:durableId="1058169168">
    <w:abstractNumId w:val="3"/>
  </w:num>
  <w:num w:numId="27" w16cid:durableId="42144951">
    <w:abstractNumId w:val="9"/>
  </w:num>
  <w:num w:numId="28" w16cid:durableId="655761748">
    <w:abstractNumId w:val="11"/>
  </w:num>
  <w:num w:numId="29" w16cid:durableId="1334919984">
    <w:abstractNumId w:val="8"/>
  </w:num>
  <w:num w:numId="30" w16cid:durableId="1821579534">
    <w:abstractNumId w:val="12"/>
  </w:num>
  <w:num w:numId="31" w16cid:durableId="8365732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7C89"/>
    <w:rsid w:val="00000000"/>
    <w:rsid w:val="0025453F"/>
    <w:rsid w:val="002B1AFE"/>
    <w:rsid w:val="0039759A"/>
    <w:rsid w:val="004C549E"/>
    <w:rsid w:val="005A308E"/>
    <w:rsid w:val="006E13E5"/>
    <w:rsid w:val="00867815"/>
    <w:rsid w:val="00B641AC"/>
    <w:rsid w:val="00B67D8E"/>
    <w:rsid w:val="00D1378E"/>
    <w:rsid w:val="00DA70D1"/>
    <w:rsid w:val="00F232AD"/>
    <w:rsid w:val="00FF7C89"/>
    <w:rsid w:val="21AA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274D5C"/>
  <w15:docId w15:val="{E82461BE-DFAA-9649-8327-027C4B3ED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lang w:val="es-ES_tradnl"/>
    </w:rPr>
  </w:style>
  <w:style w:type="paragraph" w:styleId="Ttulo1">
    <w:name w:val="heading 1"/>
    <w:basedOn w:val="Normal"/>
    <w:next w:val="Textoindependiente"/>
    <w:link w:val="Ttulo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styleId="FirstParagraph" w:customStyle="1">
    <w:name w:val="First Paragraph"/>
    <w:basedOn w:val="Textoindependiente"/>
    <w:next w:val="Textoindependiente"/>
    <w:qFormat/>
  </w:style>
  <w:style w:type="paragraph" w:styleId="Compact" w:customStyle="1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A10FD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Textoindependiente"/>
    <w:link w:val="Subttulo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uthor" w:customStyle="1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styleId="AbstractTitle" w:customStyle="1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styleId="Ttulo1Car" w:customStyle="1">
    <w:name w:val="Título 1 Car"/>
    <w:basedOn w:val="Fuentedeprrafopredeter"/>
    <w:link w:val="Ttulo1"/>
    <w:uiPriority w:val="9"/>
    <w:rsid w:val="00A10FD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A10FD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styleId="FootnoteBlockText" w:customStyle="1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styleId="Table" w:customStyle="1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color="auto" w:sz="0" w:space="0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 w:customStyle="1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styleId="TableCaption" w:customStyle="1">
    <w:name w:val="Table Caption"/>
    <w:basedOn w:val="Descripcin"/>
    <w:pPr>
      <w:keepNext/>
    </w:pPr>
  </w:style>
  <w:style w:type="paragraph" w:styleId="ImageCaption" w:customStyle="1">
    <w:name w:val="Image Caption"/>
    <w:basedOn w:val="Descripci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/>
    </w:pPr>
  </w:style>
  <w:style w:type="character" w:styleId="DescripcinCar" w:customStyle="1">
    <w:name w:val="Descripción Car"/>
    <w:basedOn w:val="Fuentedeprrafopredeter"/>
    <w:link w:val="Descripcin"/>
  </w:style>
  <w:style w:type="character" w:styleId="VerbatimChar" w:customStyle="1">
    <w:name w:val="Verbatim Char"/>
    <w:basedOn w:val="DescripcinCar"/>
    <w:link w:val="SourceCode"/>
    <w:rPr>
      <w:rFonts w:ascii="Consolas" w:hAnsi="Consolas"/>
      <w:sz w:val="22"/>
    </w:rPr>
  </w:style>
  <w:style w:type="character" w:styleId="SectionNumber" w:customStyle="1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156082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type="paragraph" w:styleId="SourceCode" w:customStyle="1">
    <w:name w:val="Source Code"/>
    <w:basedOn w:val="Normal"/>
    <w:link w:val="VerbatimChar"/>
    <w:pPr>
      <w:wordWrap w:val="0"/>
    </w:pPr>
  </w:style>
  <w:style w:type="character" w:styleId="KeywordTok" w:customStyle="1">
    <w:name w:val="KeywordTok"/>
    <w:basedOn w:val="VerbatimChar"/>
    <w:rPr>
      <w:rFonts w:ascii="Consolas" w:hAnsi="Consolas"/>
      <w:b/>
      <w:color w:val="007020"/>
      <w:sz w:val="22"/>
    </w:rPr>
  </w:style>
  <w:style w:type="character" w:styleId="DataTypeTok" w:customStyle="1">
    <w:name w:val="DataTypeTok"/>
    <w:basedOn w:val="VerbatimChar"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rPr>
      <w:rFonts w:ascii="Consolas" w:hAnsi="Consolas"/>
      <w:b/>
      <w:color w:val="008000"/>
      <w:sz w:val="22"/>
    </w:rPr>
  </w:style>
  <w:style w:type="character" w:styleId="CommentTok" w:customStyle="1">
    <w:name w:val="CommentTok"/>
    <w:basedOn w:val="VerbatimChar"/>
    <w:rPr>
      <w:rFonts w:ascii="Consolas" w:hAnsi="Consolas"/>
      <w:i/>
      <w:color w:val="60A0B0"/>
      <w:sz w:val="22"/>
    </w:rPr>
  </w:style>
  <w:style w:type="character" w:styleId="DocumentationTok" w:customStyle="1">
    <w:name w:val="DocumentationTok"/>
    <w:basedOn w:val="VerbatimChar"/>
    <w:rPr>
      <w:rFonts w:ascii="Consolas" w:hAnsi="Consolas"/>
      <w:i/>
      <w:color w:val="BA2121"/>
      <w:sz w:val="22"/>
    </w:rPr>
  </w:style>
  <w:style w:type="character" w:styleId="AnnotationTok" w:customStyle="1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styleId="CommentVarTok" w:customStyle="1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styleId="OtherTok" w:customStyle="1">
    <w:name w:val="OtherTok"/>
    <w:basedOn w:val="VerbatimChar"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rPr>
      <w:rFonts w:ascii="Consolas" w:hAnsi="Consolas"/>
      <w:b/>
      <w:color w:val="007020"/>
      <w:sz w:val="22"/>
    </w:rPr>
  </w:style>
  <w:style w:type="character" w:styleId="OperatorTok" w:customStyle="1">
    <w:name w:val="OperatorTok"/>
    <w:basedOn w:val="VerbatimChar"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rPr>
      <w:rFonts w:ascii="Consolas" w:hAnsi="Consolas"/>
      <w:color w:val="008000"/>
      <w:sz w:val="22"/>
    </w:rPr>
  </w:style>
  <w:style w:type="character" w:styleId="ExtensionTok" w:customStyle="1">
    <w:name w:val="ExtensionTok"/>
    <w:basedOn w:val="VerbatimChar"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styleId="WarningTok" w:customStyle="1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styleId="AlertTok" w:customStyle="1">
    <w:name w:val="AlertTok"/>
    <w:basedOn w:val="VerbatimChar"/>
    <w:rPr>
      <w:rFonts w:ascii="Consolas" w:hAnsi="Consolas"/>
      <w:b/>
      <w:color w:val="FF0000"/>
      <w:sz w:val="22"/>
    </w:rPr>
  </w:style>
  <w:style w:type="character" w:styleId="ErrorTok" w:customStyle="1">
    <w:name w:val="ErrorTok"/>
    <w:basedOn w:val="VerbatimChar"/>
    <w:rPr>
      <w:rFonts w:ascii="Consolas" w:hAnsi="Consolas"/>
      <w:b/>
      <w:color w:val="FF0000"/>
      <w:sz w:val="22"/>
    </w:rPr>
  </w:style>
  <w:style w:type="character" w:styleId="NormalTok" w:customStyle="1">
    <w:name w:val="NormalTok"/>
    <w:basedOn w:val="VerbatimChar"/>
    <w:rPr>
      <w:rFonts w:ascii="Consolas" w:hAnsi="Consolas"/>
      <w:sz w:val="22"/>
    </w:rPr>
  </w:style>
  <w:style w:type="paragraph" w:styleId="Piedepgina">
    <w:name w:val="footer"/>
    <w:basedOn w:val="Normal"/>
    <w:link w:val="PiedepginaCar"/>
    <w:rsid w:val="00DA70D1"/>
    <w:pPr>
      <w:tabs>
        <w:tab w:val="center" w:pos="4252"/>
        <w:tab w:val="right" w:pos="8504"/>
      </w:tabs>
      <w:spacing w:after="0"/>
    </w:pPr>
  </w:style>
  <w:style w:type="character" w:styleId="PiedepginaCar" w:customStyle="1">
    <w:name w:val="Pie de página Car"/>
    <w:basedOn w:val="Fuentedeprrafopredeter"/>
    <w:link w:val="Piedepgina"/>
    <w:rsid w:val="00DA70D1"/>
    <w:rPr>
      <w:noProof/>
      <w:lang w:val="es-ES_tradnl"/>
    </w:rPr>
  </w:style>
  <w:style w:type="character" w:styleId="Nmerodepgina">
    <w:name w:val="page number"/>
    <w:basedOn w:val="Fuentedeprrafopredeter"/>
    <w:rsid w:val="00DA7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25438303E1074198B23D6AC750B26E" ma:contentTypeVersion="14" ma:contentTypeDescription="Crear nuevo documento." ma:contentTypeScope="" ma:versionID="a2edb0fef9873f704a38956382c9b62e">
  <xsd:schema xmlns:xsd="http://www.w3.org/2001/XMLSchema" xmlns:xs="http://www.w3.org/2001/XMLSchema" xmlns:p="http://schemas.microsoft.com/office/2006/metadata/properties" xmlns:ns2="c3bd2557-d7ec-4dc2-9a5b-c45ede40b639" xmlns:ns3="f0c4cdbf-87da-498a-a6c1-7ef17d225cc6" targetNamespace="http://schemas.microsoft.com/office/2006/metadata/properties" ma:root="true" ma:fieldsID="e34f6825716604a19d2df959c7a3ad6e" ns2:_="" ns3:_="">
    <xsd:import namespace="c3bd2557-d7ec-4dc2-9a5b-c45ede40b639"/>
    <xsd:import namespace="f0c4cdbf-87da-498a-a6c1-7ef17d225c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Location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d2557-d7ec-4dc2-9a5b-c45ede40b6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1838c625-7cda-4fe4-bda5-ffc9e048e4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c4cdbf-87da-498a-a6c1-7ef17d225cc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632e4a7-9c9b-422a-bd19-e014f002d83a}" ma:internalName="TaxCatchAll" ma:showField="CatchAllData" ma:web="f0c4cdbf-87da-498a-a6c1-7ef17d225c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0c4cdbf-87da-498a-a6c1-7ef17d225cc6" xsi:nil="true"/>
    <lcf76f155ced4ddcb4097134ff3c332f xmlns="c3bd2557-d7ec-4dc2-9a5b-c45ede40b63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5C62446-1168-46C9-891D-1351CF8964E6}"/>
</file>

<file path=customXml/itemProps2.xml><?xml version="1.0" encoding="utf-8"?>
<ds:datastoreItem xmlns:ds="http://schemas.openxmlformats.org/officeDocument/2006/customXml" ds:itemID="{535F83DC-D834-47B8-AEB1-94F2EA1B4CB4}"/>
</file>

<file path=customXml/itemProps3.xml><?xml version="1.0" encoding="utf-8"?>
<ds:datastoreItem xmlns:ds="http://schemas.openxmlformats.org/officeDocument/2006/customXml" ds:itemID="{24E7A823-A9B9-4CFA-A2BA-BBCD199E022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María Jesús Ayuso Viva</cp:lastModifiedBy>
  <cp:revision>8</cp:revision>
  <dcterms:created xsi:type="dcterms:W3CDTF">2025-03-27T03:54:00Z</dcterms:created>
  <dcterms:modified xsi:type="dcterms:W3CDTF">2025-04-02T12:01:49Z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0x0101008625438303E1074198B23D6AC750B26E</vt:lpwstr>
  </property>
  <property fmtid="{D5CDD505-2E9C-101B-9397-08002B2CF9AE}" pid="3" name="MediaServiceImageTags">
    <vt:lpwstr/>
  </property>
</Properties>
</file>