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80"/>
        <w:jc w:val="center"/>
      </w:pPr>
      <w:r>
        <w:rPr>
          <w:b/>
          <w:i w:val="0"/>
          <w:color w:val="1F4E79"/>
          <w:sz w:val="48"/>
        </w:rPr>
        <w:t>GoodBelly: Using Statistics to Justify the Marketing Expense</w:t>
      </w:r>
    </w:p>
    <w:p>
      <w:pPr>
        <w:spacing w:after="800"/>
        <w:jc w:val="center"/>
      </w:pPr>
      <w:r>
        <w:rPr>
          <w:b w:val="0"/>
          <w:i/>
          <w:sz w:val="26"/>
        </w:rPr>
        <w:t>Regression analysis of the in-store demo and endcap programs</w:t>
      </w:r>
    </w:p>
    <w:p>
      <w:pPr>
        <w:spacing w:after="40"/>
        <w:jc w:val="center"/>
      </w:pPr>
      <w:r>
        <w:rPr>
          <w:b/>
          <w:i w:val="0"/>
          <w:sz w:val="30"/>
        </w:rPr>
        <w:t>Decision Sciences II</w:t>
      </w:r>
    </w:p>
    <w:p>
      <w:pPr>
        <w:spacing w:after="40"/>
        <w:jc w:val="center"/>
      </w:pPr>
      <w:r>
        <w:rPr>
          <w:b w:val="0"/>
          <w:i w:val="0"/>
          <w:sz w:val="26"/>
        </w:rPr>
        <w:t>Indian Institute of Management Bangalore</w:t>
      </w:r>
    </w:p>
    <w:p>
      <w:pPr>
        <w:spacing w:after="680"/>
        <w:jc w:val="center"/>
      </w:pPr>
      <w:r>
        <w:rPr>
          <w:b w:val="0"/>
          <w:i w:val="0"/>
          <w:sz w:val="26"/>
        </w:rPr>
        <w:t>PGP 2026–28</w:t>
      </w:r>
    </w:p>
    <w:p>
      <w:pPr>
        <w:spacing w:after="160"/>
        <w:jc w:val="center"/>
      </w:pPr>
      <w:r>
        <w:rPr>
          <w:b/>
          <w:i w:val="0"/>
          <w:sz w:val="26"/>
        </w:rPr>
        <w:t>Group: [GROUP NUMBER]</w:t>
      </w:r>
    </w:p>
    <w:p>
      <w:pPr>
        <w:spacing w:after="40"/>
        <w:jc w:val="center"/>
      </w:pPr>
      <w:r>
        <w:rPr>
          <w:b/>
          <w:i w:val="0"/>
          <w:sz w:val="24"/>
        </w:rPr>
        <w:t>Members</w:t>
      </w:r>
    </w:p>
    <w:p>
      <w:pPr>
        <w:spacing w:after="20"/>
        <w:jc w:val="center"/>
      </w:pPr>
      <w:r>
        <w:rPr>
          <w:b w:val="0"/>
          <w:i w:val="0"/>
          <w:sz w:val="24"/>
        </w:rPr>
        <w:t>[NAME 1]  –  [ROLL NUMBER 1]</w:t>
      </w:r>
    </w:p>
    <w:p>
      <w:pPr>
        <w:spacing w:after="20"/>
        <w:jc w:val="center"/>
      </w:pPr>
      <w:r>
        <w:rPr>
          <w:b w:val="0"/>
          <w:i w:val="0"/>
          <w:sz w:val="24"/>
        </w:rPr>
        <w:t>[NAME 2]  –  [ROLL NUMBER 2]</w:t>
      </w:r>
    </w:p>
    <w:p>
      <w:pPr>
        <w:spacing w:after="20"/>
        <w:jc w:val="center"/>
      </w:pPr>
      <w:r>
        <w:rPr>
          <w:b w:val="0"/>
          <w:i w:val="0"/>
          <w:sz w:val="24"/>
        </w:rPr>
        <w:t>[NAME 3]  –  [ROLL NUMBER 3]</w:t>
      </w:r>
    </w:p>
    <w:p>
      <w:pPr>
        <w:spacing w:after="20"/>
        <w:jc w:val="center"/>
      </w:pPr>
      <w:r>
        <w:rPr>
          <w:b w:val="0"/>
          <w:i w:val="0"/>
          <w:sz w:val="24"/>
        </w:rPr>
        <w:t>[NAME 4]  –  [ROLL NUMBER 4]</w:t>
      </w:r>
    </w:p>
    <w:p>
      <w:pPr>
        <w:spacing w:after="20"/>
        <w:jc w:val="center"/>
      </w:pPr>
      <w:r>
        <w:rPr>
          <w:b w:val="0"/>
          <w:i w:val="0"/>
          <w:sz w:val="24"/>
        </w:rPr>
        <w:t>[NAME 5]  –  [ROLL NUMBER 5]</w:t>
      </w:r>
    </w:p>
    <w:p/>
    <w:p>
      <w:pPr>
        <w:jc w:val="center"/>
      </w:pPr>
      <w:r>
        <w:rPr>
          <w:b w:val="0"/>
          <w:i w:val="0"/>
          <w:sz w:val="21"/>
        </w:rPr>
        <w:t>Case study submission: 6 October 2026, 9:00 AM IST</w:t>
      </w:r>
    </w:p>
    <w:p>
      <w:pPr>
        <w:jc w:val="center"/>
      </w:pPr>
      <w:r>
        <w:rPr>
          <w:b w:val="0"/>
          <w:i/>
          <w:sz w:val="19"/>
        </w:rPr>
        <w:t>Case: GoodBelly: Using Statistics to Justify the Marketing Expense (WDI W92C52)</w:t>
      </w:r>
    </w:p>
    <w:p>
      <w:r>
        <w:br w:type="page"/>
      </w:r>
    </w:p>
    <w:p>
      <w:pPr>
        <w:spacing w:after="60"/>
      </w:pPr>
      <w:r>
        <w:rPr>
          <w:b/>
          <w:i w:val="0"/>
          <w:color w:val="1F4E79"/>
          <w:sz w:val="30"/>
        </w:rPr>
        <w:t>Executive Summary</w:t>
      </w:r>
    </w:p>
    <w:p>
      <w:pPr>
        <w:spacing w:after="60"/>
      </w:pPr>
      <w:r>
        <w:rPr>
          <w:b/>
          <w:i w:val="0"/>
          <w:sz w:val="19"/>
        </w:rPr>
        <w:t>Business problem.</w:t>
      </w:r>
      <w:r>
        <w:rPr>
          <w:b w:val="0"/>
          <w:i w:val="0"/>
          <w:sz w:val="19"/>
        </w:rPr>
        <w:t xml:space="preserve"> GoodBelly's management wants proof that in-store demos and endcap displays justify their cost. We use 1,386 store-week records (126 Whole Foods stores, 11 weeks, 4 May–13 Jul 2010) to measure how weekly units sold relate to promotions, after controlling for price, regional sales-rep coverage and store surroundings.</w:t>
      </w:r>
    </w:p>
    <w:p>
      <w:pPr>
        <w:spacing w:after="60"/>
      </w:pPr>
      <w:r>
        <w:rPr>
          <w:b/>
          <w:i w:val="0"/>
          <w:sz w:val="19"/>
        </w:rPr>
        <w:t>Approach.</w:t>
      </w:r>
      <w:r>
        <w:rPr>
          <w:b w:val="0"/>
          <w:i w:val="0"/>
          <w:sz w:val="19"/>
        </w:rPr>
        <w:t xml:space="preserve"> Following the course sequence we ran baseline regressions, a full multiple regression, variable selection (partial F-tests; p-in 0.05, p-out 0.10), an interaction test, and the full assumption/outlier/influence diagnostics. Calculations were done in Excel (LINEST, formula-driven) and cross-checked against an independent statistical package; the two agree to six decimals. JASP was not available and was not run.</w:t>
      </w:r>
    </w:p>
    <w:p>
      <w:pPr>
        <w:spacing w:after="60"/>
      </w:pPr>
      <w:r>
        <w:rPr>
          <w:b/>
          <w:i w:val="0"/>
          <w:sz w:val="19"/>
        </w:rPr>
        <w:t>Final model</w:t>
      </w:r>
      <w:r>
        <w:rPr>
          <w:b w:val="0"/>
          <w:i w:val="0"/>
          <w:sz w:val="19"/>
        </w:rPr>
        <w:t xml:space="preserve"> (R² 0.806, adjusted R² 0.805, F = 817, p &lt; 0.001, SE = 49.0 units): Sales = 276.6 -22.07·Price + 59.5·SalesRep + 0.6·Endcap + 106.8·Demo + 73.4·Demo1-3 + 74.6·Demo4-5 + 453.8·(Endcap×SalesRep). Natural Retailers and Fitness Centers add nothing (partial F p = 0.96) and were dropped.</w:t>
      </w:r>
    </w:p>
    <w:p>
      <w:pPr>
        <w:spacing w:after="20"/>
      </w:pPr>
      <w:r>
        <w:rPr>
          <w:b/>
          <w:i w:val="0"/>
          <w:sz w:val="19"/>
        </w:rPr>
        <w:t>Key findings</w:t>
      </w:r>
    </w:p>
    <w:p>
      <w:pPr>
        <w:pStyle w:val="ListBullet"/>
        <w:spacing w:after="40"/>
      </w:pPr>
      <w:r>
        <w:rPr>
          <w:b/>
          <w:i w:val="0"/>
          <w:sz w:val="19"/>
        </w:rPr>
        <w:t>Demos work, and the lift lasts.</w:t>
      </w:r>
      <w:r>
        <w:rPr>
          <w:b w:val="0"/>
          <w:i w:val="0"/>
          <w:sz w:val="19"/>
        </w:rPr>
        <w:t xml:space="preserve"> Holding other variables constant, a store with a demo this week is associated with +107 units/week (95% CI 96–118), +73 units in each of the following 1–3 weeks, and +75 units 4–5+ weeks later; all p &lt; 0.001. There is no measurable decay between weeks 1–3 and 4–5 (difference -1.2, p = 0.85). The data show the lift persists at least 4–5 weeks; they cannot show when it ends.</w:t>
      </w:r>
    </w:p>
    <w:p>
      <w:pPr>
        <w:pStyle w:val="ListBullet"/>
        <w:spacing w:after="40"/>
      </w:pPr>
      <w:r>
        <w:rPr>
          <w:b/>
          <w:i w:val="0"/>
          <w:sz w:val="19"/>
        </w:rPr>
        <w:t>Endcaps work only with a regional sales rep.</w:t>
      </w:r>
      <w:r>
        <w:rPr>
          <w:b w:val="0"/>
          <w:i w:val="0"/>
          <w:sz w:val="19"/>
        </w:rPr>
        <w:t xml:space="preserve"> Where Sales Rep = 1, an endcap is associated with +454 units/week (CI 438–471); with no regional rep the estimate is 0.6 (p = 0.96, but only 17 such observations). The interaction is highly significant (partial F = 948, p &lt; 0.001) and raises R² from 0.67 to 0.81.</w:t>
      </w:r>
    </w:p>
    <w:p>
      <w:pPr>
        <w:pStyle w:val="ListBullet"/>
        <w:spacing w:after="40"/>
      </w:pPr>
      <w:r>
        <w:rPr>
          <w:b/>
          <w:i w:val="0"/>
          <w:sz w:val="19"/>
        </w:rPr>
        <w:t>Other drivers.</w:t>
      </w:r>
      <w:r>
        <w:rPr>
          <w:b w:val="0"/>
          <w:i w:val="0"/>
          <w:sz w:val="19"/>
        </w:rPr>
        <w:t xml:space="preserve"> A regional rep adds about 59 units/week; each $1 of price is associated with -22 units.</w:t>
      </w:r>
    </w:p>
    <w:p>
      <w:pPr>
        <w:spacing w:after="20"/>
      </w:pPr>
      <w:r>
        <w:rPr>
          <w:b/>
          <w:i w:val="0"/>
          <w:sz w:val="19"/>
        </w:rPr>
        <w:t>Model validity</w:t>
      </w:r>
    </w:p>
    <w:p>
      <w:pPr>
        <w:spacing w:after="60"/>
      </w:pPr>
      <w:r>
        <w:rPr>
          <w:b w:val="0"/>
          <w:i w:val="0"/>
          <w:sz w:val="19"/>
        </w:rPr>
        <w:t>Omitting the interaction caused apparent autocorrelation (Durbin-Watson 1.38), non-constant variance and skewed residuals. The final model is clean: DW 2.09, Breusch-Pagan p = 0.07, residual skew -0.01, all VIF &lt; 3.2 (course threshold 4), largest Cook's D 0.023. Results are stable to excluding outliers and adding region, week or store dummies. The estimates are conditional associations from observational data, not proof of causation.</w:t>
      </w:r>
    </w:p>
    <w:p>
      <w:pPr>
        <w:spacing w:after="20"/>
      </w:pPr>
      <w:r>
        <w:rPr>
          <w:b/>
          <w:i w:val="0"/>
          <w:sz w:val="19"/>
        </w:rPr>
        <w:t>Recommendations</w:t>
      </w:r>
    </w:p>
    <w:p>
      <w:pPr>
        <w:pStyle w:val="ListBullet"/>
        <w:spacing w:after="40"/>
      </w:pPr>
      <w:r>
        <w:rPr>
          <w:b w:val="0"/>
          <w:i w:val="0"/>
          <w:sz w:val="19"/>
        </w:rPr>
        <w:t>Retain the demo program; its lift of ≈330 extra units per demoed store (demo week plus three follow-up weeks) is large relative to a 254-unit average week. Whether it pays depends on cost and margin, which are not in the data, so ROI cannot be calculated.</w:t>
      </w:r>
    </w:p>
    <w:p>
      <w:pPr>
        <w:pStyle w:val="ListBullet"/>
        <w:spacing w:after="40"/>
      </w:pPr>
      <w:r>
        <w:rPr>
          <w:b w:val="0"/>
          <w:i w:val="0"/>
          <w:sz w:val="19"/>
        </w:rPr>
        <w:t>Concentrate endcap effort (and the rep competition) on stores with regional rep coverage; do not expect endcaps alone to move sales. Test endcaps in rep-less stores before spending there.</w:t>
      </w:r>
    </w:p>
    <w:p>
      <w:pPr>
        <w:pStyle w:val="ListBullet"/>
        <w:spacing w:after="40"/>
      </w:pPr>
      <w:r>
        <w:rPr>
          <w:b w:val="0"/>
          <w:i w:val="0"/>
          <w:sz w:val="19"/>
        </w:rPr>
        <w:t>Record demo and endcap costs, margins and store selection rules, and run a randomised pilot to confirm that these associations are causal.</w:t>
      </w:r>
    </w:p>
    <w:p>
      <w:r>
        <w:br w:type="page"/>
      </w:r>
    </w:p>
    <w:p>
      <w:pPr>
        <w:pStyle w:val="Heading1"/>
      </w:pPr>
      <w:r>
        <w:t>1. Case Objective and Business Context</w:t>
      </w:r>
    </w:p>
    <w:p>
      <w:r>
        <w:rPr>
          <w:b w:val="0"/>
          <w:i w:val="0"/>
        </w:rPr>
        <w:t>GoodBelly is a start-up probiotic juice brand with a small marketing budget, spent mainly on three-hour in-store sampling demos (restricted to Whole Foods stores from 2010) and on an endcap display competition among its five sales representatives. Management, led by the CFO, has asked the marketing manager to show statistically that these activities lift sales, and whether any lift is only temporary. The statistical objective is therefore to (i) model weekly units sold as a function of the promotions and controls, (ii) validate the model, (iii) quantify the demo effect and how long it lasts, (iv) test whether endcap placement matters, and (v) turn the results into recommendations. Cost, margin and ROI data are not provided, so recommendations are expressed in units of sales.</w:t>
      </w:r>
    </w:p>
    <w:p>
      <w:pPr>
        <w:pStyle w:val="Heading1"/>
      </w:pPr>
      <w:r>
        <w:t>2. Data and Exploratory Analysis</w:t>
      </w:r>
    </w:p>
    <w:p>
      <w:r>
        <w:rPr>
          <w:b w:val="0"/>
          <w:i w:val="0"/>
        </w:rPr>
        <w:t>The workbook has one usable data sheet (“Real Data”) with 1,386 rows and 12 columns, a balanced panel of 126 stores × 11 weeks. There are no missing values or duplicate rows, no non-positive sales, and no data-entry errors. The dependent variable is Units Sold per store per week (“Sales”). The workbook also contains an “Explanation” sheet (the variable dictionary); no solution sheets are present and none were used. Two audit points matter:</w:t>
      </w:r>
    </w:p>
    <w:p>
      <w:pPr>
        <w:pStyle w:val="ListBullet"/>
        <w:spacing w:after="40"/>
      </w:pPr>
      <w:r>
        <w:rPr>
          <w:b/>
          <w:i w:val="0"/>
        </w:rPr>
        <w:t>Weeks.</w:t>
      </w:r>
      <w:r>
        <w:rPr>
          <w:b w:val="0"/>
          <w:i w:val="0"/>
        </w:rPr>
        <w:t xml:space="preserve"> The case text says 10 weeks, but the dataset has 11 weekly dates (4 May–13 Jul 2010); 126 × 11 = 1,386 confirms the data are complete. We use the dataset as supplied.</w:t>
      </w:r>
    </w:p>
    <w:p>
      <w:pPr>
        <w:pStyle w:val="ListBullet"/>
        <w:spacing w:after="40"/>
      </w:pPr>
      <w:r>
        <w:rPr>
          <w:b/>
          <w:i w:val="0"/>
        </w:rPr>
        <w:t>Region “NA”.</w:t>
      </w:r>
      <w:r>
        <w:rPr>
          <w:b w:val="0"/>
          <w:i w:val="0"/>
        </w:rPr>
        <w:t xml:space="preserve"> Region code “NA” (143 rows, 13 stores) is a genuine region; software that reads it as “missing” silently drops it. Region is not a model predictor, but we kept these rows. Sales Rep changes within 10 stores over the window, so it is treated as an observation-level indicator as defined in the case.</w:t>
      </w:r>
    </w:p>
    <w:p>
      <w:pPr>
        <w:keepNext/>
        <w:spacing w:after="40"/>
      </w:pPr>
      <w:r>
        <w:rPr>
          <w:b/>
          <w:i w:val="0"/>
          <w:sz w:val="19"/>
        </w:rPr>
        <w:t>Table 1. Descriptive statistics (n = 1,386 for every variable)</w:t>
      </w:r>
    </w:p>
    <w:tbl>
      <w:tblPr>
        <w:tblStyle w:val="TableGrid"/>
        <w:tblW w:type="auto" w:w="0"/>
        <w:jc w:val="center"/>
        <w:tblLayout w:type="fixed"/>
        <w:tblLook w:firstColumn="1" w:firstRow="1" w:lastColumn="0" w:lastRow="0" w:noHBand="0" w:noVBand="1" w:val="04A0"/>
      </w:tblPr>
      <w:tblGrid>
        <w:gridCol w:w="2088"/>
        <w:gridCol w:w="864"/>
        <w:gridCol w:w="936"/>
        <w:gridCol w:w="936"/>
        <w:gridCol w:w="720"/>
        <w:gridCol w:w="1008"/>
        <w:gridCol w:w="2664"/>
      </w:tblGrid>
      <w:tr>
        <w:trPr>
          <w:cantSplit/>
        </w:trPr>
        <w:tc>
          <w:tcPr>
            <w:tcW w:type="dxa" w:w="2088"/>
            <w:shd w:val="clear" w:color="auto" w:fill="1F4E79"/>
          </w:tcPr>
          <w:p>
            <w:pPr>
              <w:keepNext/>
              <w:spacing w:after="0" w:line="240" w:lineRule="auto"/>
              <w:jc w:val="center"/>
            </w:pPr>
            <w:r>
              <w:rPr>
                <w:color w:val="FFFFFF"/>
              </w:rPr>
            </w:r>
            <w:r>
              <w:rPr>
                <w:b/>
                <w:i w:val="0"/>
                <w:color w:val="FFFFFF"/>
                <w:sz w:val="17"/>
              </w:rPr>
              <w:t>Variable</w:t>
            </w:r>
          </w:p>
        </w:tc>
        <w:tc>
          <w:tcPr>
            <w:tcW w:type="dxa" w:w="864"/>
            <w:shd w:val="clear" w:color="auto" w:fill="1F4E79"/>
          </w:tcPr>
          <w:p>
            <w:pPr>
              <w:keepNext/>
              <w:spacing w:after="0" w:line="240" w:lineRule="auto"/>
              <w:jc w:val="center"/>
            </w:pPr>
            <w:r>
              <w:rPr>
                <w:color w:val="FFFFFF"/>
              </w:rPr>
            </w:r>
            <w:r>
              <w:rPr>
                <w:b/>
                <w:i w:val="0"/>
                <w:color w:val="FFFFFF"/>
                <w:sz w:val="17"/>
              </w:rPr>
              <w:t>Mean</w:t>
            </w:r>
          </w:p>
        </w:tc>
        <w:tc>
          <w:tcPr>
            <w:tcW w:type="dxa" w:w="936"/>
            <w:shd w:val="clear" w:color="auto" w:fill="1F4E79"/>
          </w:tcPr>
          <w:p>
            <w:pPr>
              <w:keepNext/>
              <w:spacing w:after="0" w:line="240" w:lineRule="auto"/>
              <w:jc w:val="center"/>
            </w:pPr>
            <w:r>
              <w:rPr>
                <w:color w:val="FFFFFF"/>
              </w:rPr>
            </w:r>
            <w:r>
              <w:rPr>
                <w:b/>
                <w:i w:val="0"/>
                <w:color w:val="FFFFFF"/>
                <w:sz w:val="17"/>
              </w:rPr>
              <w:t>Median</w:t>
            </w:r>
          </w:p>
        </w:tc>
        <w:tc>
          <w:tcPr>
            <w:tcW w:type="dxa" w:w="936"/>
            <w:shd w:val="clear" w:color="auto" w:fill="1F4E79"/>
          </w:tcPr>
          <w:p>
            <w:pPr>
              <w:keepNext/>
              <w:spacing w:after="0" w:line="240" w:lineRule="auto"/>
              <w:jc w:val="center"/>
            </w:pPr>
            <w:r>
              <w:rPr>
                <w:color w:val="FFFFFF"/>
              </w:rPr>
            </w:r>
            <w:r>
              <w:rPr>
                <w:b/>
                <w:i w:val="0"/>
                <w:color w:val="FFFFFF"/>
                <w:sz w:val="17"/>
              </w:rPr>
              <w:t>Std dev</w:t>
            </w:r>
          </w:p>
        </w:tc>
        <w:tc>
          <w:tcPr>
            <w:tcW w:type="dxa" w:w="720"/>
            <w:shd w:val="clear" w:color="auto" w:fill="1F4E79"/>
          </w:tcPr>
          <w:p>
            <w:pPr>
              <w:keepNext/>
              <w:spacing w:after="0" w:line="240" w:lineRule="auto"/>
              <w:jc w:val="center"/>
            </w:pPr>
            <w:r>
              <w:rPr>
                <w:color w:val="FFFFFF"/>
              </w:rPr>
            </w:r>
            <w:r>
              <w:rPr>
                <w:b/>
                <w:i w:val="0"/>
                <w:color w:val="FFFFFF"/>
                <w:sz w:val="17"/>
              </w:rPr>
              <w:t>Min</w:t>
            </w:r>
          </w:p>
        </w:tc>
        <w:tc>
          <w:tcPr>
            <w:tcW w:type="dxa" w:w="1008"/>
            <w:shd w:val="clear" w:color="auto" w:fill="1F4E79"/>
          </w:tcPr>
          <w:p>
            <w:pPr>
              <w:keepNext/>
              <w:spacing w:after="0" w:line="240" w:lineRule="auto"/>
              <w:jc w:val="center"/>
            </w:pPr>
            <w:r>
              <w:rPr>
                <w:color w:val="FFFFFF"/>
              </w:rPr>
            </w:r>
            <w:r>
              <w:rPr>
                <w:b/>
                <w:i w:val="0"/>
                <w:color w:val="FFFFFF"/>
                <w:sz w:val="17"/>
              </w:rPr>
              <w:t>Max</w:t>
            </w:r>
          </w:p>
        </w:tc>
        <w:tc>
          <w:tcPr>
            <w:tcW w:type="dxa" w:w="2664"/>
            <w:shd w:val="clear" w:color="auto" w:fill="1F4E79"/>
          </w:tcPr>
          <w:p>
            <w:pPr>
              <w:keepNext/>
              <w:spacing w:after="0" w:line="240" w:lineRule="auto"/>
              <w:jc w:val="center"/>
            </w:pPr>
            <w:r>
              <w:rPr>
                <w:color w:val="FFFFFF"/>
              </w:rPr>
            </w:r>
            <w:r>
              <w:rPr>
                <w:b/>
                <w:i w:val="0"/>
                <w:color w:val="FFFFFF"/>
                <w:sz w:val="17"/>
              </w:rPr>
              <w:t>Coding / meaning</w:t>
            </w:r>
          </w:p>
        </w:tc>
      </w:tr>
      <w:tr>
        <w:trPr>
          <w:cantSplit/>
        </w:trPr>
        <w:tc>
          <w:tcPr>
            <w:tcW w:type="dxa" w:w="2088"/>
          </w:tcPr>
          <w:p>
            <w:pPr>
              <w:keepNext/>
              <w:spacing w:after="0" w:line="240" w:lineRule="auto"/>
            </w:pPr>
            <w:r/>
            <w:r>
              <w:rPr>
                <w:b w:val="0"/>
                <w:i w:val="0"/>
                <w:sz w:val="17"/>
              </w:rPr>
              <w:t>Units Sold (Sales)</w:t>
            </w:r>
          </w:p>
        </w:tc>
        <w:tc>
          <w:tcPr>
            <w:tcW w:type="dxa" w:w="864"/>
          </w:tcPr>
          <w:p>
            <w:pPr>
              <w:keepNext/>
              <w:spacing w:after="0" w:line="240" w:lineRule="auto"/>
              <w:jc w:val="right"/>
            </w:pPr>
            <w:r/>
            <w:r>
              <w:rPr>
                <w:b w:val="0"/>
                <w:i w:val="0"/>
                <w:sz w:val="17"/>
              </w:rPr>
              <w:t>253.8</w:t>
            </w:r>
          </w:p>
        </w:tc>
        <w:tc>
          <w:tcPr>
            <w:tcW w:type="dxa" w:w="936"/>
          </w:tcPr>
          <w:p>
            <w:pPr>
              <w:keepNext/>
              <w:spacing w:after="0" w:line="240" w:lineRule="auto"/>
              <w:jc w:val="right"/>
            </w:pPr>
            <w:r/>
            <w:r>
              <w:rPr>
                <w:b w:val="0"/>
                <w:i w:val="0"/>
                <w:sz w:val="17"/>
              </w:rPr>
              <w:t>236.74</w:t>
            </w:r>
          </w:p>
        </w:tc>
        <w:tc>
          <w:tcPr>
            <w:tcW w:type="dxa" w:w="936"/>
          </w:tcPr>
          <w:p>
            <w:pPr>
              <w:keepNext/>
              <w:spacing w:after="0" w:line="240" w:lineRule="auto"/>
              <w:jc w:val="right"/>
            </w:pPr>
            <w:r/>
            <w:r>
              <w:rPr>
                <w:b w:val="0"/>
                <w:i w:val="0"/>
                <w:sz w:val="17"/>
              </w:rPr>
              <w:t>111.0</w:t>
            </w:r>
          </w:p>
        </w:tc>
        <w:tc>
          <w:tcPr>
            <w:tcW w:type="dxa" w:w="720"/>
          </w:tcPr>
          <w:p>
            <w:pPr>
              <w:keepNext/>
              <w:spacing w:after="0" w:line="240" w:lineRule="auto"/>
              <w:jc w:val="right"/>
            </w:pPr>
            <w:r/>
            <w:r>
              <w:rPr>
                <w:b w:val="0"/>
                <w:i w:val="0"/>
                <w:sz w:val="17"/>
              </w:rPr>
              <w:t>47.56</w:t>
            </w:r>
          </w:p>
        </w:tc>
        <w:tc>
          <w:tcPr>
            <w:tcW w:type="dxa" w:w="1008"/>
          </w:tcPr>
          <w:p>
            <w:pPr>
              <w:keepNext/>
              <w:spacing w:after="0" w:line="240" w:lineRule="auto"/>
              <w:jc w:val="right"/>
            </w:pPr>
            <w:r/>
            <w:r>
              <w:rPr>
                <w:b w:val="0"/>
                <w:i w:val="0"/>
                <w:sz w:val="17"/>
              </w:rPr>
              <w:t>1041.20</w:t>
            </w:r>
          </w:p>
        </w:tc>
        <w:tc>
          <w:tcPr>
            <w:tcW w:type="dxa" w:w="2664"/>
          </w:tcPr>
          <w:p>
            <w:pPr>
              <w:keepNext/>
              <w:spacing w:after="0" w:line="240" w:lineRule="auto"/>
              <w:jc w:val="right"/>
            </w:pPr>
            <w:r/>
            <w:r>
              <w:rPr>
                <w:b w:val="0"/>
                <w:i w:val="0"/>
                <w:sz w:val="17"/>
              </w:rPr>
              <w:t>units/store/week</w:t>
            </w:r>
          </w:p>
        </w:tc>
      </w:tr>
      <w:tr>
        <w:trPr>
          <w:cantSplit/>
        </w:trPr>
        <w:tc>
          <w:tcPr>
            <w:tcW w:type="dxa" w:w="2088"/>
          </w:tcPr>
          <w:p>
            <w:pPr>
              <w:keepNext/>
              <w:spacing w:after="0" w:line="240" w:lineRule="auto"/>
            </w:pPr>
            <w:r/>
            <w:r>
              <w:rPr>
                <w:b w:val="0"/>
                <w:i w:val="0"/>
                <w:sz w:val="17"/>
              </w:rPr>
              <w:t>Average Retail Price ($)</w:t>
            </w:r>
          </w:p>
        </w:tc>
        <w:tc>
          <w:tcPr>
            <w:tcW w:type="dxa" w:w="864"/>
          </w:tcPr>
          <w:p>
            <w:pPr>
              <w:keepNext/>
              <w:spacing w:after="0" w:line="240" w:lineRule="auto"/>
              <w:jc w:val="right"/>
            </w:pPr>
            <w:r/>
            <w:r>
              <w:rPr>
                <w:b w:val="0"/>
                <w:i w:val="0"/>
                <w:sz w:val="17"/>
              </w:rPr>
              <w:t>4.107</w:t>
            </w:r>
          </w:p>
        </w:tc>
        <w:tc>
          <w:tcPr>
            <w:tcW w:type="dxa" w:w="936"/>
          </w:tcPr>
          <w:p>
            <w:pPr>
              <w:keepNext/>
              <w:spacing w:after="0" w:line="240" w:lineRule="auto"/>
              <w:jc w:val="right"/>
            </w:pPr>
            <w:r/>
            <w:r>
              <w:rPr>
                <w:b w:val="0"/>
                <w:i w:val="0"/>
                <w:sz w:val="17"/>
              </w:rPr>
              <w:t>4.10</w:t>
            </w:r>
          </w:p>
        </w:tc>
        <w:tc>
          <w:tcPr>
            <w:tcW w:type="dxa" w:w="936"/>
          </w:tcPr>
          <w:p>
            <w:pPr>
              <w:keepNext/>
              <w:spacing w:after="0" w:line="240" w:lineRule="auto"/>
              <w:jc w:val="right"/>
            </w:pPr>
            <w:r/>
            <w:r>
              <w:rPr>
                <w:b w:val="0"/>
                <w:i w:val="0"/>
                <w:sz w:val="17"/>
              </w:rPr>
              <w:t>0.464</w:t>
            </w:r>
          </w:p>
        </w:tc>
        <w:tc>
          <w:tcPr>
            <w:tcW w:type="dxa" w:w="720"/>
          </w:tcPr>
          <w:p>
            <w:pPr>
              <w:keepNext/>
              <w:spacing w:after="0" w:line="240" w:lineRule="auto"/>
              <w:jc w:val="right"/>
            </w:pPr>
            <w:r/>
            <w:r>
              <w:rPr>
                <w:b w:val="0"/>
                <w:i w:val="0"/>
                <w:sz w:val="17"/>
              </w:rPr>
              <w:t>2.89</w:t>
            </w:r>
          </w:p>
        </w:tc>
        <w:tc>
          <w:tcPr>
            <w:tcW w:type="dxa" w:w="1008"/>
          </w:tcPr>
          <w:p>
            <w:pPr>
              <w:keepNext/>
              <w:spacing w:after="0" w:line="240" w:lineRule="auto"/>
              <w:jc w:val="right"/>
            </w:pPr>
            <w:r/>
            <w:r>
              <w:rPr>
                <w:b w:val="0"/>
                <w:i w:val="0"/>
                <w:sz w:val="17"/>
              </w:rPr>
              <w:t>6.25</w:t>
            </w:r>
          </w:p>
        </w:tc>
        <w:tc>
          <w:tcPr>
            <w:tcW w:type="dxa" w:w="2664"/>
          </w:tcPr>
          <w:p>
            <w:pPr>
              <w:keepNext/>
              <w:spacing w:after="0" w:line="240" w:lineRule="auto"/>
              <w:jc w:val="right"/>
            </w:pPr>
            <w:r/>
            <w:r>
              <w:rPr>
                <w:b w:val="0"/>
                <w:i w:val="0"/>
                <w:sz w:val="17"/>
              </w:rPr>
              <w:t>$ per unit</w:t>
            </w:r>
          </w:p>
        </w:tc>
      </w:tr>
      <w:tr>
        <w:trPr>
          <w:cantSplit/>
        </w:trPr>
        <w:tc>
          <w:tcPr>
            <w:tcW w:type="dxa" w:w="2088"/>
          </w:tcPr>
          <w:p>
            <w:pPr>
              <w:keepNext/>
              <w:spacing w:after="0" w:line="240" w:lineRule="auto"/>
            </w:pPr>
            <w:r/>
            <w:r>
              <w:rPr>
                <w:b w:val="0"/>
                <w:i w:val="0"/>
                <w:sz w:val="17"/>
              </w:rPr>
              <w:t>Sales Rep</w:t>
            </w:r>
          </w:p>
        </w:tc>
        <w:tc>
          <w:tcPr>
            <w:tcW w:type="dxa" w:w="864"/>
          </w:tcPr>
          <w:p>
            <w:pPr>
              <w:keepNext/>
              <w:spacing w:after="0" w:line="240" w:lineRule="auto"/>
              <w:jc w:val="right"/>
            </w:pPr>
            <w:r/>
            <w:r>
              <w:rPr>
                <w:b w:val="0"/>
                <w:i w:val="0"/>
                <w:sz w:val="17"/>
              </w:rPr>
              <w:t>0.550</w:t>
            </w:r>
          </w:p>
        </w:tc>
        <w:tc>
          <w:tcPr>
            <w:tcW w:type="dxa" w:w="936"/>
          </w:tcPr>
          <w:p>
            <w:pPr>
              <w:keepNext/>
              <w:spacing w:after="0" w:line="240" w:lineRule="auto"/>
              <w:jc w:val="right"/>
            </w:pPr>
            <w:r/>
            <w:r>
              <w:rPr>
                <w:b w:val="0"/>
                <w:i w:val="0"/>
                <w:sz w:val="17"/>
              </w:rPr>
              <w:t>1.00</w:t>
            </w:r>
          </w:p>
        </w:tc>
        <w:tc>
          <w:tcPr>
            <w:tcW w:type="dxa" w:w="936"/>
          </w:tcPr>
          <w:p>
            <w:pPr>
              <w:keepNext/>
              <w:spacing w:after="0" w:line="240" w:lineRule="auto"/>
              <w:jc w:val="right"/>
            </w:pPr>
            <w:r/>
            <w:r>
              <w:rPr>
                <w:b w:val="0"/>
                <w:i w:val="0"/>
                <w:sz w:val="17"/>
              </w:rPr>
              <w:t>0.498</w:t>
            </w:r>
          </w:p>
        </w:tc>
        <w:tc>
          <w:tcPr>
            <w:tcW w:type="dxa" w:w="720"/>
          </w:tcPr>
          <w:p>
            <w:pPr>
              <w:keepNext/>
              <w:spacing w:after="0" w:line="240" w:lineRule="auto"/>
              <w:jc w:val="right"/>
            </w:pPr>
            <w:r/>
            <w:r>
              <w:rPr>
                <w:b w:val="0"/>
                <w:i w:val="0"/>
                <w:sz w:val="17"/>
              </w:rPr>
              <w:t>0.00</w:t>
            </w:r>
          </w:p>
        </w:tc>
        <w:tc>
          <w:tcPr>
            <w:tcW w:type="dxa" w:w="1008"/>
          </w:tcPr>
          <w:p>
            <w:pPr>
              <w:keepNext/>
              <w:spacing w:after="0" w:line="240" w:lineRule="auto"/>
              <w:jc w:val="right"/>
            </w:pPr>
            <w:r/>
            <w:r>
              <w:rPr>
                <w:b w:val="0"/>
                <w:i w:val="0"/>
                <w:sz w:val="17"/>
              </w:rPr>
              <w:t>1.00</w:t>
            </w:r>
          </w:p>
        </w:tc>
        <w:tc>
          <w:tcPr>
            <w:tcW w:type="dxa" w:w="2664"/>
          </w:tcPr>
          <w:p>
            <w:pPr>
              <w:keepNext/>
              <w:spacing w:after="0" w:line="240" w:lineRule="auto"/>
              <w:jc w:val="right"/>
            </w:pPr>
            <w:r/>
            <w:r>
              <w:rPr>
                <w:b w:val="0"/>
                <w:i w:val="0"/>
                <w:sz w:val="17"/>
              </w:rPr>
              <w:t>1 = regional rep (762 rows)</w:t>
            </w:r>
          </w:p>
        </w:tc>
      </w:tr>
      <w:tr>
        <w:trPr>
          <w:cantSplit/>
        </w:trPr>
        <w:tc>
          <w:tcPr>
            <w:tcW w:type="dxa" w:w="2088"/>
          </w:tcPr>
          <w:p>
            <w:pPr>
              <w:keepNext/>
              <w:spacing w:after="0" w:line="240" w:lineRule="auto"/>
            </w:pPr>
            <w:r/>
            <w:r>
              <w:rPr>
                <w:b w:val="0"/>
                <w:i w:val="0"/>
                <w:sz w:val="17"/>
              </w:rPr>
              <w:t>Endcap</w:t>
            </w:r>
          </w:p>
        </w:tc>
        <w:tc>
          <w:tcPr>
            <w:tcW w:type="dxa" w:w="864"/>
          </w:tcPr>
          <w:p>
            <w:pPr>
              <w:keepNext/>
              <w:spacing w:after="0" w:line="240" w:lineRule="auto"/>
              <w:jc w:val="right"/>
            </w:pPr>
            <w:r/>
            <w:r>
              <w:rPr>
                <w:b w:val="0"/>
                <w:i w:val="0"/>
                <w:sz w:val="17"/>
              </w:rPr>
              <w:t>0.038</w:t>
            </w:r>
          </w:p>
        </w:tc>
        <w:tc>
          <w:tcPr>
            <w:tcW w:type="dxa" w:w="936"/>
          </w:tcPr>
          <w:p>
            <w:pPr>
              <w:keepNext/>
              <w:spacing w:after="0" w:line="240" w:lineRule="auto"/>
              <w:jc w:val="right"/>
            </w:pPr>
            <w:r/>
            <w:r>
              <w:rPr>
                <w:b w:val="0"/>
                <w:i w:val="0"/>
                <w:sz w:val="17"/>
              </w:rPr>
              <w:t>0.00</w:t>
            </w:r>
          </w:p>
        </w:tc>
        <w:tc>
          <w:tcPr>
            <w:tcW w:type="dxa" w:w="936"/>
          </w:tcPr>
          <w:p>
            <w:pPr>
              <w:keepNext/>
              <w:spacing w:after="0" w:line="240" w:lineRule="auto"/>
              <w:jc w:val="right"/>
            </w:pPr>
            <w:r/>
            <w:r>
              <w:rPr>
                <w:b w:val="0"/>
                <w:i w:val="0"/>
                <w:sz w:val="17"/>
              </w:rPr>
              <w:t>0.192</w:t>
            </w:r>
          </w:p>
        </w:tc>
        <w:tc>
          <w:tcPr>
            <w:tcW w:type="dxa" w:w="720"/>
          </w:tcPr>
          <w:p>
            <w:pPr>
              <w:keepNext/>
              <w:spacing w:after="0" w:line="240" w:lineRule="auto"/>
              <w:jc w:val="right"/>
            </w:pPr>
            <w:r/>
            <w:r>
              <w:rPr>
                <w:b w:val="0"/>
                <w:i w:val="0"/>
                <w:sz w:val="17"/>
              </w:rPr>
              <w:t>0.00</w:t>
            </w:r>
          </w:p>
        </w:tc>
        <w:tc>
          <w:tcPr>
            <w:tcW w:type="dxa" w:w="1008"/>
          </w:tcPr>
          <w:p>
            <w:pPr>
              <w:keepNext/>
              <w:spacing w:after="0" w:line="240" w:lineRule="auto"/>
              <w:jc w:val="right"/>
            </w:pPr>
            <w:r/>
            <w:r>
              <w:rPr>
                <w:b w:val="0"/>
                <w:i w:val="0"/>
                <w:sz w:val="17"/>
              </w:rPr>
              <w:t>1.00</w:t>
            </w:r>
          </w:p>
        </w:tc>
        <w:tc>
          <w:tcPr>
            <w:tcW w:type="dxa" w:w="2664"/>
          </w:tcPr>
          <w:p>
            <w:pPr>
              <w:keepNext/>
              <w:spacing w:after="0" w:line="240" w:lineRule="auto"/>
              <w:jc w:val="right"/>
            </w:pPr>
            <w:r/>
            <w:r>
              <w:rPr>
                <w:b w:val="0"/>
                <w:i w:val="0"/>
                <w:sz w:val="17"/>
              </w:rPr>
              <w:t>1 = endcap (53 rows)</w:t>
            </w:r>
          </w:p>
        </w:tc>
      </w:tr>
      <w:tr>
        <w:trPr>
          <w:cantSplit/>
        </w:trPr>
        <w:tc>
          <w:tcPr>
            <w:tcW w:type="dxa" w:w="2088"/>
          </w:tcPr>
          <w:p>
            <w:pPr>
              <w:keepNext/>
              <w:spacing w:after="0" w:line="240" w:lineRule="auto"/>
            </w:pPr>
            <w:r/>
            <w:r>
              <w:rPr>
                <w:b w:val="0"/>
                <w:i w:val="0"/>
                <w:sz w:val="17"/>
              </w:rPr>
              <w:t>Demo (this week)</w:t>
            </w:r>
          </w:p>
        </w:tc>
        <w:tc>
          <w:tcPr>
            <w:tcW w:type="dxa" w:w="864"/>
          </w:tcPr>
          <w:p>
            <w:pPr>
              <w:keepNext/>
              <w:spacing w:after="0" w:line="240" w:lineRule="auto"/>
              <w:jc w:val="right"/>
            </w:pPr>
            <w:r/>
            <w:r>
              <w:rPr>
                <w:b w:val="0"/>
                <w:i w:val="0"/>
                <w:sz w:val="17"/>
              </w:rPr>
              <w:t>0.058</w:t>
            </w:r>
          </w:p>
        </w:tc>
        <w:tc>
          <w:tcPr>
            <w:tcW w:type="dxa" w:w="936"/>
          </w:tcPr>
          <w:p>
            <w:pPr>
              <w:keepNext/>
              <w:spacing w:after="0" w:line="240" w:lineRule="auto"/>
              <w:jc w:val="right"/>
            </w:pPr>
            <w:r/>
            <w:r>
              <w:rPr>
                <w:b w:val="0"/>
                <w:i w:val="0"/>
                <w:sz w:val="17"/>
              </w:rPr>
              <w:t>0.00</w:t>
            </w:r>
          </w:p>
        </w:tc>
        <w:tc>
          <w:tcPr>
            <w:tcW w:type="dxa" w:w="936"/>
          </w:tcPr>
          <w:p>
            <w:pPr>
              <w:keepNext/>
              <w:spacing w:after="0" w:line="240" w:lineRule="auto"/>
              <w:jc w:val="right"/>
            </w:pPr>
            <w:r/>
            <w:r>
              <w:rPr>
                <w:b w:val="0"/>
                <w:i w:val="0"/>
                <w:sz w:val="17"/>
              </w:rPr>
              <w:t>0.235</w:t>
            </w:r>
          </w:p>
        </w:tc>
        <w:tc>
          <w:tcPr>
            <w:tcW w:type="dxa" w:w="720"/>
          </w:tcPr>
          <w:p>
            <w:pPr>
              <w:keepNext/>
              <w:spacing w:after="0" w:line="240" w:lineRule="auto"/>
              <w:jc w:val="right"/>
            </w:pPr>
            <w:r/>
            <w:r>
              <w:rPr>
                <w:b w:val="0"/>
                <w:i w:val="0"/>
                <w:sz w:val="17"/>
              </w:rPr>
              <w:t>0.00</w:t>
            </w:r>
          </w:p>
        </w:tc>
        <w:tc>
          <w:tcPr>
            <w:tcW w:type="dxa" w:w="1008"/>
          </w:tcPr>
          <w:p>
            <w:pPr>
              <w:keepNext/>
              <w:spacing w:after="0" w:line="240" w:lineRule="auto"/>
              <w:jc w:val="right"/>
            </w:pPr>
            <w:r/>
            <w:r>
              <w:rPr>
                <w:b w:val="0"/>
                <w:i w:val="0"/>
                <w:sz w:val="17"/>
              </w:rPr>
              <w:t>1.00</w:t>
            </w:r>
          </w:p>
        </w:tc>
        <w:tc>
          <w:tcPr>
            <w:tcW w:type="dxa" w:w="2664"/>
          </w:tcPr>
          <w:p>
            <w:pPr>
              <w:keepNext/>
              <w:spacing w:after="0" w:line="240" w:lineRule="auto"/>
              <w:jc w:val="right"/>
            </w:pPr>
            <w:r/>
            <w:r>
              <w:rPr>
                <w:b w:val="0"/>
                <w:i w:val="0"/>
                <w:sz w:val="17"/>
              </w:rPr>
              <w:t>1 = demo this week (81)</w:t>
            </w:r>
          </w:p>
        </w:tc>
      </w:tr>
      <w:tr>
        <w:trPr>
          <w:cantSplit/>
        </w:trPr>
        <w:tc>
          <w:tcPr>
            <w:tcW w:type="dxa" w:w="2088"/>
          </w:tcPr>
          <w:p>
            <w:pPr>
              <w:keepNext/>
              <w:spacing w:after="0" w:line="240" w:lineRule="auto"/>
            </w:pPr>
            <w:r/>
            <w:r>
              <w:rPr>
                <w:b w:val="0"/>
                <w:i w:val="0"/>
                <w:sz w:val="17"/>
              </w:rPr>
              <w:t>Demo1-3</w:t>
            </w:r>
          </w:p>
        </w:tc>
        <w:tc>
          <w:tcPr>
            <w:tcW w:type="dxa" w:w="864"/>
          </w:tcPr>
          <w:p>
            <w:pPr>
              <w:keepNext/>
              <w:spacing w:after="0" w:line="240" w:lineRule="auto"/>
              <w:jc w:val="right"/>
            </w:pPr>
            <w:r/>
            <w:r>
              <w:rPr>
                <w:b w:val="0"/>
                <w:i w:val="0"/>
                <w:sz w:val="17"/>
              </w:rPr>
              <w:t>0.157</w:t>
            </w:r>
          </w:p>
        </w:tc>
        <w:tc>
          <w:tcPr>
            <w:tcW w:type="dxa" w:w="936"/>
          </w:tcPr>
          <w:p>
            <w:pPr>
              <w:keepNext/>
              <w:spacing w:after="0" w:line="240" w:lineRule="auto"/>
              <w:jc w:val="right"/>
            </w:pPr>
            <w:r/>
            <w:r>
              <w:rPr>
                <w:b w:val="0"/>
                <w:i w:val="0"/>
                <w:sz w:val="17"/>
              </w:rPr>
              <w:t>0.00</w:t>
            </w:r>
          </w:p>
        </w:tc>
        <w:tc>
          <w:tcPr>
            <w:tcW w:type="dxa" w:w="936"/>
          </w:tcPr>
          <w:p>
            <w:pPr>
              <w:keepNext/>
              <w:spacing w:after="0" w:line="240" w:lineRule="auto"/>
              <w:jc w:val="right"/>
            </w:pPr>
            <w:r/>
            <w:r>
              <w:rPr>
                <w:b w:val="0"/>
                <w:i w:val="0"/>
                <w:sz w:val="17"/>
              </w:rPr>
              <w:t>0.364</w:t>
            </w:r>
          </w:p>
        </w:tc>
        <w:tc>
          <w:tcPr>
            <w:tcW w:type="dxa" w:w="720"/>
          </w:tcPr>
          <w:p>
            <w:pPr>
              <w:keepNext/>
              <w:spacing w:after="0" w:line="240" w:lineRule="auto"/>
              <w:jc w:val="right"/>
            </w:pPr>
            <w:r/>
            <w:r>
              <w:rPr>
                <w:b w:val="0"/>
                <w:i w:val="0"/>
                <w:sz w:val="17"/>
              </w:rPr>
              <w:t>0.00</w:t>
            </w:r>
          </w:p>
        </w:tc>
        <w:tc>
          <w:tcPr>
            <w:tcW w:type="dxa" w:w="1008"/>
          </w:tcPr>
          <w:p>
            <w:pPr>
              <w:keepNext/>
              <w:spacing w:after="0" w:line="240" w:lineRule="auto"/>
              <w:jc w:val="right"/>
            </w:pPr>
            <w:r/>
            <w:r>
              <w:rPr>
                <w:b w:val="0"/>
                <w:i w:val="0"/>
                <w:sz w:val="17"/>
              </w:rPr>
              <w:t>1.00</w:t>
            </w:r>
          </w:p>
        </w:tc>
        <w:tc>
          <w:tcPr>
            <w:tcW w:type="dxa" w:w="2664"/>
          </w:tcPr>
          <w:p>
            <w:pPr>
              <w:keepNext/>
              <w:spacing w:after="0" w:line="240" w:lineRule="auto"/>
              <w:jc w:val="right"/>
            </w:pPr>
            <w:r/>
            <w:r>
              <w:rPr>
                <w:b w:val="0"/>
                <w:i w:val="0"/>
                <w:sz w:val="17"/>
              </w:rPr>
              <w:t>1 = demo 1–3 wks ago (217)</w:t>
            </w:r>
          </w:p>
        </w:tc>
      </w:tr>
      <w:tr>
        <w:trPr>
          <w:cantSplit/>
        </w:trPr>
        <w:tc>
          <w:tcPr>
            <w:tcW w:type="dxa" w:w="2088"/>
          </w:tcPr>
          <w:p>
            <w:pPr>
              <w:keepNext/>
              <w:spacing w:after="0" w:line="240" w:lineRule="auto"/>
            </w:pPr>
            <w:r/>
            <w:r>
              <w:rPr>
                <w:b w:val="0"/>
                <w:i w:val="0"/>
                <w:sz w:val="17"/>
              </w:rPr>
              <w:t>Demo4-5</w:t>
            </w:r>
          </w:p>
        </w:tc>
        <w:tc>
          <w:tcPr>
            <w:tcW w:type="dxa" w:w="864"/>
          </w:tcPr>
          <w:p>
            <w:pPr>
              <w:keepNext/>
              <w:spacing w:after="0" w:line="240" w:lineRule="auto"/>
              <w:jc w:val="right"/>
            </w:pPr>
            <w:r/>
            <w:r>
              <w:rPr>
                <w:b w:val="0"/>
                <w:i w:val="0"/>
                <w:sz w:val="17"/>
              </w:rPr>
              <w:t>0.076</w:t>
            </w:r>
          </w:p>
        </w:tc>
        <w:tc>
          <w:tcPr>
            <w:tcW w:type="dxa" w:w="936"/>
          </w:tcPr>
          <w:p>
            <w:pPr>
              <w:keepNext/>
              <w:spacing w:after="0" w:line="240" w:lineRule="auto"/>
              <w:jc w:val="right"/>
            </w:pPr>
            <w:r/>
            <w:r>
              <w:rPr>
                <w:b w:val="0"/>
                <w:i w:val="0"/>
                <w:sz w:val="17"/>
              </w:rPr>
              <w:t>0.00</w:t>
            </w:r>
          </w:p>
        </w:tc>
        <w:tc>
          <w:tcPr>
            <w:tcW w:type="dxa" w:w="936"/>
          </w:tcPr>
          <w:p>
            <w:pPr>
              <w:keepNext/>
              <w:spacing w:after="0" w:line="240" w:lineRule="auto"/>
              <w:jc w:val="right"/>
            </w:pPr>
            <w:r/>
            <w:r>
              <w:rPr>
                <w:b w:val="0"/>
                <w:i w:val="0"/>
                <w:sz w:val="17"/>
              </w:rPr>
              <w:t>0.265</w:t>
            </w:r>
          </w:p>
        </w:tc>
        <w:tc>
          <w:tcPr>
            <w:tcW w:type="dxa" w:w="720"/>
          </w:tcPr>
          <w:p>
            <w:pPr>
              <w:keepNext/>
              <w:spacing w:after="0" w:line="240" w:lineRule="auto"/>
              <w:jc w:val="right"/>
            </w:pPr>
            <w:r/>
            <w:r>
              <w:rPr>
                <w:b w:val="0"/>
                <w:i w:val="0"/>
                <w:sz w:val="17"/>
              </w:rPr>
              <w:t>0.00</w:t>
            </w:r>
          </w:p>
        </w:tc>
        <w:tc>
          <w:tcPr>
            <w:tcW w:type="dxa" w:w="1008"/>
          </w:tcPr>
          <w:p>
            <w:pPr>
              <w:keepNext/>
              <w:spacing w:after="0" w:line="240" w:lineRule="auto"/>
              <w:jc w:val="right"/>
            </w:pPr>
            <w:r/>
            <w:r>
              <w:rPr>
                <w:b w:val="0"/>
                <w:i w:val="0"/>
                <w:sz w:val="17"/>
              </w:rPr>
              <w:t>1.00</w:t>
            </w:r>
          </w:p>
        </w:tc>
        <w:tc>
          <w:tcPr>
            <w:tcW w:type="dxa" w:w="2664"/>
          </w:tcPr>
          <w:p>
            <w:pPr>
              <w:keepNext/>
              <w:spacing w:after="0" w:line="240" w:lineRule="auto"/>
              <w:jc w:val="right"/>
            </w:pPr>
            <w:r/>
            <w:r>
              <w:rPr>
                <w:b w:val="0"/>
                <w:i w:val="0"/>
                <w:sz w:val="17"/>
              </w:rPr>
              <w:t>1 = demo ≥4–5 wks ago (105)</w:t>
            </w:r>
          </w:p>
        </w:tc>
      </w:tr>
      <w:tr>
        <w:trPr>
          <w:cantSplit/>
        </w:trPr>
        <w:tc>
          <w:tcPr>
            <w:tcW w:type="dxa" w:w="2088"/>
          </w:tcPr>
          <w:p>
            <w:pPr>
              <w:keepNext/>
              <w:spacing w:after="0" w:line="240" w:lineRule="auto"/>
            </w:pPr>
            <w:r/>
            <w:r>
              <w:rPr>
                <w:b w:val="0"/>
                <w:i w:val="0"/>
                <w:sz w:val="17"/>
              </w:rPr>
              <w:t>Natural Retailers</w:t>
            </w:r>
          </w:p>
        </w:tc>
        <w:tc>
          <w:tcPr>
            <w:tcW w:type="dxa" w:w="864"/>
          </w:tcPr>
          <w:p>
            <w:pPr>
              <w:keepNext/>
              <w:spacing w:after="0" w:line="240" w:lineRule="auto"/>
              <w:jc w:val="right"/>
            </w:pPr>
            <w:r/>
            <w:r>
              <w:rPr>
                <w:b w:val="0"/>
                <w:i w:val="0"/>
                <w:sz w:val="17"/>
              </w:rPr>
              <w:t>1.449</w:t>
            </w:r>
          </w:p>
        </w:tc>
        <w:tc>
          <w:tcPr>
            <w:tcW w:type="dxa" w:w="936"/>
          </w:tcPr>
          <w:p>
            <w:pPr>
              <w:keepNext/>
              <w:spacing w:after="0" w:line="240" w:lineRule="auto"/>
              <w:jc w:val="right"/>
            </w:pPr>
            <w:r/>
            <w:r>
              <w:rPr>
                <w:b w:val="0"/>
                <w:i w:val="0"/>
                <w:sz w:val="17"/>
              </w:rPr>
              <w:t>1.00</w:t>
            </w:r>
          </w:p>
        </w:tc>
        <w:tc>
          <w:tcPr>
            <w:tcW w:type="dxa" w:w="936"/>
          </w:tcPr>
          <w:p>
            <w:pPr>
              <w:keepNext/>
              <w:spacing w:after="0" w:line="240" w:lineRule="auto"/>
              <w:jc w:val="right"/>
            </w:pPr>
            <w:r/>
            <w:r>
              <w:rPr>
                <w:b w:val="0"/>
                <w:i w:val="0"/>
                <w:sz w:val="17"/>
              </w:rPr>
              <w:t>0.975</w:t>
            </w:r>
          </w:p>
        </w:tc>
        <w:tc>
          <w:tcPr>
            <w:tcW w:type="dxa" w:w="720"/>
          </w:tcPr>
          <w:p>
            <w:pPr>
              <w:keepNext/>
              <w:spacing w:after="0" w:line="240" w:lineRule="auto"/>
              <w:jc w:val="right"/>
            </w:pPr>
            <w:r/>
            <w:r>
              <w:rPr>
                <w:b w:val="0"/>
                <w:i w:val="0"/>
                <w:sz w:val="17"/>
              </w:rPr>
              <w:t>0.00</w:t>
            </w:r>
          </w:p>
        </w:tc>
        <w:tc>
          <w:tcPr>
            <w:tcW w:type="dxa" w:w="1008"/>
          </w:tcPr>
          <w:p>
            <w:pPr>
              <w:keepNext/>
              <w:spacing w:after="0" w:line="240" w:lineRule="auto"/>
              <w:jc w:val="right"/>
            </w:pPr>
            <w:r/>
            <w:r>
              <w:rPr>
                <w:b w:val="0"/>
                <w:i w:val="0"/>
                <w:sz w:val="17"/>
              </w:rPr>
              <w:t>4.00</w:t>
            </w:r>
          </w:p>
        </w:tc>
        <w:tc>
          <w:tcPr>
            <w:tcW w:type="dxa" w:w="2664"/>
          </w:tcPr>
          <w:p>
            <w:pPr>
              <w:keepNext/>
              <w:spacing w:after="0" w:line="240" w:lineRule="auto"/>
              <w:jc w:val="right"/>
            </w:pPr>
            <w:r/>
            <w:r>
              <w:rPr>
                <w:b w:val="0"/>
                <w:i w:val="0"/>
                <w:sz w:val="17"/>
              </w:rPr>
              <w:t>count within 5 miles</w:t>
            </w:r>
          </w:p>
        </w:tc>
      </w:tr>
      <w:tr>
        <w:trPr>
          <w:cantSplit/>
        </w:trPr>
        <w:tc>
          <w:tcPr>
            <w:tcW w:type="dxa" w:w="2088"/>
          </w:tcPr>
          <w:p>
            <w:pPr>
              <w:spacing w:after="0" w:line="240" w:lineRule="auto"/>
            </w:pPr>
            <w:r/>
            <w:r>
              <w:rPr>
                <w:b w:val="0"/>
                <w:i w:val="0"/>
                <w:sz w:val="17"/>
              </w:rPr>
              <w:t>Fitness Centers</w:t>
            </w:r>
          </w:p>
        </w:tc>
        <w:tc>
          <w:tcPr>
            <w:tcW w:type="dxa" w:w="864"/>
          </w:tcPr>
          <w:p>
            <w:pPr>
              <w:spacing w:after="0" w:line="240" w:lineRule="auto"/>
              <w:jc w:val="right"/>
            </w:pPr>
            <w:r/>
            <w:r>
              <w:rPr>
                <w:b w:val="0"/>
                <w:i w:val="0"/>
                <w:sz w:val="17"/>
              </w:rPr>
              <w:t>2.476</w:t>
            </w:r>
          </w:p>
        </w:tc>
        <w:tc>
          <w:tcPr>
            <w:tcW w:type="dxa" w:w="936"/>
          </w:tcPr>
          <w:p>
            <w:pPr>
              <w:spacing w:after="0" w:line="240" w:lineRule="auto"/>
              <w:jc w:val="right"/>
            </w:pPr>
            <w:r/>
            <w:r>
              <w:rPr>
                <w:b w:val="0"/>
                <w:i w:val="0"/>
                <w:sz w:val="17"/>
              </w:rPr>
              <w:t>2.00</w:t>
            </w:r>
          </w:p>
        </w:tc>
        <w:tc>
          <w:tcPr>
            <w:tcW w:type="dxa" w:w="936"/>
          </w:tcPr>
          <w:p>
            <w:pPr>
              <w:spacing w:after="0" w:line="240" w:lineRule="auto"/>
              <w:jc w:val="right"/>
            </w:pPr>
            <w:r/>
            <w:r>
              <w:rPr>
                <w:b w:val="0"/>
                <w:i w:val="0"/>
                <w:sz w:val="17"/>
              </w:rPr>
              <w:t>1.593</w:t>
            </w:r>
          </w:p>
        </w:tc>
        <w:tc>
          <w:tcPr>
            <w:tcW w:type="dxa" w:w="720"/>
          </w:tcPr>
          <w:p>
            <w:pPr>
              <w:spacing w:after="0" w:line="240" w:lineRule="auto"/>
              <w:jc w:val="right"/>
            </w:pPr>
            <w:r/>
            <w:r>
              <w:rPr>
                <w:b w:val="0"/>
                <w:i w:val="0"/>
                <w:sz w:val="17"/>
              </w:rPr>
              <w:t>0.00</w:t>
            </w:r>
          </w:p>
        </w:tc>
        <w:tc>
          <w:tcPr>
            <w:tcW w:type="dxa" w:w="1008"/>
          </w:tcPr>
          <w:p>
            <w:pPr>
              <w:spacing w:after="0" w:line="240" w:lineRule="auto"/>
              <w:jc w:val="right"/>
            </w:pPr>
            <w:r/>
            <w:r>
              <w:rPr>
                <w:b w:val="0"/>
                <w:i w:val="0"/>
                <w:sz w:val="17"/>
              </w:rPr>
              <w:t>5.00</w:t>
            </w:r>
          </w:p>
        </w:tc>
        <w:tc>
          <w:tcPr>
            <w:tcW w:type="dxa" w:w="2664"/>
          </w:tcPr>
          <w:p>
            <w:pPr>
              <w:spacing w:after="0" w:line="240" w:lineRule="auto"/>
              <w:jc w:val="right"/>
            </w:pPr>
            <w:r/>
            <w:r>
              <w:rPr>
                <w:b w:val="0"/>
                <w:i w:val="0"/>
                <w:sz w:val="17"/>
              </w:rPr>
              <w:t>count within 5 miles</w:t>
            </w:r>
          </w:p>
        </w:tc>
      </w:tr>
    </w:tbl>
    <w:p>
      <w:pPr>
        <w:spacing w:after="40"/>
      </w:pPr>
    </w:p>
    <w:p>
      <w:r>
        <w:rPr>
          <w:b/>
          <w:i w:val="0"/>
        </w:rPr>
        <w:t>Unadjusted comparisons (descriptive only).</w:t>
      </w:r>
      <w:r>
        <w:rPr>
          <w:b w:val="0"/>
          <w:i w:val="0"/>
        </w:rPr>
        <w:t xml:space="preserve"> Mean weekly sales are 401 units in demo weeks versus 245 otherwise (+156), 584 versus 241 with and without an endcap (+343), and 299 versus 199 with and without a regional rep (+100); all Welch p &lt; 0.001. These raw gaps do not control for other variables and are not causal effects. Figure 1 shows why the endcap gap needs care: nearly all of the endcap lift sits in stores that also have a regional rep.</w:t>
      </w:r>
    </w:p>
    <w:p>
      <w:pPr>
        <w:keepNext/>
        <w:spacing w:after="40"/>
        <w:jc w:val="center"/>
      </w:pPr>
      <w:r>
        <w:drawing>
          <wp:inline xmlns:a="http://schemas.openxmlformats.org/drawingml/2006/main" xmlns:pic="http://schemas.openxmlformats.org/drawingml/2006/picture">
            <wp:extent cx="4206240" cy="2442333"/>
            <wp:docPr id="1" name="Picture 1"/>
            <wp:cNvGraphicFramePr>
              <a:graphicFrameLocks noChangeAspect="1"/>
            </wp:cNvGraphicFramePr>
            <a:graphic>
              <a:graphicData uri="http://schemas.openxmlformats.org/drawingml/2006/picture">
                <pic:pic>
                  <pic:nvPicPr>
                    <pic:cNvPr id="0" name="F1_sales_rep_endcap.png"/>
                    <pic:cNvPicPr/>
                  </pic:nvPicPr>
                  <pic:blipFill>
                    <a:blip r:embed="rId9"/>
                    <a:stretch>
                      <a:fillRect/>
                    </a:stretch>
                  </pic:blipFill>
                  <pic:spPr>
                    <a:xfrm>
                      <a:off x="0" y="0"/>
                      <a:ext cx="4206240" cy="2442333"/>
                    </a:xfrm>
                    <a:prstGeom prst="rect"/>
                  </pic:spPr>
                </pic:pic>
              </a:graphicData>
            </a:graphic>
          </wp:inline>
        </w:drawing>
      </w:r>
    </w:p>
    <w:p>
      <w:pPr>
        <w:spacing w:after="120"/>
        <w:jc w:val="center"/>
      </w:pPr>
      <w:r>
        <w:rPr>
          <w:b w:val="0"/>
          <w:i/>
          <w:sz w:val="18"/>
        </w:rPr>
        <w:t>Figure 1. Weekly units sold by Sales Rep and Endcap status (box = interquartile range, line = median). Endcap with a rep averages 757 units (n = 36); endcap without a rep averages 218 (n = 17), barely above 198 for stores with neither.</w:t>
      </w:r>
    </w:p>
    <w:p>
      <w:r>
        <w:rPr>
          <w:b/>
          <w:i w:val="0"/>
        </w:rPr>
        <w:t>Correlations.</w:t>
      </w:r>
      <w:r>
        <w:rPr>
          <w:b w:val="0"/>
          <w:i w:val="0"/>
        </w:rPr>
        <w:t xml:space="preserve"> Sales correlates most with Endcap × Sales Rep (0.74), Endcap (0.59), Sales Rep (0.45), Demo1-3 (0.38), Demo (0.33) and Demo4-5 (0.20). Price (-0.02), Natural Retailers (0.06) and Fitness Centers (-0.03) are essentially uncorrelated with Sales. Price is positively correlated with Sales Rep (0.33), so rep stores charge more; this hides price's negative effect until Sales Rep is controlled. Predictors are otherwise weakly correlated (|r| ≤ 0.33), so multicollinearity is not a concern. Demo exposure is concentrated in June (Figure 7, Appendix); we therefore test for time effects in Section 8.</w:t>
      </w:r>
    </w:p>
    <w:p>
      <w:pPr>
        <w:pStyle w:val="Heading1"/>
      </w:pPr>
      <w:r>
        <w:t>3. Model Development</w:t>
      </w:r>
    </w:p>
    <w:p>
      <w:r>
        <w:rPr>
          <w:b w:val="0"/>
          <w:i w:val="0"/>
        </w:rPr>
        <w:t>We built the model in stages, as taught in the course (OLS, adjusted R², t- and partial F-tests, p-in/p-out selection, dummy variables and interactions). Table 2 summarises the progression.</w:t>
      </w:r>
    </w:p>
    <w:p>
      <w:pPr>
        <w:keepNext/>
        <w:spacing w:after="40"/>
      </w:pPr>
      <w:r>
        <w:rPr>
          <w:b/>
          <w:i w:val="0"/>
          <w:sz w:val="19"/>
        </w:rPr>
        <w:t>Table 2. Model comparison (all models: n = 1,386; model p-value &lt; 0.001 for models 0B onward)</w:t>
      </w:r>
    </w:p>
    <w:tbl>
      <w:tblPr>
        <w:tblStyle w:val="TableGrid"/>
        <w:tblW w:type="auto" w:w="0"/>
        <w:jc w:val="center"/>
        <w:tblLayout w:type="fixed"/>
        <w:tblLook w:firstColumn="1" w:firstRow="1" w:lastColumn="0" w:lastRow="0" w:noHBand="0" w:noVBand="1" w:val="04A0"/>
      </w:tblPr>
      <w:tblGrid>
        <w:gridCol w:w="1224"/>
        <w:gridCol w:w="1800"/>
        <w:gridCol w:w="936"/>
        <w:gridCol w:w="936"/>
        <w:gridCol w:w="720"/>
        <w:gridCol w:w="864"/>
        <w:gridCol w:w="576"/>
        <w:gridCol w:w="2304"/>
      </w:tblGrid>
      <w:tr>
        <w:trPr>
          <w:cantSplit/>
        </w:trPr>
        <w:tc>
          <w:tcPr>
            <w:tcW w:type="dxa" w:w="1224"/>
            <w:shd w:val="clear" w:color="auto" w:fill="1F4E79"/>
          </w:tcPr>
          <w:p>
            <w:pPr>
              <w:keepNext/>
              <w:spacing w:after="0" w:line="240" w:lineRule="auto"/>
              <w:jc w:val="center"/>
            </w:pPr>
            <w:r>
              <w:rPr>
                <w:color w:val="FFFFFF"/>
              </w:rPr>
            </w:r>
            <w:r>
              <w:rPr>
                <w:b/>
                <w:i w:val="0"/>
                <w:color w:val="FFFFFF"/>
                <w:sz w:val="16"/>
              </w:rPr>
              <w:t>Model</w:t>
            </w:r>
          </w:p>
        </w:tc>
        <w:tc>
          <w:tcPr>
            <w:tcW w:type="dxa" w:w="1800"/>
            <w:shd w:val="clear" w:color="auto" w:fill="1F4E79"/>
          </w:tcPr>
          <w:p>
            <w:pPr>
              <w:keepNext/>
              <w:spacing w:after="0" w:line="240" w:lineRule="auto"/>
              <w:jc w:val="center"/>
            </w:pPr>
            <w:r>
              <w:rPr>
                <w:color w:val="FFFFFF"/>
              </w:rPr>
            </w:r>
            <w:r>
              <w:rPr>
                <w:b/>
                <w:i w:val="0"/>
                <w:color w:val="FFFFFF"/>
                <w:sz w:val="16"/>
              </w:rPr>
              <w:t>Variables</w:t>
            </w:r>
          </w:p>
        </w:tc>
        <w:tc>
          <w:tcPr>
            <w:tcW w:type="dxa" w:w="936"/>
            <w:shd w:val="clear" w:color="auto" w:fill="1F4E79"/>
          </w:tcPr>
          <w:p>
            <w:pPr>
              <w:keepNext/>
              <w:spacing w:after="0" w:line="240" w:lineRule="auto"/>
              <w:jc w:val="center"/>
            </w:pPr>
            <w:r>
              <w:rPr>
                <w:color w:val="FFFFFF"/>
              </w:rPr>
            </w:r>
            <w:r>
              <w:rPr>
                <w:b/>
                <w:i w:val="0"/>
                <w:color w:val="FFFFFF"/>
                <w:sz w:val="16"/>
              </w:rPr>
              <w:t>R²</w:t>
            </w:r>
          </w:p>
        </w:tc>
        <w:tc>
          <w:tcPr>
            <w:tcW w:type="dxa" w:w="936"/>
            <w:shd w:val="clear" w:color="auto" w:fill="1F4E79"/>
          </w:tcPr>
          <w:p>
            <w:pPr>
              <w:keepNext/>
              <w:spacing w:after="0" w:line="240" w:lineRule="auto"/>
              <w:jc w:val="center"/>
            </w:pPr>
            <w:r>
              <w:rPr>
                <w:color w:val="FFFFFF"/>
              </w:rPr>
            </w:r>
            <w:r>
              <w:rPr>
                <w:b/>
                <w:i w:val="0"/>
                <w:color w:val="FFFFFF"/>
                <w:sz w:val="16"/>
              </w:rPr>
              <w:t>Adj R²</w:t>
            </w:r>
          </w:p>
        </w:tc>
        <w:tc>
          <w:tcPr>
            <w:tcW w:type="dxa" w:w="720"/>
            <w:shd w:val="clear" w:color="auto" w:fill="1F4E79"/>
          </w:tcPr>
          <w:p>
            <w:pPr>
              <w:keepNext/>
              <w:spacing w:after="0" w:line="240" w:lineRule="auto"/>
              <w:jc w:val="center"/>
            </w:pPr>
            <w:r>
              <w:rPr>
                <w:color w:val="FFFFFF"/>
              </w:rPr>
            </w:r>
            <w:r>
              <w:rPr>
                <w:b/>
                <w:i w:val="0"/>
                <w:color w:val="FFFFFF"/>
                <w:sz w:val="16"/>
              </w:rPr>
              <w:t>Std err</w:t>
            </w:r>
          </w:p>
        </w:tc>
        <w:tc>
          <w:tcPr>
            <w:tcW w:type="dxa" w:w="864"/>
            <w:shd w:val="clear" w:color="auto" w:fill="1F4E79"/>
          </w:tcPr>
          <w:p>
            <w:pPr>
              <w:keepNext/>
              <w:spacing w:after="0" w:line="240" w:lineRule="auto"/>
              <w:jc w:val="center"/>
            </w:pPr>
            <w:r>
              <w:rPr>
                <w:color w:val="FFFFFF"/>
              </w:rPr>
            </w:r>
            <w:r>
              <w:rPr>
                <w:b/>
                <w:i w:val="0"/>
                <w:color w:val="FFFFFF"/>
                <w:sz w:val="16"/>
              </w:rPr>
              <w:t>F</w:t>
            </w:r>
          </w:p>
        </w:tc>
        <w:tc>
          <w:tcPr>
            <w:tcW w:type="dxa" w:w="576"/>
            <w:shd w:val="clear" w:color="auto" w:fill="1F4E79"/>
          </w:tcPr>
          <w:p>
            <w:pPr>
              <w:keepNext/>
              <w:spacing w:after="0" w:line="240" w:lineRule="auto"/>
              <w:jc w:val="center"/>
            </w:pPr>
            <w:r>
              <w:rPr>
                <w:color w:val="FFFFFF"/>
              </w:rPr>
            </w:r>
            <w:r>
              <w:rPr>
                <w:b/>
                <w:i w:val="0"/>
                <w:color w:val="FFFFFF"/>
                <w:sz w:val="16"/>
              </w:rPr>
              <w:t>DW</w:t>
            </w:r>
          </w:p>
        </w:tc>
        <w:tc>
          <w:tcPr>
            <w:tcW w:type="dxa" w:w="2304"/>
            <w:shd w:val="clear" w:color="auto" w:fill="1F4E79"/>
          </w:tcPr>
          <w:p>
            <w:pPr>
              <w:keepNext/>
              <w:spacing w:after="0" w:line="240" w:lineRule="auto"/>
              <w:jc w:val="center"/>
            </w:pPr>
            <w:r>
              <w:rPr>
                <w:color w:val="FFFFFF"/>
              </w:rPr>
            </w:r>
            <w:r>
              <w:rPr>
                <w:b/>
                <w:i w:val="0"/>
                <w:color w:val="FFFFFF"/>
                <w:sz w:val="16"/>
              </w:rPr>
              <w:t>Key finding</w:t>
            </w:r>
          </w:p>
        </w:tc>
      </w:tr>
      <w:tr>
        <w:trPr>
          <w:cantSplit/>
        </w:trPr>
        <w:tc>
          <w:tcPr>
            <w:tcW w:type="dxa" w:w="1224"/>
          </w:tcPr>
          <w:p>
            <w:pPr>
              <w:keepNext/>
              <w:spacing w:after="0" w:line="240" w:lineRule="auto"/>
            </w:pPr>
            <w:r/>
            <w:r>
              <w:rPr>
                <w:b w:val="0"/>
                <w:i w:val="0"/>
                <w:sz w:val="16"/>
              </w:rPr>
              <w:t>0A</w:t>
            </w:r>
          </w:p>
        </w:tc>
        <w:tc>
          <w:tcPr>
            <w:tcW w:type="dxa" w:w="1800"/>
          </w:tcPr>
          <w:p>
            <w:pPr>
              <w:keepNext/>
              <w:spacing w:after="0" w:line="240" w:lineRule="auto"/>
            </w:pPr>
            <w:r/>
            <w:r>
              <w:rPr>
                <w:b w:val="0"/>
                <w:i w:val="0"/>
                <w:sz w:val="16"/>
              </w:rPr>
              <w:t>Price</w:t>
            </w:r>
          </w:p>
        </w:tc>
        <w:tc>
          <w:tcPr>
            <w:tcW w:type="dxa" w:w="936"/>
          </w:tcPr>
          <w:p>
            <w:pPr>
              <w:keepNext/>
              <w:spacing w:after="0" w:line="240" w:lineRule="auto"/>
              <w:jc w:val="right"/>
            </w:pPr>
            <w:r/>
            <w:r>
              <w:rPr>
                <w:b w:val="0"/>
                <w:i w:val="0"/>
                <w:sz w:val="16"/>
              </w:rPr>
              <w:t>0.0004</w:t>
            </w:r>
          </w:p>
        </w:tc>
        <w:tc>
          <w:tcPr>
            <w:tcW w:type="dxa" w:w="936"/>
          </w:tcPr>
          <w:p>
            <w:pPr>
              <w:keepNext/>
              <w:spacing w:after="0" w:line="240" w:lineRule="auto"/>
              <w:jc w:val="right"/>
            </w:pPr>
            <w:r/>
            <w:r>
              <w:rPr>
                <w:b w:val="0"/>
                <w:i w:val="0"/>
                <w:sz w:val="16"/>
              </w:rPr>
              <w:t>-0.0004</w:t>
            </w:r>
          </w:p>
        </w:tc>
        <w:tc>
          <w:tcPr>
            <w:tcW w:type="dxa" w:w="720"/>
          </w:tcPr>
          <w:p>
            <w:pPr>
              <w:keepNext/>
              <w:spacing w:after="0" w:line="240" w:lineRule="auto"/>
              <w:jc w:val="right"/>
            </w:pPr>
            <w:r/>
            <w:r>
              <w:rPr>
                <w:b w:val="0"/>
                <w:i w:val="0"/>
                <w:sz w:val="16"/>
              </w:rPr>
              <w:t>111.0</w:t>
            </w:r>
          </w:p>
        </w:tc>
        <w:tc>
          <w:tcPr>
            <w:tcW w:type="dxa" w:w="864"/>
          </w:tcPr>
          <w:p>
            <w:pPr>
              <w:keepNext/>
              <w:spacing w:after="0" w:line="240" w:lineRule="auto"/>
              <w:jc w:val="right"/>
            </w:pPr>
            <w:r/>
            <w:r>
              <w:rPr>
                <w:b w:val="0"/>
                <w:i w:val="0"/>
                <w:sz w:val="16"/>
              </w:rPr>
              <w:t>0.5</w:t>
            </w:r>
          </w:p>
        </w:tc>
        <w:tc>
          <w:tcPr>
            <w:tcW w:type="dxa" w:w="576"/>
          </w:tcPr>
          <w:p>
            <w:pPr>
              <w:keepNext/>
              <w:spacing w:after="0" w:line="240" w:lineRule="auto"/>
              <w:jc w:val="right"/>
            </w:pPr>
            <w:r/>
            <w:r>
              <w:rPr>
                <w:b w:val="0"/>
                <w:i w:val="0"/>
                <w:sz w:val="16"/>
              </w:rPr>
              <w:t>0.79</w:t>
            </w:r>
          </w:p>
        </w:tc>
        <w:tc>
          <w:tcPr>
            <w:tcW w:type="dxa" w:w="2304"/>
          </w:tcPr>
          <w:p>
            <w:pPr>
              <w:keepNext/>
              <w:spacing w:after="0" w:line="240" w:lineRule="auto"/>
              <w:jc w:val="right"/>
            </w:pPr>
            <w:r/>
            <w:r>
              <w:rPr>
                <w:b w:val="0"/>
                <w:i w:val="0"/>
                <w:sz w:val="16"/>
              </w:rPr>
              <w:t>Price alone explains nothing</w:t>
            </w:r>
          </w:p>
        </w:tc>
      </w:tr>
      <w:tr>
        <w:trPr>
          <w:cantSplit/>
        </w:trPr>
        <w:tc>
          <w:tcPr>
            <w:tcW w:type="dxa" w:w="1224"/>
          </w:tcPr>
          <w:p>
            <w:pPr>
              <w:keepNext/>
              <w:spacing w:after="0" w:line="240" w:lineRule="auto"/>
            </w:pPr>
            <w:r/>
            <w:r>
              <w:rPr>
                <w:b w:val="0"/>
                <w:i w:val="0"/>
                <w:sz w:val="16"/>
              </w:rPr>
              <w:t>0B</w:t>
            </w:r>
          </w:p>
        </w:tc>
        <w:tc>
          <w:tcPr>
            <w:tcW w:type="dxa" w:w="1800"/>
          </w:tcPr>
          <w:p>
            <w:pPr>
              <w:keepNext/>
              <w:spacing w:after="0" w:line="240" w:lineRule="auto"/>
            </w:pPr>
            <w:r/>
            <w:r>
              <w:rPr>
                <w:b w:val="0"/>
                <w:i w:val="0"/>
                <w:sz w:val="16"/>
              </w:rPr>
              <w:t>Demo</w:t>
            </w:r>
          </w:p>
        </w:tc>
        <w:tc>
          <w:tcPr>
            <w:tcW w:type="dxa" w:w="936"/>
          </w:tcPr>
          <w:p>
            <w:pPr>
              <w:keepNext/>
              <w:spacing w:after="0" w:line="240" w:lineRule="auto"/>
              <w:jc w:val="right"/>
            </w:pPr>
            <w:r/>
            <w:r>
              <w:rPr>
                <w:b w:val="0"/>
                <w:i w:val="0"/>
                <w:sz w:val="16"/>
              </w:rPr>
              <w:t>0.1085</w:t>
            </w:r>
          </w:p>
        </w:tc>
        <w:tc>
          <w:tcPr>
            <w:tcW w:type="dxa" w:w="936"/>
          </w:tcPr>
          <w:p>
            <w:pPr>
              <w:keepNext/>
              <w:spacing w:after="0" w:line="240" w:lineRule="auto"/>
              <w:jc w:val="right"/>
            </w:pPr>
            <w:r/>
            <w:r>
              <w:rPr>
                <w:b w:val="0"/>
                <w:i w:val="0"/>
                <w:sz w:val="16"/>
              </w:rPr>
              <w:t>0.1078</w:t>
            </w:r>
          </w:p>
        </w:tc>
        <w:tc>
          <w:tcPr>
            <w:tcW w:type="dxa" w:w="720"/>
          </w:tcPr>
          <w:p>
            <w:pPr>
              <w:keepNext/>
              <w:spacing w:after="0" w:line="240" w:lineRule="auto"/>
              <w:jc w:val="right"/>
            </w:pPr>
            <w:r/>
            <w:r>
              <w:rPr>
                <w:b w:val="0"/>
                <w:i w:val="0"/>
                <w:sz w:val="16"/>
              </w:rPr>
              <w:t>104.8</w:t>
            </w:r>
          </w:p>
        </w:tc>
        <w:tc>
          <w:tcPr>
            <w:tcW w:type="dxa" w:w="864"/>
          </w:tcPr>
          <w:p>
            <w:pPr>
              <w:keepNext/>
              <w:spacing w:after="0" w:line="240" w:lineRule="auto"/>
              <w:jc w:val="right"/>
            </w:pPr>
            <w:r/>
            <w:r>
              <w:rPr>
                <w:b w:val="0"/>
                <w:i w:val="0"/>
                <w:sz w:val="16"/>
              </w:rPr>
              <w:t>168.4</w:t>
            </w:r>
          </w:p>
        </w:tc>
        <w:tc>
          <w:tcPr>
            <w:tcW w:type="dxa" w:w="576"/>
          </w:tcPr>
          <w:p>
            <w:pPr>
              <w:keepNext/>
              <w:spacing w:after="0" w:line="240" w:lineRule="auto"/>
              <w:jc w:val="right"/>
            </w:pPr>
            <w:r/>
            <w:r>
              <w:rPr>
                <w:b w:val="0"/>
                <w:i w:val="0"/>
                <w:sz w:val="16"/>
              </w:rPr>
              <w:t>0.87</w:t>
            </w:r>
          </w:p>
        </w:tc>
        <w:tc>
          <w:tcPr>
            <w:tcW w:type="dxa" w:w="2304"/>
          </w:tcPr>
          <w:p>
            <w:pPr>
              <w:keepNext/>
              <w:spacing w:after="0" w:line="240" w:lineRule="auto"/>
              <w:jc w:val="right"/>
            </w:pPr>
            <w:r/>
            <w:r>
              <w:rPr>
                <w:b w:val="0"/>
                <w:i w:val="0"/>
                <w:sz w:val="16"/>
              </w:rPr>
              <w:t>Demo alone: R² 0.11</w:t>
            </w:r>
          </w:p>
        </w:tc>
      </w:tr>
      <w:tr>
        <w:trPr>
          <w:cantSplit/>
        </w:trPr>
        <w:tc>
          <w:tcPr>
            <w:tcW w:type="dxa" w:w="1224"/>
          </w:tcPr>
          <w:p>
            <w:pPr>
              <w:keepNext/>
              <w:spacing w:after="0" w:line="240" w:lineRule="auto"/>
            </w:pPr>
            <w:r/>
            <w:r>
              <w:rPr>
                <w:b w:val="0"/>
                <w:i w:val="0"/>
                <w:sz w:val="16"/>
              </w:rPr>
              <w:t>0C</w:t>
            </w:r>
          </w:p>
        </w:tc>
        <w:tc>
          <w:tcPr>
            <w:tcW w:type="dxa" w:w="1800"/>
          </w:tcPr>
          <w:p>
            <w:pPr>
              <w:keepNext/>
              <w:spacing w:after="0" w:line="240" w:lineRule="auto"/>
            </w:pPr>
            <w:r/>
            <w:r>
              <w:rPr>
                <w:b w:val="0"/>
                <w:i w:val="0"/>
                <w:sz w:val="16"/>
              </w:rPr>
              <w:t>Endcap</w:t>
            </w:r>
          </w:p>
        </w:tc>
        <w:tc>
          <w:tcPr>
            <w:tcW w:type="dxa" w:w="936"/>
          </w:tcPr>
          <w:p>
            <w:pPr>
              <w:keepNext/>
              <w:spacing w:after="0" w:line="240" w:lineRule="auto"/>
              <w:jc w:val="right"/>
            </w:pPr>
            <w:r/>
            <w:r>
              <w:rPr>
                <w:b w:val="0"/>
                <w:i w:val="0"/>
                <w:sz w:val="16"/>
              </w:rPr>
              <w:t>0.3519</w:t>
            </w:r>
          </w:p>
        </w:tc>
        <w:tc>
          <w:tcPr>
            <w:tcW w:type="dxa" w:w="936"/>
          </w:tcPr>
          <w:p>
            <w:pPr>
              <w:keepNext/>
              <w:spacing w:after="0" w:line="240" w:lineRule="auto"/>
              <w:jc w:val="right"/>
            </w:pPr>
            <w:r/>
            <w:r>
              <w:rPr>
                <w:b w:val="0"/>
                <w:i w:val="0"/>
                <w:sz w:val="16"/>
              </w:rPr>
              <w:t>0.3514</w:t>
            </w:r>
          </w:p>
        </w:tc>
        <w:tc>
          <w:tcPr>
            <w:tcW w:type="dxa" w:w="720"/>
          </w:tcPr>
          <w:p>
            <w:pPr>
              <w:keepNext/>
              <w:spacing w:after="0" w:line="240" w:lineRule="auto"/>
              <w:jc w:val="right"/>
            </w:pPr>
            <w:r/>
            <w:r>
              <w:rPr>
                <w:b w:val="0"/>
                <w:i w:val="0"/>
                <w:sz w:val="16"/>
              </w:rPr>
              <w:t>89.4</w:t>
            </w:r>
          </w:p>
        </w:tc>
        <w:tc>
          <w:tcPr>
            <w:tcW w:type="dxa" w:w="864"/>
          </w:tcPr>
          <w:p>
            <w:pPr>
              <w:keepNext/>
              <w:spacing w:after="0" w:line="240" w:lineRule="auto"/>
              <w:jc w:val="right"/>
            </w:pPr>
            <w:r/>
            <w:r>
              <w:rPr>
                <w:b w:val="0"/>
                <w:i w:val="0"/>
                <w:sz w:val="16"/>
              </w:rPr>
              <w:t>751.5</w:t>
            </w:r>
          </w:p>
        </w:tc>
        <w:tc>
          <w:tcPr>
            <w:tcW w:type="dxa" w:w="576"/>
          </w:tcPr>
          <w:p>
            <w:pPr>
              <w:keepNext/>
              <w:spacing w:after="0" w:line="240" w:lineRule="auto"/>
              <w:jc w:val="right"/>
            </w:pPr>
            <w:r/>
            <w:r>
              <w:rPr>
                <w:b w:val="0"/>
                <w:i w:val="0"/>
                <w:sz w:val="16"/>
              </w:rPr>
              <w:t>0.88</w:t>
            </w:r>
          </w:p>
        </w:tc>
        <w:tc>
          <w:tcPr>
            <w:tcW w:type="dxa" w:w="2304"/>
          </w:tcPr>
          <w:p>
            <w:pPr>
              <w:keepNext/>
              <w:spacing w:after="0" w:line="240" w:lineRule="auto"/>
              <w:jc w:val="right"/>
            </w:pPr>
            <w:r/>
            <w:r>
              <w:rPr>
                <w:b w:val="0"/>
                <w:i w:val="0"/>
                <w:sz w:val="16"/>
              </w:rPr>
              <w:t>Endcap alone: R² 0.35</w:t>
            </w:r>
          </w:p>
        </w:tc>
      </w:tr>
      <w:tr>
        <w:trPr>
          <w:cantSplit/>
        </w:trPr>
        <w:tc>
          <w:tcPr>
            <w:tcW w:type="dxa" w:w="1224"/>
          </w:tcPr>
          <w:p>
            <w:pPr>
              <w:keepNext/>
              <w:spacing w:after="0" w:line="240" w:lineRule="auto"/>
            </w:pPr>
            <w:r/>
            <w:r>
              <w:rPr>
                <w:b w:val="0"/>
                <w:i w:val="0"/>
                <w:sz w:val="16"/>
              </w:rPr>
              <w:t>1 Full MLR</w:t>
            </w:r>
          </w:p>
        </w:tc>
        <w:tc>
          <w:tcPr>
            <w:tcW w:type="dxa" w:w="1800"/>
          </w:tcPr>
          <w:p>
            <w:pPr>
              <w:keepNext/>
              <w:spacing w:after="0" w:line="240" w:lineRule="auto"/>
            </w:pPr>
            <w:r/>
            <w:r>
              <w:rPr>
                <w:b w:val="0"/>
                <w:i w:val="0"/>
                <w:sz w:val="16"/>
              </w:rPr>
              <w:t>8 predictors</w:t>
            </w:r>
          </w:p>
        </w:tc>
        <w:tc>
          <w:tcPr>
            <w:tcW w:type="dxa" w:w="936"/>
          </w:tcPr>
          <w:p>
            <w:pPr>
              <w:keepNext/>
              <w:spacing w:after="0" w:line="240" w:lineRule="auto"/>
              <w:jc w:val="right"/>
            </w:pPr>
            <w:r/>
            <w:r>
              <w:rPr>
                <w:b w:val="0"/>
                <w:i w:val="0"/>
                <w:sz w:val="16"/>
              </w:rPr>
              <w:t>0.6726</w:t>
            </w:r>
          </w:p>
        </w:tc>
        <w:tc>
          <w:tcPr>
            <w:tcW w:type="dxa" w:w="936"/>
          </w:tcPr>
          <w:p>
            <w:pPr>
              <w:keepNext/>
              <w:spacing w:after="0" w:line="240" w:lineRule="auto"/>
              <w:jc w:val="right"/>
            </w:pPr>
            <w:r/>
            <w:r>
              <w:rPr>
                <w:b w:val="0"/>
                <w:i w:val="0"/>
                <w:sz w:val="16"/>
              </w:rPr>
              <w:t>0.6707</w:t>
            </w:r>
          </w:p>
        </w:tc>
        <w:tc>
          <w:tcPr>
            <w:tcW w:type="dxa" w:w="720"/>
          </w:tcPr>
          <w:p>
            <w:pPr>
              <w:keepNext/>
              <w:spacing w:after="0" w:line="240" w:lineRule="auto"/>
              <w:jc w:val="right"/>
            </w:pPr>
            <w:r/>
            <w:r>
              <w:rPr>
                <w:b w:val="0"/>
                <w:i w:val="0"/>
                <w:sz w:val="16"/>
              </w:rPr>
              <w:t>63.7</w:t>
            </w:r>
          </w:p>
        </w:tc>
        <w:tc>
          <w:tcPr>
            <w:tcW w:type="dxa" w:w="864"/>
          </w:tcPr>
          <w:p>
            <w:pPr>
              <w:keepNext/>
              <w:spacing w:after="0" w:line="240" w:lineRule="auto"/>
              <w:jc w:val="right"/>
            </w:pPr>
            <w:r/>
            <w:r>
              <w:rPr>
                <w:b w:val="0"/>
                <w:i w:val="0"/>
                <w:sz w:val="16"/>
              </w:rPr>
              <w:t>353.7</w:t>
            </w:r>
          </w:p>
        </w:tc>
        <w:tc>
          <w:tcPr>
            <w:tcW w:type="dxa" w:w="576"/>
          </w:tcPr>
          <w:p>
            <w:pPr>
              <w:keepNext/>
              <w:spacing w:after="0" w:line="240" w:lineRule="auto"/>
              <w:jc w:val="right"/>
            </w:pPr>
            <w:r/>
            <w:r>
              <w:rPr>
                <w:b w:val="0"/>
                <w:i w:val="0"/>
                <w:sz w:val="16"/>
              </w:rPr>
              <w:t>1.38</w:t>
            </w:r>
          </w:p>
        </w:tc>
        <w:tc>
          <w:tcPr>
            <w:tcW w:type="dxa" w:w="2304"/>
          </w:tcPr>
          <w:p>
            <w:pPr>
              <w:keepNext/>
              <w:spacing w:after="0" w:line="240" w:lineRule="auto"/>
              <w:jc w:val="right"/>
            </w:pPr>
            <w:r/>
            <w:r>
              <w:rPr>
                <w:b w:val="0"/>
                <w:i w:val="0"/>
                <w:sz w:val="16"/>
              </w:rPr>
              <w:t>Natural, Fitness insignificant; DW 1.38</w:t>
            </w:r>
          </w:p>
        </w:tc>
      </w:tr>
      <w:tr>
        <w:trPr>
          <w:cantSplit/>
        </w:trPr>
        <w:tc>
          <w:tcPr>
            <w:tcW w:type="dxa" w:w="1224"/>
          </w:tcPr>
          <w:p>
            <w:pPr>
              <w:keepNext/>
              <w:spacing w:after="0" w:line="240" w:lineRule="auto"/>
            </w:pPr>
            <w:r/>
            <w:r>
              <w:rPr>
                <w:b w:val="0"/>
                <w:i w:val="0"/>
                <w:sz w:val="16"/>
              </w:rPr>
              <w:t>2 Selected</w:t>
            </w:r>
          </w:p>
        </w:tc>
        <w:tc>
          <w:tcPr>
            <w:tcW w:type="dxa" w:w="1800"/>
          </w:tcPr>
          <w:p>
            <w:pPr>
              <w:keepNext/>
              <w:spacing w:after="0" w:line="240" w:lineRule="auto"/>
            </w:pPr>
            <w:r/>
            <w:r>
              <w:rPr>
                <w:b w:val="0"/>
                <w:i w:val="0"/>
                <w:sz w:val="16"/>
              </w:rPr>
              <w:t>Model 1 − Natural − Fitness</w:t>
            </w:r>
          </w:p>
        </w:tc>
        <w:tc>
          <w:tcPr>
            <w:tcW w:type="dxa" w:w="936"/>
          </w:tcPr>
          <w:p>
            <w:pPr>
              <w:keepNext/>
              <w:spacing w:after="0" w:line="240" w:lineRule="auto"/>
              <w:jc w:val="right"/>
            </w:pPr>
            <w:r/>
            <w:r>
              <w:rPr>
                <w:b w:val="0"/>
                <w:i w:val="0"/>
                <w:sz w:val="16"/>
              </w:rPr>
              <w:t>0.6723</w:t>
            </w:r>
          </w:p>
        </w:tc>
        <w:tc>
          <w:tcPr>
            <w:tcW w:type="dxa" w:w="936"/>
          </w:tcPr>
          <w:p>
            <w:pPr>
              <w:keepNext/>
              <w:spacing w:after="0" w:line="240" w:lineRule="auto"/>
              <w:jc w:val="right"/>
            </w:pPr>
            <w:r/>
            <w:r>
              <w:rPr>
                <w:b w:val="0"/>
                <w:i w:val="0"/>
                <w:sz w:val="16"/>
              </w:rPr>
              <w:t>0.6708</w:t>
            </w:r>
          </w:p>
        </w:tc>
        <w:tc>
          <w:tcPr>
            <w:tcW w:type="dxa" w:w="720"/>
          </w:tcPr>
          <w:p>
            <w:pPr>
              <w:keepNext/>
              <w:spacing w:after="0" w:line="240" w:lineRule="auto"/>
              <w:jc w:val="right"/>
            </w:pPr>
            <w:r/>
            <w:r>
              <w:rPr>
                <w:b w:val="0"/>
                <w:i w:val="0"/>
                <w:sz w:val="16"/>
              </w:rPr>
              <w:t>63.7</w:t>
            </w:r>
          </w:p>
        </w:tc>
        <w:tc>
          <w:tcPr>
            <w:tcW w:type="dxa" w:w="864"/>
          </w:tcPr>
          <w:p>
            <w:pPr>
              <w:keepNext/>
              <w:spacing w:after="0" w:line="240" w:lineRule="auto"/>
              <w:jc w:val="right"/>
            </w:pPr>
            <w:r/>
            <w:r>
              <w:rPr>
                <w:b w:val="0"/>
                <w:i w:val="0"/>
                <w:sz w:val="16"/>
              </w:rPr>
              <w:t>471.4</w:t>
            </w:r>
          </w:p>
        </w:tc>
        <w:tc>
          <w:tcPr>
            <w:tcW w:type="dxa" w:w="576"/>
          </w:tcPr>
          <w:p>
            <w:pPr>
              <w:keepNext/>
              <w:spacing w:after="0" w:line="240" w:lineRule="auto"/>
              <w:jc w:val="right"/>
            </w:pPr>
            <w:r/>
            <w:r>
              <w:rPr>
                <w:b w:val="0"/>
                <w:i w:val="0"/>
                <w:sz w:val="16"/>
              </w:rPr>
              <w:t>1.38</w:t>
            </w:r>
          </w:p>
        </w:tc>
        <w:tc>
          <w:tcPr>
            <w:tcW w:type="dxa" w:w="2304"/>
          </w:tcPr>
          <w:p>
            <w:pPr>
              <w:keepNext/>
              <w:spacing w:after="0" w:line="240" w:lineRule="auto"/>
              <w:jc w:val="right"/>
            </w:pPr>
            <w:r/>
            <w:r>
              <w:rPr>
                <w:b w:val="0"/>
                <w:i w:val="0"/>
                <w:sz w:val="16"/>
              </w:rPr>
              <w:t>Same fit with 2 fewer variables</w:t>
            </w:r>
          </w:p>
        </w:tc>
      </w:tr>
      <w:tr>
        <w:trPr>
          <w:cantSplit/>
        </w:trPr>
        <w:tc>
          <w:tcPr>
            <w:tcW w:type="dxa" w:w="1224"/>
          </w:tcPr>
          <w:p>
            <w:pPr>
              <w:keepNext/>
              <w:spacing w:after="0" w:line="240" w:lineRule="auto"/>
            </w:pPr>
            <w:r/>
            <w:r>
              <w:rPr>
                <w:b w:val="0"/>
                <w:i w:val="0"/>
                <w:sz w:val="16"/>
              </w:rPr>
              <w:t>3 Full + int.</w:t>
            </w:r>
          </w:p>
        </w:tc>
        <w:tc>
          <w:tcPr>
            <w:tcW w:type="dxa" w:w="1800"/>
          </w:tcPr>
          <w:p>
            <w:pPr>
              <w:keepNext/>
              <w:spacing w:after="0" w:line="240" w:lineRule="auto"/>
            </w:pPr>
            <w:r/>
            <w:r>
              <w:rPr>
                <w:b w:val="0"/>
                <w:i w:val="0"/>
                <w:sz w:val="16"/>
              </w:rPr>
              <w:t>Model 1 + Endcap×Rep</w:t>
            </w:r>
          </w:p>
        </w:tc>
        <w:tc>
          <w:tcPr>
            <w:tcW w:type="dxa" w:w="936"/>
          </w:tcPr>
          <w:p>
            <w:pPr>
              <w:keepNext/>
              <w:spacing w:after="0" w:line="240" w:lineRule="auto"/>
              <w:jc w:val="right"/>
            </w:pPr>
            <w:r/>
            <w:r>
              <w:rPr>
                <w:b w:val="0"/>
                <w:i w:val="0"/>
                <w:sz w:val="16"/>
              </w:rPr>
              <w:t>0.8059</w:t>
            </w:r>
          </w:p>
        </w:tc>
        <w:tc>
          <w:tcPr>
            <w:tcW w:type="dxa" w:w="936"/>
          </w:tcPr>
          <w:p>
            <w:pPr>
              <w:keepNext/>
              <w:spacing w:after="0" w:line="240" w:lineRule="auto"/>
              <w:jc w:val="right"/>
            </w:pPr>
            <w:r/>
            <w:r>
              <w:rPr>
                <w:b w:val="0"/>
                <w:i w:val="0"/>
                <w:sz w:val="16"/>
              </w:rPr>
              <w:t>0.8046</w:t>
            </w:r>
          </w:p>
        </w:tc>
        <w:tc>
          <w:tcPr>
            <w:tcW w:type="dxa" w:w="720"/>
          </w:tcPr>
          <w:p>
            <w:pPr>
              <w:keepNext/>
              <w:spacing w:after="0" w:line="240" w:lineRule="auto"/>
              <w:jc w:val="right"/>
            </w:pPr>
            <w:r/>
            <w:r>
              <w:rPr>
                <w:b w:val="0"/>
                <w:i w:val="0"/>
                <w:sz w:val="16"/>
              </w:rPr>
              <w:t>49.1</w:t>
            </w:r>
          </w:p>
        </w:tc>
        <w:tc>
          <w:tcPr>
            <w:tcW w:type="dxa" w:w="864"/>
          </w:tcPr>
          <w:p>
            <w:pPr>
              <w:keepNext/>
              <w:spacing w:after="0" w:line="240" w:lineRule="auto"/>
              <w:jc w:val="right"/>
            </w:pPr>
            <w:r/>
            <w:r>
              <w:rPr>
                <w:b w:val="0"/>
                <w:i w:val="0"/>
                <w:sz w:val="16"/>
              </w:rPr>
              <w:t>634.7</w:t>
            </w:r>
          </w:p>
        </w:tc>
        <w:tc>
          <w:tcPr>
            <w:tcW w:type="dxa" w:w="576"/>
          </w:tcPr>
          <w:p>
            <w:pPr>
              <w:keepNext/>
              <w:spacing w:after="0" w:line="240" w:lineRule="auto"/>
              <w:jc w:val="right"/>
            </w:pPr>
            <w:r/>
            <w:r>
              <w:rPr>
                <w:b w:val="0"/>
                <w:i w:val="0"/>
                <w:sz w:val="16"/>
              </w:rPr>
              <w:t>2.09</w:t>
            </w:r>
          </w:p>
        </w:tc>
        <w:tc>
          <w:tcPr>
            <w:tcW w:type="dxa" w:w="2304"/>
          </w:tcPr>
          <w:p>
            <w:pPr>
              <w:keepNext/>
              <w:spacing w:after="0" w:line="240" w:lineRule="auto"/>
              <w:jc w:val="right"/>
            </w:pPr>
            <w:r/>
            <w:r>
              <w:rPr>
                <w:b w:val="0"/>
                <w:i w:val="0"/>
                <w:sz w:val="16"/>
              </w:rPr>
              <w:t>Interaction adds 13 pts of R²</w:t>
            </w:r>
          </w:p>
        </w:tc>
      </w:tr>
      <w:tr>
        <w:trPr>
          <w:cantSplit/>
        </w:trPr>
        <w:tc>
          <w:tcPr>
            <w:tcW w:type="dxa" w:w="1224"/>
            <w:shd w:val="clear" w:color="auto" w:fill="FFF2CC"/>
          </w:tcPr>
          <w:p>
            <w:pPr>
              <w:spacing w:after="0" w:line="240" w:lineRule="auto"/>
            </w:pPr>
            <w:r/>
            <w:r>
              <w:rPr>
                <w:b/>
                <w:i w:val="0"/>
                <w:sz w:val="16"/>
              </w:rPr>
              <w:t>FINAL</w:t>
            </w:r>
          </w:p>
        </w:tc>
        <w:tc>
          <w:tcPr>
            <w:tcW w:type="dxa" w:w="1800"/>
            <w:shd w:val="clear" w:color="auto" w:fill="FFF2CC"/>
          </w:tcPr>
          <w:p>
            <w:pPr>
              <w:spacing w:after="0" w:line="240" w:lineRule="auto"/>
            </w:pPr>
            <w:r/>
            <w:r>
              <w:rPr>
                <w:b/>
                <w:i w:val="0"/>
                <w:sz w:val="16"/>
              </w:rPr>
              <w:t>Model 2 + Endcap×Rep</w:t>
            </w:r>
          </w:p>
        </w:tc>
        <w:tc>
          <w:tcPr>
            <w:tcW w:type="dxa" w:w="936"/>
            <w:shd w:val="clear" w:color="auto" w:fill="FFF2CC"/>
          </w:tcPr>
          <w:p>
            <w:pPr>
              <w:spacing w:after="0" w:line="240" w:lineRule="auto"/>
              <w:jc w:val="right"/>
            </w:pPr>
            <w:r/>
            <w:r>
              <w:rPr>
                <w:b/>
                <w:i w:val="0"/>
                <w:sz w:val="16"/>
              </w:rPr>
              <w:t>0.8059</w:t>
            </w:r>
          </w:p>
        </w:tc>
        <w:tc>
          <w:tcPr>
            <w:tcW w:type="dxa" w:w="936"/>
            <w:shd w:val="clear" w:color="auto" w:fill="FFF2CC"/>
          </w:tcPr>
          <w:p>
            <w:pPr>
              <w:spacing w:after="0" w:line="240" w:lineRule="auto"/>
              <w:jc w:val="right"/>
            </w:pPr>
            <w:r/>
            <w:r>
              <w:rPr>
                <w:b/>
                <w:i w:val="0"/>
                <w:sz w:val="16"/>
              </w:rPr>
              <w:t>0.8049</w:t>
            </w:r>
          </w:p>
        </w:tc>
        <w:tc>
          <w:tcPr>
            <w:tcW w:type="dxa" w:w="720"/>
            <w:shd w:val="clear" w:color="auto" w:fill="FFF2CC"/>
          </w:tcPr>
          <w:p>
            <w:pPr>
              <w:spacing w:after="0" w:line="240" w:lineRule="auto"/>
              <w:jc w:val="right"/>
            </w:pPr>
            <w:r/>
            <w:r>
              <w:rPr>
                <w:b/>
                <w:i w:val="0"/>
                <w:sz w:val="16"/>
              </w:rPr>
              <w:t>49.0</w:t>
            </w:r>
          </w:p>
        </w:tc>
        <w:tc>
          <w:tcPr>
            <w:tcW w:type="dxa" w:w="864"/>
            <w:shd w:val="clear" w:color="auto" w:fill="FFF2CC"/>
          </w:tcPr>
          <w:p>
            <w:pPr>
              <w:spacing w:after="0" w:line="240" w:lineRule="auto"/>
              <w:jc w:val="right"/>
            </w:pPr>
            <w:r/>
            <w:r>
              <w:rPr>
                <w:b/>
                <w:i w:val="0"/>
                <w:sz w:val="16"/>
              </w:rPr>
              <w:t>817.1</w:t>
            </w:r>
          </w:p>
        </w:tc>
        <w:tc>
          <w:tcPr>
            <w:tcW w:type="dxa" w:w="576"/>
            <w:shd w:val="clear" w:color="auto" w:fill="FFF2CC"/>
          </w:tcPr>
          <w:p>
            <w:pPr>
              <w:spacing w:after="0" w:line="240" w:lineRule="auto"/>
              <w:jc w:val="right"/>
            </w:pPr>
            <w:r/>
            <w:r>
              <w:rPr>
                <w:b/>
                <w:i w:val="0"/>
                <w:sz w:val="16"/>
              </w:rPr>
              <w:t>2.09</w:t>
            </w:r>
          </w:p>
        </w:tc>
        <w:tc>
          <w:tcPr>
            <w:tcW w:type="dxa" w:w="2304"/>
            <w:shd w:val="clear" w:color="auto" w:fill="FFF2CC"/>
          </w:tcPr>
          <w:p>
            <w:pPr>
              <w:spacing w:after="0" w:line="240" w:lineRule="auto"/>
              <w:jc w:val="right"/>
            </w:pPr>
            <w:r/>
            <w:r>
              <w:rPr>
                <w:b/>
                <w:i w:val="0"/>
                <w:sz w:val="16"/>
              </w:rPr>
              <w:t>Preferred: adj R² 0.805, DW 2.09</w:t>
            </w:r>
          </w:p>
        </w:tc>
      </w:tr>
    </w:tbl>
    <w:p>
      <w:pPr>
        <w:spacing w:after="40"/>
      </w:pPr>
    </w:p>
    <w:p>
      <w:pPr>
        <w:pStyle w:val="Heading2"/>
      </w:pPr>
      <w:r>
        <w:t>Baseline and full model</w:t>
      </w:r>
    </w:p>
    <w:p>
      <w:r>
        <w:rPr>
          <w:b w:val="0"/>
          <w:i w:val="0"/>
        </w:rPr>
        <w:t>Simple regressions show that Price alone explains none of the variation (R² = 0.0004), Demo about 11% and Endcap about 35%. The full business model (Model 1) uses all eight candidate drivers. Its fit is respectable (R² = 0.673, adjusted R² = 0.671, F = 353.7, p &lt; 0.001, SE = 63.7). Price (-28.5, p &lt; 0.001), Sales Rep (+77.4), Endcap (+305), Demo (+111), Demo1-3 (+73.5) and Demo4-5 (+67.6) are all significant at p &lt; 0.001, while Natural Retailers (-1.59, p = 0.37) and Fitness Centers (-1.02, p = 0.35) are not. The Model 1 diagnostics, however, flag problems (Section 5 and 8): residuals are autocorrelated (DW = 1.38), their variance is not constant, and their distribution is skewed (skew -0.93, excess kurtosis 5.5).</w:t>
      </w:r>
    </w:p>
    <w:p>
      <w:pPr>
        <w:pStyle w:val="Heading2"/>
      </w:pPr>
      <w:r>
        <w:t>Variable selection</w:t>
      </w:r>
    </w:p>
    <w:p>
      <w:r>
        <w:rPr>
          <w:b w:val="0"/>
          <w:i w:val="0"/>
        </w:rPr>
        <w:t>We applied the course stepwise procedure with p-in = 0.05 and p-out = 0.10, using partial F-tests at each step. On the eight original predictors, variables enter in the order Endcap, Sales Rep, Demo1-3, Demo, Demo4-5, Price; Natural Retailers and Fitness Centers never qualify. A joint partial F-test confirms the drop (F = 0.78, p = 0.46; with the interaction in the model, F = 0.04, p = 0.96). Business logic agrees: store surroundings matter little once the store already carries GoodBelly, and the retailers/fitness counts are fixed store attributes that cannot explain week-to-week changes. Removing them reduces VIFs and parsimony cost nothing (adjusted R² 0.6708 vs 0.6707). Every other variable passes its partial F-test (all p &lt; 0.001) and is kept.</w:t>
      </w:r>
    </w:p>
    <w:p>
      <w:pPr>
        <w:pStyle w:val="Heading2"/>
      </w:pPr>
      <w:r>
        <w:t>Interaction analysis</w:t>
      </w:r>
    </w:p>
    <w:p>
      <w:r>
        <w:rPr>
          <w:b w:val="0"/>
          <w:i w:val="0"/>
        </w:rPr>
        <w:t>Management's question is whether endcaps work, and Figure 1 suggests the answer depends on regional rep coverage. We tested Endcap × Sales Rep: the partial F-test is 944 (p &lt; 0.001), R² rises from 0.673 to 0.806, the standard error falls from 63.7 to 49.0 units, and the autocorrelation and heteroscedasticity found in Model 1 disappear. This is not just an R² gain: the interaction is the mechanism, since the Endcap coefficient collapses from +305 to 0.6 once it is included. We also tested six other candidate interactions (Price×Rep, Demo×Rep, Demo1-3×Rep, Demo4-5×Rep, Price×Endcap, Demo×Endcap): none is significant (all p ≥ 0.23), so none was added.</w:t>
      </w:r>
    </w:p>
    <w:p>
      <w:pPr>
        <w:pStyle w:val="Heading2"/>
      </w:pPr>
      <w:r>
        <w:t>Final model selection</w:t>
      </w:r>
    </w:p>
    <w:p>
      <w:r>
        <w:rPr>
          <w:b w:val="0"/>
          <w:i w:val="0"/>
        </w:rPr>
        <w:t>Stepwise selection with the interaction in the pool, and backward elimination, both drop the Endcap main effect (p = 0.96). We nonetheless keep it, for three reasons: the course keeps the component terms of an interaction; it makes the Endcap coefficient directly interpretable (the endcap effect where Sales Rep = 0), which is itself a managerially relevant test; and the restricted model is statistically identical (partial F = 0.003, p = 0.96; adjusted R² 0.8050 vs 0.8049; all other coefficients within 1 unit). The final model is therefore the seven-predictor model in Section 4. It is the most defensible rather than the highest-R² choice: adding Natural Retailers and Fitness Centers back leaves R² unchanged (0.8059) and adjusted R² lower (0.8046).</w:t>
      </w:r>
    </w:p>
    <w:p>
      <w:pPr>
        <w:pStyle w:val="Heading1"/>
      </w:pPr>
      <w:r>
        <w:t>4. Preferred Final Model</w:t>
      </w:r>
    </w:p>
    <w:p>
      <w:pPr>
        <w:spacing w:after="80"/>
      </w:pPr>
      <w:r>
        <w:rPr>
          <w:b/>
          <w:i w:val="0"/>
        </w:rPr>
        <w:t>Sales = 276.57 -22.07·Price + 59.46·SalesRep + 0.62·Endcap + 106.75·Demo + 73.37·Demo1-3 + 74.55·Demo4-5 + 453.80·(Endcap × SalesRep) + ε</w:t>
      </w:r>
    </w:p>
    <w:p>
      <w:pPr>
        <w:keepNext/>
        <w:spacing w:after="40"/>
      </w:pPr>
      <w:r>
        <w:rPr>
          <w:b/>
          <w:i w:val="0"/>
          <w:sz w:val="19"/>
        </w:rPr>
        <w:t>Table 3. Final model coefficients (dependent variable: weekly units sold; n = 1,386)</w:t>
      </w:r>
    </w:p>
    <w:tbl>
      <w:tblPr>
        <w:tblStyle w:val="TableGrid"/>
        <w:tblW w:type="auto" w:w="0"/>
        <w:jc w:val="center"/>
        <w:tblLayout w:type="fixed"/>
        <w:tblLook w:firstColumn="1" w:firstRow="1" w:lastColumn="0" w:lastRow="0" w:noHBand="0" w:noVBand="1" w:val="04A0"/>
      </w:tblPr>
      <w:tblGrid>
        <w:gridCol w:w="2880"/>
        <w:gridCol w:w="1224"/>
        <w:gridCol w:w="1152"/>
        <w:gridCol w:w="936"/>
        <w:gridCol w:w="1008"/>
        <w:gridCol w:w="2016"/>
      </w:tblGrid>
      <w:tr>
        <w:trPr>
          <w:cantSplit/>
        </w:trPr>
        <w:tc>
          <w:tcPr>
            <w:tcW w:type="dxa" w:w="2880"/>
            <w:shd w:val="clear" w:color="auto" w:fill="1F4E79"/>
          </w:tcPr>
          <w:p>
            <w:pPr>
              <w:keepNext/>
              <w:spacing w:after="0" w:line="240" w:lineRule="auto"/>
              <w:jc w:val="center"/>
            </w:pPr>
            <w:r>
              <w:rPr>
                <w:color w:val="FFFFFF"/>
              </w:rPr>
            </w:r>
            <w:r>
              <w:rPr>
                <w:b/>
                <w:i w:val="0"/>
                <w:color w:val="FFFFFF"/>
                <w:sz w:val="18"/>
              </w:rPr>
              <w:t>Variable</w:t>
            </w:r>
          </w:p>
        </w:tc>
        <w:tc>
          <w:tcPr>
            <w:tcW w:type="dxa" w:w="1224"/>
            <w:shd w:val="clear" w:color="auto" w:fill="1F4E79"/>
          </w:tcPr>
          <w:p>
            <w:pPr>
              <w:keepNext/>
              <w:spacing w:after="0" w:line="240" w:lineRule="auto"/>
              <w:jc w:val="center"/>
            </w:pPr>
            <w:r>
              <w:rPr>
                <w:color w:val="FFFFFF"/>
              </w:rPr>
            </w:r>
            <w:r>
              <w:rPr>
                <w:b/>
                <w:i w:val="0"/>
                <w:color w:val="FFFFFF"/>
                <w:sz w:val="18"/>
              </w:rPr>
              <w:t>Coefficient</w:t>
            </w:r>
          </w:p>
        </w:tc>
        <w:tc>
          <w:tcPr>
            <w:tcW w:type="dxa" w:w="1152"/>
            <w:shd w:val="clear" w:color="auto" w:fill="1F4E79"/>
          </w:tcPr>
          <w:p>
            <w:pPr>
              <w:keepNext/>
              <w:spacing w:after="0" w:line="240" w:lineRule="auto"/>
              <w:jc w:val="center"/>
            </w:pPr>
            <w:r>
              <w:rPr>
                <w:color w:val="FFFFFF"/>
              </w:rPr>
            </w:r>
            <w:r>
              <w:rPr>
                <w:b/>
                <w:i w:val="0"/>
                <w:color w:val="FFFFFF"/>
                <w:sz w:val="18"/>
              </w:rPr>
              <w:t>Std. error</w:t>
            </w:r>
          </w:p>
        </w:tc>
        <w:tc>
          <w:tcPr>
            <w:tcW w:type="dxa" w:w="936"/>
            <w:shd w:val="clear" w:color="auto" w:fill="1F4E79"/>
          </w:tcPr>
          <w:p>
            <w:pPr>
              <w:keepNext/>
              <w:spacing w:after="0" w:line="240" w:lineRule="auto"/>
              <w:jc w:val="center"/>
            </w:pPr>
            <w:r>
              <w:rPr>
                <w:color w:val="FFFFFF"/>
              </w:rPr>
            </w:r>
            <w:r>
              <w:rPr>
                <w:b/>
                <w:i w:val="0"/>
                <w:color w:val="FFFFFF"/>
                <w:sz w:val="18"/>
              </w:rPr>
              <w:t>t</w:t>
            </w:r>
          </w:p>
        </w:tc>
        <w:tc>
          <w:tcPr>
            <w:tcW w:type="dxa" w:w="1008"/>
            <w:shd w:val="clear" w:color="auto" w:fill="1F4E79"/>
          </w:tcPr>
          <w:p>
            <w:pPr>
              <w:keepNext/>
              <w:spacing w:after="0" w:line="240" w:lineRule="auto"/>
              <w:jc w:val="center"/>
            </w:pPr>
            <w:r>
              <w:rPr>
                <w:color w:val="FFFFFF"/>
              </w:rPr>
            </w:r>
            <w:r>
              <w:rPr>
                <w:b/>
                <w:i w:val="0"/>
                <w:color w:val="FFFFFF"/>
                <w:sz w:val="18"/>
              </w:rPr>
              <w:t>p-value</w:t>
            </w:r>
          </w:p>
        </w:tc>
        <w:tc>
          <w:tcPr>
            <w:tcW w:type="dxa" w:w="2016"/>
            <w:shd w:val="clear" w:color="auto" w:fill="1F4E79"/>
          </w:tcPr>
          <w:p>
            <w:pPr>
              <w:keepNext/>
              <w:spacing w:after="0" w:line="240" w:lineRule="auto"/>
              <w:jc w:val="center"/>
            </w:pPr>
            <w:r>
              <w:rPr>
                <w:color w:val="FFFFFF"/>
              </w:rPr>
            </w:r>
            <w:r>
              <w:rPr>
                <w:b/>
                <w:i w:val="0"/>
                <w:color w:val="FFFFFF"/>
                <w:sz w:val="18"/>
              </w:rPr>
              <w:t>95% CI</w:t>
            </w:r>
          </w:p>
        </w:tc>
      </w:tr>
      <w:tr>
        <w:trPr>
          <w:cantSplit/>
        </w:trPr>
        <w:tc>
          <w:tcPr>
            <w:tcW w:type="dxa" w:w="2880"/>
          </w:tcPr>
          <w:p>
            <w:pPr>
              <w:keepNext/>
              <w:spacing w:after="0" w:line="240" w:lineRule="auto"/>
            </w:pPr>
            <w:r/>
            <w:r>
              <w:rPr>
                <w:b w:val="0"/>
                <w:i w:val="0"/>
                <w:sz w:val="18"/>
              </w:rPr>
              <w:t>Intercept</w:t>
            </w:r>
          </w:p>
        </w:tc>
        <w:tc>
          <w:tcPr>
            <w:tcW w:type="dxa" w:w="1224"/>
          </w:tcPr>
          <w:p>
            <w:pPr>
              <w:keepNext/>
              <w:spacing w:after="0" w:line="240" w:lineRule="auto"/>
              <w:jc w:val="right"/>
            </w:pPr>
            <w:r/>
            <w:r>
              <w:rPr>
                <w:b w:val="0"/>
                <w:i w:val="0"/>
                <w:sz w:val="18"/>
              </w:rPr>
              <w:t>276.573</w:t>
            </w:r>
          </w:p>
        </w:tc>
        <w:tc>
          <w:tcPr>
            <w:tcW w:type="dxa" w:w="1152"/>
          </w:tcPr>
          <w:p>
            <w:pPr>
              <w:keepNext/>
              <w:spacing w:after="0" w:line="240" w:lineRule="auto"/>
              <w:jc w:val="right"/>
            </w:pPr>
            <w:r/>
            <w:r>
              <w:rPr>
                <w:b w:val="0"/>
                <w:i w:val="0"/>
                <w:sz w:val="18"/>
              </w:rPr>
              <w:t>12.169</w:t>
            </w:r>
          </w:p>
        </w:tc>
        <w:tc>
          <w:tcPr>
            <w:tcW w:type="dxa" w:w="936"/>
          </w:tcPr>
          <w:p>
            <w:pPr>
              <w:keepNext/>
              <w:spacing w:after="0" w:line="240" w:lineRule="auto"/>
              <w:jc w:val="right"/>
            </w:pPr>
            <w:r/>
            <w:r>
              <w:rPr>
                <w:b w:val="0"/>
                <w:i w:val="0"/>
                <w:sz w:val="18"/>
              </w:rPr>
              <w:t>22.73</w:t>
            </w:r>
          </w:p>
        </w:tc>
        <w:tc>
          <w:tcPr>
            <w:tcW w:type="dxa" w:w="1008"/>
          </w:tcPr>
          <w:p>
            <w:pPr>
              <w:keepNext/>
              <w:spacing w:after="0" w:line="240" w:lineRule="auto"/>
              <w:jc w:val="right"/>
            </w:pPr>
            <w:r/>
            <w:r>
              <w:rPr>
                <w:b w:val="0"/>
                <w:i w:val="0"/>
                <w:sz w:val="18"/>
              </w:rPr>
              <w:t>&lt;0.001</w:t>
            </w:r>
          </w:p>
        </w:tc>
        <w:tc>
          <w:tcPr>
            <w:tcW w:type="dxa" w:w="2016"/>
          </w:tcPr>
          <w:p>
            <w:pPr>
              <w:keepNext/>
              <w:spacing w:after="0" w:line="240" w:lineRule="auto"/>
              <w:jc w:val="right"/>
            </w:pPr>
            <w:r/>
            <w:r>
              <w:rPr>
                <w:b w:val="0"/>
                <w:i w:val="0"/>
                <w:sz w:val="18"/>
              </w:rPr>
              <w:t>[252.70, 300.44]</w:t>
            </w:r>
          </w:p>
        </w:tc>
      </w:tr>
      <w:tr>
        <w:trPr>
          <w:cantSplit/>
        </w:trPr>
        <w:tc>
          <w:tcPr>
            <w:tcW w:type="dxa" w:w="2880"/>
          </w:tcPr>
          <w:p>
            <w:pPr>
              <w:keepNext/>
              <w:spacing w:after="0" w:line="240" w:lineRule="auto"/>
            </w:pPr>
            <w:r/>
            <w:r>
              <w:rPr>
                <w:b w:val="0"/>
                <w:i w:val="0"/>
                <w:sz w:val="18"/>
              </w:rPr>
              <w:t>Average Retail Price</w:t>
            </w:r>
          </w:p>
        </w:tc>
        <w:tc>
          <w:tcPr>
            <w:tcW w:type="dxa" w:w="1224"/>
          </w:tcPr>
          <w:p>
            <w:pPr>
              <w:keepNext/>
              <w:spacing w:after="0" w:line="240" w:lineRule="auto"/>
              <w:jc w:val="right"/>
            </w:pPr>
            <w:r/>
            <w:r>
              <w:rPr>
                <w:b w:val="0"/>
                <w:i w:val="0"/>
                <w:sz w:val="18"/>
              </w:rPr>
              <w:t>-22.066</w:t>
            </w:r>
          </w:p>
        </w:tc>
        <w:tc>
          <w:tcPr>
            <w:tcW w:type="dxa" w:w="1152"/>
          </w:tcPr>
          <w:p>
            <w:pPr>
              <w:keepNext/>
              <w:spacing w:after="0" w:line="240" w:lineRule="auto"/>
              <w:jc w:val="right"/>
            </w:pPr>
            <w:r/>
            <w:r>
              <w:rPr>
                <w:b w:val="0"/>
                <w:i w:val="0"/>
                <w:sz w:val="18"/>
              </w:rPr>
              <w:t>3.045</w:t>
            </w:r>
          </w:p>
        </w:tc>
        <w:tc>
          <w:tcPr>
            <w:tcW w:type="dxa" w:w="936"/>
          </w:tcPr>
          <w:p>
            <w:pPr>
              <w:keepNext/>
              <w:spacing w:after="0" w:line="240" w:lineRule="auto"/>
              <w:jc w:val="right"/>
            </w:pPr>
            <w:r/>
            <w:r>
              <w:rPr>
                <w:b w:val="0"/>
                <w:i w:val="0"/>
                <w:sz w:val="18"/>
              </w:rPr>
              <w:t>-7.25</w:t>
            </w:r>
          </w:p>
        </w:tc>
        <w:tc>
          <w:tcPr>
            <w:tcW w:type="dxa" w:w="1008"/>
          </w:tcPr>
          <w:p>
            <w:pPr>
              <w:keepNext/>
              <w:spacing w:after="0" w:line="240" w:lineRule="auto"/>
              <w:jc w:val="right"/>
            </w:pPr>
            <w:r/>
            <w:r>
              <w:rPr>
                <w:b w:val="0"/>
                <w:i w:val="0"/>
                <w:sz w:val="18"/>
              </w:rPr>
              <w:t>&lt;0.001</w:t>
            </w:r>
          </w:p>
        </w:tc>
        <w:tc>
          <w:tcPr>
            <w:tcW w:type="dxa" w:w="2016"/>
          </w:tcPr>
          <w:p>
            <w:pPr>
              <w:keepNext/>
              <w:spacing w:after="0" w:line="240" w:lineRule="auto"/>
              <w:jc w:val="right"/>
            </w:pPr>
            <w:r/>
            <w:r>
              <w:rPr>
                <w:b w:val="0"/>
                <w:i w:val="0"/>
                <w:sz w:val="18"/>
              </w:rPr>
              <w:t>[-28.04, -16.09]</w:t>
            </w:r>
          </w:p>
        </w:tc>
      </w:tr>
      <w:tr>
        <w:trPr>
          <w:cantSplit/>
        </w:trPr>
        <w:tc>
          <w:tcPr>
            <w:tcW w:type="dxa" w:w="2880"/>
          </w:tcPr>
          <w:p>
            <w:pPr>
              <w:keepNext/>
              <w:spacing w:after="0" w:line="240" w:lineRule="auto"/>
            </w:pPr>
            <w:r/>
            <w:r>
              <w:rPr>
                <w:b w:val="0"/>
                <w:i w:val="0"/>
                <w:sz w:val="18"/>
              </w:rPr>
              <w:t>Sales Rep</w:t>
            </w:r>
          </w:p>
        </w:tc>
        <w:tc>
          <w:tcPr>
            <w:tcW w:type="dxa" w:w="1224"/>
          </w:tcPr>
          <w:p>
            <w:pPr>
              <w:keepNext/>
              <w:spacing w:after="0" w:line="240" w:lineRule="auto"/>
              <w:jc w:val="right"/>
            </w:pPr>
            <w:r/>
            <w:r>
              <w:rPr>
                <w:b w:val="0"/>
                <w:i w:val="0"/>
                <w:sz w:val="18"/>
              </w:rPr>
              <w:t>59.462</w:t>
            </w:r>
          </w:p>
        </w:tc>
        <w:tc>
          <w:tcPr>
            <w:tcW w:type="dxa" w:w="1152"/>
          </w:tcPr>
          <w:p>
            <w:pPr>
              <w:keepNext/>
              <w:spacing w:after="0" w:line="240" w:lineRule="auto"/>
              <w:jc w:val="right"/>
            </w:pPr>
            <w:r/>
            <w:r>
              <w:rPr>
                <w:b w:val="0"/>
                <w:i w:val="0"/>
                <w:sz w:val="18"/>
              </w:rPr>
              <w:t>3.011</w:t>
            </w:r>
          </w:p>
        </w:tc>
        <w:tc>
          <w:tcPr>
            <w:tcW w:type="dxa" w:w="936"/>
          </w:tcPr>
          <w:p>
            <w:pPr>
              <w:keepNext/>
              <w:spacing w:after="0" w:line="240" w:lineRule="auto"/>
              <w:jc w:val="right"/>
            </w:pPr>
            <w:r/>
            <w:r>
              <w:rPr>
                <w:b w:val="0"/>
                <w:i w:val="0"/>
                <w:sz w:val="18"/>
              </w:rPr>
              <w:t>19.75</w:t>
            </w:r>
          </w:p>
        </w:tc>
        <w:tc>
          <w:tcPr>
            <w:tcW w:type="dxa" w:w="1008"/>
          </w:tcPr>
          <w:p>
            <w:pPr>
              <w:keepNext/>
              <w:spacing w:after="0" w:line="240" w:lineRule="auto"/>
              <w:jc w:val="right"/>
            </w:pPr>
            <w:r/>
            <w:r>
              <w:rPr>
                <w:b w:val="0"/>
                <w:i w:val="0"/>
                <w:sz w:val="18"/>
              </w:rPr>
              <w:t>&lt;0.001</w:t>
            </w:r>
          </w:p>
        </w:tc>
        <w:tc>
          <w:tcPr>
            <w:tcW w:type="dxa" w:w="2016"/>
          </w:tcPr>
          <w:p>
            <w:pPr>
              <w:keepNext/>
              <w:spacing w:after="0" w:line="240" w:lineRule="auto"/>
              <w:jc w:val="right"/>
            </w:pPr>
            <w:r/>
            <w:r>
              <w:rPr>
                <w:b w:val="0"/>
                <w:i w:val="0"/>
                <w:sz w:val="18"/>
              </w:rPr>
              <w:t>[53.55, 65.37]</w:t>
            </w:r>
          </w:p>
        </w:tc>
      </w:tr>
      <w:tr>
        <w:trPr>
          <w:cantSplit/>
        </w:trPr>
        <w:tc>
          <w:tcPr>
            <w:tcW w:type="dxa" w:w="2880"/>
          </w:tcPr>
          <w:p>
            <w:pPr>
              <w:keepNext/>
              <w:spacing w:after="0" w:line="240" w:lineRule="auto"/>
            </w:pPr>
            <w:r/>
            <w:r>
              <w:rPr>
                <w:b w:val="0"/>
                <w:i w:val="0"/>
                <w:sz w:val="18"/>
              </w:rPr>
              <w:t>Endcap (when Sales Rep = 0)</w:t>
            </w:r>
          </w:p>
        </w:tc>
        <w:tc>
          <w:tcPr>
            <w:tcW w:type="dxa" w:w="1224"/>
          </w:tcPr>
          <w:p>
            <w:pPr>
              <w:keepNext/>
              <w:spacing w:after="0" w:line="240" w:lineRule="auto"/>
              <w:jc w:val="right"/>
            </w:pPr>
            <w:r/>
            <w:r>
              <w:rPr>
                <w:b w:val="0"/>
                <w:i w:val="0"/>
                <w:sz w:val="18"/>
              </w:rPr>
              <w:t>0.620</w:t>
            </w:r>
          </w:p>
        </w:tc>
        <w:tc>
          <w:tcPr>
            <w:tcW w:type="dxa" w:w="1152"/>
          </w:tcPr>
          <w:p>
            <w:pPr>
              <w:keepNext/>
              <w:spacing w:after="0" w:line="240" w:lineRule="auto"/>
              <w:jc w:val="right"/>
            </w:pPr>
            <w:r/>
            <w:r>
              <w:rPr>
                <w:b w:val="0"/>
                <w:i w:val="0"/>
                <w:sz w:val="18"/>
              </w:rPr>
              <w:t>12.077</w:t>
            </w:r>
          </w:p>
        </w:tc>
        <w:tc>
          <w:tcPr>
            <w:tcW w:type="dxa" w:w="936"/>
          </w:tcPr>
          <w:p>
            <w:pPr>
              <w:keepNext/>
              <w:spacing w:after="0" w:line="240" w:lineRule="auto"/>
              <w:jc w:val="right"/>
            </w:pPr>
            <w:r/>
            <w:r>
              <w:rPr>
                <w:b w:val="0"/>
                <w:i w:val="0"/>
                <w:sz w:val="18"/>
              </w:rPr>
              <w:t>0.05</w:t>
            </w:r>
          </w:p>
        </w:tc>
        <w:tc>
          <w:tcPr>
            <w:tcW w:type="dxa" w:w="1008"/>
          </w:tcPr>
          <w:p>
            <w:pPr>
              <w:keepNext/>
              <w:spacing w:after="0" w:line="240" w:lineRule="auto"/>
              <w:jc w:val="right"/>
            </w:pPr>
            <w:r/>
            <w:r>
              <w:rPr>
                <w:b w:val="0"/>
                <w:i w:val="0"/>
                <w:sz w:val="18"/>
              </w:rPr>
              <w:t>0.959</w:t>
            </w:r>
          </w:p>
        </w:tc>
        <w:tc>
          <w:tcPr>
            <w:tcW w:type="dxa" w:w="2016"/>
          </w:tcPr>
          <w:p>
            <w:pPr>
              <w:keepNext/>
              <w:spacing w:after="0" w:line="240" w:lineRule="auto"/>
              <w:jc w:val="right"/>
            </w:pPr>
            <w:r/>
            <w:r>
              <w:rPr>
                <w:b w:val="0"/>
                <w:i w:val="0"/>
                <w:sz w:val="18"/>
              </w:rPr>
              <w:t>[-23.07, 24.31]</w:t>
            </w:r>
          </w:p>
        </w:tc>
      </w:tr>
      <w:tr>
        <w:trPr>
          <w:cantSplit/>
        </w:trPr>
        <w:tc>
          <w:tcPr>
            <w:tcW w:type="dxa" w:w="2880"/>
          </w:tcPr>
          <w:p>
            <w:pPr>
              <w:keepNext/>
              <w:spacing w:after="0" w:line="240" w:lineRule="auto"/>
            </w:pPr>
            <w:r/>
            <w:r>
              <w:rPr>
                <w:b w:val="0"/>
                <w:i w:val="0"/>
                <w:sz w:val="18"/>
              </w:rPr>
              <w:t>Demo (this week)</w:t>
            </w:r>
          </w:p>
        </w:tc>
        <w:tc>
          <w:tcPr>
            <w:tcW w:type="dxa" w:w="1224"/>
          </w:tcPr>
          <w:p>
            <w:pPr>
              <w:keepNext/>
              <w:spacing w:after="0" w:line="240" w:lineRule="auto"/>
              <w:jc w:val="right"/>
            </w:pPr>
            <w:r/>
            <w:r>
              <w:rPr>
                <w:b w:val="0"/>
                <w:i w:val="0"/>
                <w:sz w:val="18"/>
              </w:rPr>
              <w:t>106.753</w:t>
            </w:r>
          </w:p>
        </w:tc>
        <w:tc>
          <w:tcPr>
            <w:tcW w:type="dxa" w:w="1152"/>
          </w:tcPr>
          <w:p>
            <w:pPr>
              <w:keepNext/>
              <w:spacing w:after="0" w:line="240" w:lineRule="auto"/>
              <w:jc w:val="right"/>
            </w:pPr>
            <w:r/>
            <w:r>
              <w:rPr>
                <w:b w:val="0"/>
                <w:i w:val="0"/>
                <w:sz w:val="18"/>
              </w:rPr>
              <w:t>5.700</w:t>
            </w:r>
          </w:p>
        </w:tc>
        <w:tc>
          <w:tcPr>
            <w:tcW w:type="dxa" w:w="936"/>
          </w:tcPr>
          <w:p>
            <w:pPr>
              <w:keepNext/>
              <w:spacing w:after="0" w:line="240" w:lineRule="auto"/>
              <w:jc w:val="right"/>
            </w:pPr>
            <w:r/>
            <w:r>
              <w:rPr>
                <w:b w:val="0"/>
                <w:i w:val="0"/>
                <w:sz w:val="18"/>
              </w:rPr>
              <w:t>18.73</w:t>
            </w:r>
          </w:p>
        </w:tc>
        <w:tc>
          <w:tcPr>
            <w:tcW w:type="dxa" w:w="1008"/>
          </w:tcPr>
          <w:p>
            <w:pPr>
              <w:keepNext/>
              <w:spacing w:after="0" w:line="240" w:lineRule="auto"/>
              <w:jc w:val="right"/>
            </w:pPr>
            <w:r/>
            <w:r>
              <w:rPr>
                <w:b w:val="0"/>
                <w:i w:val="0"/>
                <w:sz w:val="18"/>
              </w:rPr>
              <w:t>&lt;0.001</w:t>
            </w:r>
          </w:p>
        </w:tc>
        <w:tc>
          <w:tcPr>
            <w:tcW w:type="dxa" w:w="2016"/>
          </w:tcPr>
          <w:p>
            <w:pPr>
              <w:keepNext/>
              <w:spacing w:after="0" w:line="240" w:lineRule="auto"/>
              <w:jc w:val="right"/>
            </w:pPr>
            <w:r/>
            <w:r>
              <w:rPr>
                <w:b w:val="0"/>
                <w:i w:val="0"/>
                <w:sz w:val="18"/>
              </w:rPr>
              <w:t>[95.57, 117.93]</w:t>
            </w:r>
          </w:p>
        </w:tc>
      </w:tr>
      <w:tr>
        <w:trPr>
          <w:cantSplit/>
        </w:trPr>
        <w:tc>
          <w:tcPr>
            <w:tcW w:type="dxa" w:w="2880"/>
          </w:tcPr>
          <w:p>
            <w:pPr>
              <w:keepNext/>
              <w:spacing w:after="0" w:line="240" w:lineRule="auto"/>
            </w:pPr>
            <w:r/>
            <w:r>
              <w:rPr>
                <w:b w:val="0"/>
                <w:i w:val="0"/>
                <w:sz w:val="18"/>
              </w:rPr>
              <w:t>Demo1-3</w:t>
            </w:r>
          </w:p>
        </w:tc>
        <w:tc>
          <w:tcPr>
            <w:tcW w:type="dxa" w:w="1224"/>
          </w:tcPr>
          <w:p>
            <w:pPr>
              <w:keepNext/>
              <w:spacing w:after="0" w:line="240" w:lineRule="auto"/>
              <w:jc w:val="right"/>
            </w:pPr>
            <w:r/>
            <w:r>
              <w:rPr>
                <w:b w:val="0"/>
                <w:i w:val="0"/>
                <w:sz w:val="18"/>
              </w:rPr>
              <w:t>73.370</w:t>
            </w:r>
          </w:p>
        </w:tc>
        <w:tc>
          <w:tcPr>
            <w:tcW w:type="dxa" w:w="1152"/>
          </w:tcPr>
          <w:p>
            <w:pPr>
              <w:keepNext/>
              <w:spacing w:after="0" w:line="240" w:lineRule="auto"/>
              <w:jc w:val="right"/>
            </w:pPr>
            <w:r/>
            <w:r>
              <w:rPr>
                <w:b w:val="0"/>
                <w:i w:val="0"/>
                <w:sz w:val="18"/>
              </w:rPr>
              <w:t>3.766</w:t>
            </w:r>
          </w:p>
        </w:tc>
        <w:tc>
          <w:tcPr>
            <w:tcW w:type="dxa" w:w="936"/>
          </w:tcPr>
          <w:p>
            <w:pPr>
              <w:keepNext/>
              <w:spacing w:after="0" w:line="240" w:lineRule="auto"/>
              <w:jc w:val="right"/>
            </w:pPr>
            <w:r/>
            <w:r>
              <w:rPr>
                <w:b w:val="0"/>
                <w:i w:val="0"/>
                <w:sz w:val="18"/>
              </w:rPr>
              <w:t>19.48</w:t>
            </w:r>
          </w:p>
        </w:tc>
        <w:tc>
          <w:tcPr>
            <w:tcW w:type="dxa" w:w="1008"/>
          </w:tcPr>
          <w:p>
            <w:pPr>
              <w:keepNext/>
              <w:spacing w:after="0" w:line="240" w:lineRule="auto"/>
              <w:jc w:val="right"/>
            </w:pPr>
            <w:r/>
            <w:r>
              <w:rPr>
                <w:b w:val="0"/>
                <w:i w:val="0"/>
                <w:sz w:val="18"/>
              </w:rPr>
              <w:t>&lt;0.001</w:t>
            </w:r>
          </w:p>
        </w:tc>
        <w:tc>
          <w:tcPr>
            <w:tcW w:type="dxa" w:w="2016"/>
          </w:tcPr>
          <w:p>
            <w:pPr>
              <w:keepNext/>
              <w:spacing w:after="0" w:line="240" w:lineRule="auto"/>
              <w:jc w:val="right"/>
            </w:pPr>
            <w:r/>
            <w:r>
              <w:rPr>
                <w:b w:val="0"/>
                <w:i w:val="0"/>
                <w:sz w:val="18"/>
              </w:rPr>
              <w:t>[65.98, 80.76]</w:t>
            </w:r>
          </w:p>
        </w:tc>
      </w:tr>
      <w:tr>
        <w:trPr>
          <w:cantSplit/>
        </w:trPr>
        <w:tc>
          <w:tcPr>
            <w:tcW w:type="dxa" w:w="2880"/>
          </w:tcPr>
          <w:p>
            <w:pPr>
              <w:keepNext/>
              <w:spacing w:after="0" w:line="240" w:lineRule="auto"/>
            </w:pPr>
            <w:r/>
            <w:r>
              <w:rPr>
                <w:b w:val="0"/>
                <w:i w:val="0"/>
                <w:sz w:val="18"/>
              </w:rPr>
              <w:t>Demo4-5</w:t>
            </w:r>
          </w:p>
        </w:tc>
        <w:tc>
          <w:tcPr>
            <w:tcW w:type="dxa" w:w="1224"/>
          </w:tcPr>
          <w:p>
            <w:pPr>
              <w:keepNext/>
              <w:spacing w:after="0" w:line="240" w:lineRule="auto"/>
              <w:jc w:val="right"/>
            </w:pPr>
            <w:r/>
            <w:r>
              <w:rPr>
                <w:b w:val="0"/>
                <w:i w:val="0"/>
                <w:sz w:val="18"/>
              </w:rPr>
              <w:t>74.552</w:t>
            </w:r>
          </w:p>
        </w:tc>
        <w:tc>
          <w:tcPr>
            <w:tcW w:type="dxa" w:w="1152"/>
          </w:tcPr>
          <w:p>
            <w:pPr>
              <w:keepNext/>
              <w:spacing w:after="0" w:line="240" w:lineRule="auto"/>
              <w:jc w:val="right"/>
            </w:pPr>
            <w:r/>
            <w:r>
              <w:rPr>
                <w:b w:val="0"/>
                <w:i w:val="0"/>
                <w:sz w:val="18"/>
              </w:rPr>
              <w:t>5.040</w:t>
            </w:r>
          </w:p>
        </w:tc>
        <w:tc>
          <w:tcPr>
            <w:tcW w:type="dxa" w:w="936"/>
          </w:tcPr>
          <w:p>
            <w:pPr>
              <w:keepNext/>
              <w:spacing w:after="0" w:line="240" w:lineRule="auto"/>
              <w:jc w:val="right"/>
            </w:pPr>
            <w:r/>
            <w:r>
              <w:rPr>
                <w:b w:val="0"/>
                <w:i w:val="0"/>
                <w:sz w:val="18"/>
              </w:rPr>
              <w:t>14.79</w:t>
            </w:r>
          </w:p>
        </w:tc>
        <w:tc>
          <w:tcPr>
            <w:tcW w:type="dxa" w:w="1008"/>
          </w:tcPr>
          <w:p>
            <w:pPr>
              <w:keepNext/>
              <w:spacing w:after="0" w:line="240" w:lineRule="auto"/>
              <w:jc w:val="right"/>
            </w:pPr>
            <w:r/>
            <w:r>
              <w:rPr>
                <w:b w:val="0"/>
                <w:i w:val="0"/>
                <w:sz w:val="18"/>
              </w:rPr>
              <w:t>&lt;0.001</w:t>
            </w:r>
          </w:p>
        </w:tc>
        <w:tc>
          <w:tcPr>
            <w:tcW w:type="dxa" w:w="2016"/>
          </w:tcPr>
          <w:p>
            <w:pPr>
              <w:keepNext/>
              <w:spacing w:after="0" w:line="240" w:lineRule="auto"/>
              <w:jc w:val="right"/>
            </w:pPr>
            <w:r/>
            <w:r>
              <w:rPr>
                <w:b w:val="0"/>
                <w:i w:val="0"/>
                <w:sz w:val="18"/>
              </w:rPr>
              <w:t>[64.67, 84.44]</w:t>
            </w:r>
          </w:p>
        </w:tc>
      </w:tr>
      <w:tr>
        <w:trPr>
          <w:cantSplit/>
        </w:trPr>
        <w:tc>
          <w:tcPr>
            <w:tcW w:type="dxa" w:w="2880"/>
          </w:tcPr>
          <w:p>
            <w:pPr>
              <w:spacing w:after="0" w:line="240" w:lineRule="auto"/>
            </w:pPr>
            <w:r/>
            <w:r>
              <w:rPr>
                <w:b w:val="0"/>
                <w:i w:val="0"/>
                <w:sz w:val="18"/>
              </w:rPr>
              <w:t>Endcap × Sales Rep</w:t>
            </w:r>
          </w:p>
        </w:tc>
        <w:tc>
          <w:tcPr>
            <w:tcW w:type="dxa" w:w="1224"/>
          </w:tcPr>
          <w:p>
            <w:pPr>
              <w:spacing w:after="0" w:line="240" w:lineRule="auto"/>
              <w:jc w:val="right"/>
            </w:pPr>
            <w:r/>
            <w:r>
              <w:rPr>
                <w:b w:val="0"/>
                <w:i w:val="0"/>
                <w:sz w:val="18"/>
              </w:rPr>
              <w:t>453.803</w:t>
            </w:r>
          </w:p>
        </w:tc>
        <w:tc>
          <w:tcPr>
            <w:tcW w:type="dxa" w:w="1152"/>
          </w:tcPr>
          <w:p>
            <w:pPr>
              <w:spacing w:after="0" w:line="240" w:lineRule="auto"/>
              <w:jc w:val="right"/>
            </w:pPr>
            <w:r/>
            <w:r>
              <w:rPr>
                <w:b w:val="0"/>
                <w:i w:val="0"/>
                <w:sz w:val="18"/>
              </w:rPr>
              <w:t>14.737</w:t>
            </w:r>
          </w:p>
        </w:tc>
        <w:tc>
          <w:tcPr>
            <w:tcW w:type="dxa" w:w="936"/>
          </w:tcPr>
          <w:p>
            <w:pPr>
              <w:spacing w:after="0" w:line="240" w:lineRule="auto"/>
              <w:jc w:val="right"/>
            </w:pPr>
            <w:r/>
            <w:r>
              <w:rPr>
                <w:b w:val="0"/>
                <w:i w:val="0"/>
                <w:sz w:val="18"/>
              </w:rPr>
              <w:t>30.79</w:t>
            </w:r>
          </w:p>
        </w:tc>
        <w:tc>
          <w:tcPr>
            <w:tcW w:type="dxa" w:w="1008"/>
          </w:tcPr>
          <w:p>
            <w:pPr>
              <w:spacing w:after="0" w:line="240" w:lineRule="auto"/>
              <w:jc w:val="right"/>
            </w:pPr>
            <w:r/>
            <w:r>
              <w:rPr>
                <w:b w:val="0"/>
                <w:i w:val="0"/>
                <w:sz w:val="18"/>
              </w:rPr>
              <w:t>&lt;0.001</w:t>
            </w:r>
          </w:p>
        </w:tc>
        <w:tc>
          <w:tcPr>
            <w:tcW w:type="dxa" w:w="2016"/>
          </w:tcPr>
          <w:p>
            <w:pPr>
              <w:spacing w:after="0" w:line="240" w:lineRule="auto"/>
              <w:jc w:val="right"/>
            </w:pPr>
            <w:r/>
            <w:r>
              <w:rPr>
                <w:b w:val="0"/>
                <w:i w:val="0"/>
                <w:sz w:val="18"/>
              </w:rPr>
              <w:t>[424.89, 482.71]</w:t>
            </w:r>
          </w:p>
        </w:tc>
      </w:tr>
    </w:tbl>
    <w:p>
      <w:pPr>
        <w:spacing w:after="40"/>
      </w:pPr>
    </w:p>
    <w:p>
      <w:r>
        <w:rPr>
          <w:b/>
          <w:i w:val="0"/>
        </w:rPr>
        <w:t>Fit.</w:t>
      </w:r>
      <w:r>
        <w:rPr>
          <w:b w:val="0"/>
          <w:i w:val="0"/>
        </w:rPr>
        <w:t xml:space="preserve"> R² = 0.8059; adjusted R² = 0.8049; standard error of the regression = 49.03 units; F(7, 1378) = 817.12, model p-value &lt; 0.001. The model explains about 81% of the variation in weekly store sales and typical predictions are within about ±98 units (≈ ±2 SE) of actual.</w:t>
      </w:r>
    </w:p>
    <w:p>
      <w:r>
        <w:rPr>
          <w:b/>
          <w:i w:val="0"/>
        </w:rPr>
        <w:t>Interpretation (holding other variables constant; conditional associations, not proven causal effects).</w:t>
      </w:r>
    </w:p>
    <w:p>
      <w:pPr>
        <w:pStyle w:val="ListBullet"/>
        <w:spacing w:after="40"/>
      </w:pPr>
      <w:r>
        <w:rPr>
          <w:b/>
          <w:i w:val="0"/>
        </w:rPr>
        <w:t>Sales Rep:</w:t>
      </w:r>
      <w:r>
        <w:rPr>
          <w:b w:val="0"/>
          <w:i w:val="0"/>
        </w:rPr>
        <w:t xml:space="preserve"> a store with a regional rep sells about 59 more units a week when there is no endcap (CI 54–65).</w:t>
      </w:r>
    </w:p>
    <w:p>
      <w:pPr>
        <w:pStyle w:val="ListBullet"/>
        <w:spacing w:after="40"/>
      </w:pPr>
      <w:r>
        <w:rPr>
          <w:b/>
          <w:i w:val="0"/>
        </w:rPr>
        <w:t>Price:</w:t>
      </w:r>
      <w:r>
        <w:rPr>
          <w:b w:val="0"/>
          <w:i w:val="0"/>
        </w:rPr>
        <w:t xml:space="preserve"> each $1 higher average price is associated with 22 fewer units (CI 16–28); a one-standard-deviation ($0.46) price rise corresponds to about 10 fewer units.</w:t>
      </w:r>
    </w:p>
    <w:p>
      <w:pPr>
        <w:pStyle w:val="ListBullet"/>
        <w:spacing w:after="40"/>
      </w:pPr>
      <w:r>
        <w:rPr>
          <w:b/>
          <w:i w:val="0"/>
        </w:rPr>
        <w:t>Demo variables:</w:t>
      </w:r>
      <w:r>
        <w:rPr>
          <w:b w:val="0"/>
          <w:i w:val="0"/>
        </w:rPr>
        <w:t xml:space="preserve"> +107, +73 and +75 units (Section 6).</w:t>
      </w:r>
    </w:p>
    <w:p>
      <w:pPr>
        <w:pStyle w:val="ListBullet"/>
        <w:spacing w:after="40"/>
      </w:pPr>
      <w:r>
        <w:rPr>
          <w:b/>
          <w:i w:val="0"/>
        </w:rPr>
        <w:t>Endcap:</w:t>
      </w:r>
      <w:r>
        <w:rPr>
          <w:b w:val="0"/>
          <w:i w:val="0"/>
        </w:rPr>
        <w:t xml:space="preserve"> because the model contains the interaction, the Endcap coefficient (0.62) is not the overall endcap effect. It is the effect where Sales Rep = 0; the effect where Sales Rep = 1 is 0.62 + 453.80 = 454.4 units (Section 7).</w:t>
      </w:r>
    </w:p>
    <w:p>
      <w:pPr>
        <w:pStyle w:val="ListBullet"/>
        <w:spacing w:after="40"/>
      </w:pPr>
      <w:r>
        <w:rPr>
          <w:b/>
          <w:i w:val="0"/>
        </w:rPr>
        <w:t>Intercept</w:t>
      </w:r>
      <w:r>
        <w:rPr>
          <w:b w:val="0"/>
          <w:i w:val="0"/>
        </w:rPr>
        <w:t xml:space="preserve"> (277) is the fitted sales of a no-promotion, no-rep store at Price = 0, which lies outside the data range (price $2.89–$6.25), so it has no direct business meaning.</w:t>
      </w:r>
    </w:p>
    <w:p>
      <w:pPr>
        <w:pStyle w:val="Heading1"/>
      </w:pPr>
      <w:r>
        <w:t>5. Model Diagnostics and Assumptions (Question 2)</w:t>
      </w:r>
    </w:p>
    <w:p>
      <w:r>
        <w:rPr>
          <w:b w:val="0"/>
          <w:i w:val="0"/>
        </w:rPr>
        <w:t>We checked each linear-regression assumption on the final model and, for contrast, on Model 1. The headline answer to Question 2 is yes, the final model satisfies the assumptions to a good approximation, but only after the interaction was added: the original model violated independence/constant variance because it was misspecified, not because of data errors. Checks that the data cannot settle (independence across stores, omitted variables) are discussed in Sections 8 and 10.</w:t>
      </w:r>
    </w:p>
    <w:p>
      <w:pPr>
        <w:pStyle w:val="Heading2"/>
      </w:pPr>
      <w:r>
        <w:t>Linearity and homoscedasticity</w:t>
      </w:r>
    </w:p>
    <w:p>
      <w:pPr>
        <w:keepNext/>
        <w:spacing w:after="40"/>
        <w:jc w:val="center"/>
      </w:pPr>
      <w:r>
        <w:drawing>
          <wp:inline xmlns:a="http://schemas.openxmlformats.org/drawingml/2006/main" xmlns:pic="http://schemas.openxmlformats.org/drawingml/2006/picture">
            <wp:extent cx="3931920" cy="2409886"/>
            <wp:docPr id="2" name="Picture 2"/>
            <wp:cNvGraphicFramePr>
              <a:graphicFrameLocks noChangeAspect="1"/>
            </wp:cNvGraphicFramePr>
            <a:graphic>
              <a:graphicData uri="http://schemas.openxmlformats.org/drawingml/2006/picture">
                <pic:pic>
                  <pic:nvPicPr>
                    <pic:cNvPr id="0" name="F2_resid_fitted.png"/>
                    <pic:cNvPicPr/>
                  </pic:nvPicPr>
                  <pic:blipFill>
                    <a:blip r:embed="rId10"/>
                    <a:stretch>
                      <a:fillRect/>
                    </a:stretch>
                  </pic:blipFill>
                  <pic:spPr>
                    <a:xfrm>
                      <a:off x="0" y="0"/>
                      <a:ext cx="3931920" cy="2409886"/>
                    </a:xfrm>
                    <a:prstGeom prst="rect"/>
                  </pic:spPr>
                </pic:pic>
              </a:graphicData>
            </a:graphic>
          </wp:inline>
        </w:drawing>
      </w:r>
    </w:p>
    <w:p>
      <w:pPr>
        <w:spacing w:after="120"/>
        <w:jc w:val="center"/>
      </w:pPr>
      <w:r>
        <w:rPr>
          <w:b w:val="0"/>
          <w:i/>
          <w:sz w:val="18"/>
        </w:rPr>
        <w:t>Figure 2. Standardized residuals vs fitted values, final model (dashed lines at ±3).</w:t>
      </w:r>
    </w:p>
    <w:p>
      <w:r>
        <w:rPr>
          <w:b/>
          <w:i w:val="0"/>
        </w:rPr>
        <w:t>What is tested:</w:t>
      </w:r>
      <w:r>
        <w:rPr>
          <w:b w:val="0"/>
          <w:i w:val="0"/>
        </w:rPr>
        <w:t xml:space="preserve"> whether the mean residual is zero at every fitted level (linearity/correct specification) and whether residual spread is constant (homoscedasticity). </w:t>
      </w:r>
      <w:r>
        <w:rPr>
          <w:b/>
          <w:i w:val="0"/>
        </w:rPr>
        <w:t>What the graph shows:</w:t>
      </w:r>
      <w:r>
        <w:rPr>
          <w:b w:val="0"/>
          <w:i w:val="0"/>
        </w:rPr>
        <w:t xml:space="preserve"> residuals form a horizontal band around zero from fitted values of ~180 to ~950 units with similar vertical spread across the range (the vertical stripes reflect the discrete dummy-variable combinations); there is no curve, funnel or trend. The few points beyond ±3 are discussed below. </w:t>
      </w:r>
      <w:r>
        <w:rPr>
          <w:b/>
          <w:i w:val="0"/>
        </w:rPr>
        <w:t>Meaning:</w:t>
      </w:r>
      <w:r>
        <w:rPr>
          <w:b w:val="0"/>
          <w:i w:val="0"/>
        </w:rPr>
        <w:t xml:space="preserve"> no sign of non-linearity or changing variance. Supporting tests: mean residual is exactly zero within every Rep, Endcap and Demo group; adding Price² is not significant (p = 0.77); Breusch-Pagan LM = 13.2, p = 0.068, not significant at 5% (Model 1: LM = 711, p &lt; 0.001, a strong funnel). No transformation is needed; a log model fits worse (R² 0.61) and is unnecessary.</w:t>
      </w:r>
    </w:p>
    <w:p>
      <w:pPr>
        <w:pStyle w:val="Heading2"/>
      </w:pPr>
      <w:r>
        <w:t>Normality of errors</w:t>
      </w:r>
    </w:p>
    <w:p>
      <w:pPr>
        <w:keepNext/>
        <w:spacing w:after="40"/>
        <w:jc w:val="center"/>
      </w:pPr>
      <w:r>
        <w:drawing>
          <wp:inline xmlns:a="http://schemas.openxmlformats.org/drawingml/2006/main" xmlns:pic="http://schemas.openxmlformats.org/drawingml/2006/picture">
            <wp:extent cx="4754880" cy="2449484"/>
            <wp:docPr id="3" name="Picture 3"/>
            <wp:cNvGraphicFramePr>
              <a:graphicFrameLocks noChangeAspect="1"/>
            </wp:cNvGraphicFramePr>
            <a:graphic>
              <a:graphicData uri="http://schemas.openxmlformats.org/drawingml/2006/picture">
                <pic:pic>
                  <pic:nvPicPr>
                    <pic:cNvPr id="0" name="F3_pp_hist.png"/>
                    <pic:cNvPicPr/>
                  </pic:nvPicPr>
                  <pic:blipFill>
                    <a:blip r:embed="rId11"/>
                    <a:stretch>
                      <a:fillRect/>
                    </a:stretch>
                  </pic:blipFill>
                  <pic:spPr>
                    <a:xfrm>
                      <a:off x="0" y="0"/>
                      <a:ext cx="4754880" cy="2449484"/>
                    </a:xfrm>
                    <a:prstGeom prst="rect"/>
                  </pic:spPr>
                </pic:pic>
              </a:graphicData>
            </a:graphic>
          </wp:inline>
        </w:drawing>
      </w:r>
    </w:p>
    <w:p>
      <w:pPr>
        <w:spacing w:after="120"/>
        <w:jc w:val="center"/>
      </w:pPr>
      <w:r>
        <w:rPr>
          <w:b w:val="0"/>
          <w:i/>
          <w:sz w:val="18"/>
        </w:rPr>
        <w:t>Figure 3. Normal P-P plot (left) and histogram (right) of standardized residuals, final model.</w:t>
      </w:r>
    </w:p>
    <w:p>
      <w:r>
        <w:rPr>
          <w:b/>
          <w:i w:val="0"/>
        </w:rPr>
        <w:t>What is tested:</w:t>
      </w:r>
      <w:r>
        <w:rPr>
          <w:b w:val="0"/>
          <w:i w:val="0"/>
        </w:rPr>
        <w:t xml:space="preserve"> whether errors are normal, which underpins the t-, F- and confidence-interval results. </w:t>
      </w:r>
      <w:r>
        <w:rPr>
          <w:b/>
          <w:i w:val="0"/>
        </w:rPr>
        <w:t>What the graph shows:</w:t>
      </w:r>
      <w:r>
        <w:rPr>
          <w:b w:val="0"/>
          <w:i w:val="0"/>
        </w:rPr>
        <w:t xml:space="preserve"> the P-P points lie on the 45° line and the histogram matches the normal curve; skewness is -0.01 and excess kurtosis 0.05 (Model 1: -0.93 and 5.5). </w:t>
      </w:r>
      <w:r>
        <w:rPr>
          <w:b/>
          <w:i w:val="0"/>
        </w:rPr>
        <w:t>Meaning:</w:t>
      </w:r>
      <w:r>
        <w:rPr>
          <w:b w:val="0"/>
          <w:i w:val="0"/>
        </w:rPr>
        <w:t xml:space="preserve"> normality is well satisfied, so the coefficient inference is reliable. (With n = 1,386 formal tests detect trivial departures; here even Shapiro-Wilk does not reject, p = 0.79.)</w:t>
      </w:r>
    </w:p>
    <w:p>
      <w:pPr>
        <w:pStyle w:val="Heading2"/>
      </w:pPr>
      <w:r>
        <w:t>Independence and autocorrelation</w:t>
      </w:r>
    </w:p>
    <w:p>
      <w:r>
        <w:rPr>
          <w:b w:val="0"/>
          <w:i w:val="0"/>
        </w:rPr>
        <w:t>Observations are 126 stores observed repeatedly, so independence is not guaranteed. The data are sorted by store then week, which lets us apply the Durbin-Watson test to the within-store sequence. Model 1 gives d = 1.379 (first-order residual correlation 0.33), clear positive autocorrelation. The reason is specification: the large, persistent Endcap-with-rep effect stays in a store's residuals week after week when the interaction is missing. In the final model d = 2.092 (lag-1 correlation -0.06), consistent with no autocorrelation (the d-value lies in the “no autocorrelation” zone between dU and 4−dU; the tables in the course end at n = 200, and the bounds only tighten around 2 for larger n). Caveat: the test treats the rows as one sequence, so it is slightly contaminated at the 125 store boundaries, and it cannot detect store-level clustering. As a sensitivity check beyond the course, standard errors clustered by store leave all conclusions unchanged (Appendix C).</w:t>
      </w:r>
    </w:p>
    <w:p>
      <w:pPr>
        <w:pStyle w:val="Heading2"/>
      </w:pPr>
      <w:r>
        <w:t>Multicollinearity</w:t>
      </w:r>
    </w:p>
    <w:p>
      <w:pPr>
        <w:keepNext/>
        <w:spacing w:after="40"/>
      </w:pPr>
      <w:r>
        <w:rPr>
          <w:b/>
          <w:i w:val="0"/>
          <w:sz w:val="19"/>
        </w:rPr>
        <w:t>Table 4. Variance inflation factors and tolerances, final model</w:t>
      </w:r>
    </w:p>
    <w:tbl>
      <w:tblPr>
        <w:tblStyle w:val="TableGrid"/>
        <w:tblW w:type="auto" w:w="0"/>
        <w:jc w:val="center"/>
        <w:tblLayout w:type="fixed"/>
        <w:tblLook w:firstColumn="1" w:firstRow="1" w:lastColumn="0" w:lastRow="0" w:noHBand="0" w:noVBand="1" w:val="04A0"/>
      </w:tblPr>
      <w:tblGrid>
        <w:gridCol w:w="1296"/>
        <w:gridCol w:w="1008"/>
        <w:gridCol w:w="1152"/>
        <w:gridCol w:w="1008"/>
        <w:gridCol w:w="936"/>
        <w:gridCol w:w="1080"/>
        <w:gridCol w:w="1080"/>
        <w:gridCol w:w="1296"/>
      </w:tblGrid>
      <w:tr>
        <w:trPr>
          <w:cantSplit/>
        </w:trPr>
        <w:tc>
          <w:tcPr>
            <w:tcW w:type="dxa" w:w="1296"/>
            <w:shd w:val="clear" w:color="auto" w:fill="1F4E79"/>
          </w:tcPr>
          <w:p>
            <w:pPr>
              <w:keepNext/>
              <w:spacing w:after="0" w:line="240" w:lineRule="auto"/>
              <w:jc w:val="center"/>
            </w:pPr>
            <w:r>
              <w:rPr>
                <w:color w:val="FFFFFF"/>
              </w:rPr>
            </w:r>
            <w:r>
              <w:rPr>
                <w:b/>
                <w:i w:val="0"/>
                <w:color w:val="FFFFFF"/>
                <w:sz w:val="17"/>
              </w:rPr>
              <w:t>Variable</w:t>
            </w:r>
          </w:p>
        </w:tc>
        <w:tc>
          <w:tcPr>
            <w:tcW w:type="dxa" w:w="1008"/>
            <w:shd w:val="clear" w:color="auto" w:fill="1F4E79"/>
          </w:tcPr>
          <w:p>
            <w:pPr>
              <w:keepNext/>
              <w:spacing w:after="0" w:line="240" w:lineRule="auto"/>
              <w:jc w:val="center"/>
            </w:pPr>
            <w:r>
              <w:rPr>
                <w:color w:val="FFFFFF"/>
              </w:rPr>
            </w:r>
            <w:r>
              <w:rPr>
                <w:b/>
                <w:i w:val="0"/>
                <w:color w:val="FFFFFF"/>
                <w:sz w:val="17"/>
              </w:rPr>
              <w:t>Price</w:t>
            </w:r>
          </w:p>
        </w:tc>
        <w:tc>
          <w:tcPr>
            <w:tcW w:type="dxa" w:w="1152"/>
            <w:shd w:val="clear" w:color="auto" w:fill="1F4E79"/>
          </w:tcPr>
          <w:p>
            <w:pPr>
              <w:keepNext/>
              <w:spacing w:after="0" w:line="240" w:lineRule="auto"/>
              <w:jc w:val="center"/>
            </w:pPr>
            <w:r>
              <w:rPr>
                <w:color w:val="FFFFFF"/>
              </w:rPr>
            </w:r>
            <w:r>
              <w:rPr>
                <w:b/>
                <w:i w:val="0"/>
                <w:color w:val="FFFFFF"/>
                <w:sz w:val="17"/>
              </w:rPr>
              <w:t>Sales Rep</w:t>
            </w:r>
          </w:p>
        </w:tc>
        <w:tc>
          <w:tcPr>
            <w:tcW w:type="dxa" w:w="1008"/>
            <w:shd w:val="clear" w:color="auto" w:fill="1F4E79"/>
          </w:tcPr>
          <w:p>
            <w:pPr>
              <w:keepNext/>
              <w:spacing w:after="0" w:line="240" w:lineRule="auto"/>
              <w:jc w:val="center"/>
            </w:pPr>
            <w:r>
              <w:rPr>
                <w:color w:val="FFFFFF"/>
              </w:rPr>
            </w:r>
            <w:r>
              <w:rPr>
                <w:b/>
                <w:i w:val="0"/>
                <w:color w:val="FFFFFF"/>
                <w:sz w:val="17"/>
              </w:rPr>
              <w:t>Endcap</w:t>
            </w:r>
          </w:p>
        </w:tc>
        <w:tc>
          <w:tcPr>
            <w:tcW w:type="dxa" w:w="936"/>
            <w:shd w:val="clear" w:color="auto" w:fill="1F4E79"/>
          </w:tcPr>
          <w:p>
            <w:pPr>
              <w:keepNext/>
              <w:spacing w:after="0" w:line="240" w:lineRule="auto"/>
              <w:jc w:val="center"/>
            </w:pPr>
            <w:r>
              <w:rPr>
                <w:color w:val="FFFFFF"/>
              </w:rPr>
            </w:r>
            <w:r>
              <w:rPr>
                <w:b/>
                <w:i w:val="0"/>
                <w:color w:val="FFFFFF"/>
                <w:sz w:val="17"/>
              </w:rPr>
              <w:t>Demo</w:t>
            </w:r>
          </w:p>
        </w:tc>
        <w:tc>
          <w:tcPr>
            <w:tcW w:type="dxa" w:w="1080"/>
            <w:shd w:val="clear" w:color="auto" w:fill="1F4E79"/>
          </w:tcPr>
          <w:p>
            <w:pPr>
              <w:keepNext/>
              <w:spacing w:after="0" w:line="240" w:lineRule="auto"/>
              <w:jc w:val="center"/>
            </w:pPr>
            <w:r>
              <w:rPr>
                <w:color w:val="FFFFFF"/>
              </w:rPr>
            </w:r>
            <w:r>
              <w:rPr>
                <w:b/>
                <w:i w:val="0"/>
                <w:color w:val="FFFFFF"/>
                <w:sz w:val="17"/>
              </w:rPr>
              <w:t>Demo1-3</w:t>
            </w:r>
          </w:p>
        </w:tc>
        <w:tc>
          <w:tcPr>
            <w:tcW w:type="dxa" w:w="1080"/>
            <w:shd w:val="clear" w:color="auto" w:fill="1F4E79"/>
          </w:tcPr>
          <w:p>
            <w:pPr>
              <w:keepNext/>
              <w:spacing w:after="0" w:line="240" w:lineRule="auto"/>
              <w:jc w:val="center"/>
            </w:pPr>
            <w:r>
              <w:rPr>
                <w:color w:val="FFFFFF"/>
              </w:rPr>
            </w:r>
            <w:r>
              <w:rPr>
                <w:b/>
                <w:i w:val="0"/>
                <w:color w:val="FFFFFF"/>
                <w:sz w:val="17"/>
              </w:rPr>
              <w:t>Demo4-5</w:t>
            </w:r>
          </w:p>
        </w:tc>
        <w:tc>
          <w:tcPr>
            <w:tcW w:type="dxa" w:w="1296"/>
            <w:shd w:val="clear" w:color="auto" w:fill="1F4E79"/>
          </w:tcPr>
          <w:p>
            <w:pPr>
              <w:keepNext/>
              <w:spacing w:after="0" w:line="240" w:lineRule="auto"/>
              <w:jc w:val="center"/>
            </w:pPr>
            <w:r>
              <w:rPr>
                <w:color w:val="FFFFFF"/>
              </w:rPr>
            </w:r>
            <w:r>
              <w:rPr>
                <w:b/>
                <w:i w:val="0"/>
                <w:color w:val="FFFFFF"/>
                <w:sz w:val="17"/>
              </w:rPr>
              <w:t>Endcap×Rep</w:t>
            </w:r>
          </w:p>
        </w:tc>
      </w:tr>
      <w:tr>
        <w:trPr>
          <w:cantSplit/>
        </w:trPr>
        <w:tc>
          <w:tcPr>
            <w:tcW w:type="dxa" w:w="1296"/>
          </w:tcPr>
          <w:p>
            <w:pPr>
              <w:keepNext/>
              <w:spacing w:after="0" w:line="240" w:lineRule="auto"/>
            </w:pPr>
            <w:r/>
            <w:r>
              <w:rPr>
                <w:b w:val="0"/>
                <w:i w:val="0"/>
                <w:sz w:val="17"/>
              </w:rPr>
              <w:t>VIF</w:t>
            </w:r>
          </w:p>
        </w:tc>
        <w:tc>
          <w:tcPr>
            <w:tcW w:type="dxa" w:w="1008"/>
          </w:tcPr>
          <w:p>
            <w:pPr>
              <w:keepNext/>
              <w:spacing w:after="0" w:line="240" w:lineRule="auto"/>
              <w:jc w:val="right"/>
            </w:pPr>
            <w:r/>
            <w:r>
              <w:rPr>
                <w:b w:val="0"/>
                <w:i w:val="0"/>
                <w:sz w:val="17"/>
              </w:rPr>
              <w:t>1.15</w:t>
            </w:r>
          </w:p>
        </w:tc>
        <w:tc>
          <w:tcPr>
            <w:tcW w:type="dxa" w:w="1152"/>
          </w:tcPr>
          <w:p>
            <w:pPr>
              <w:keepNext/>
              <w:spacing w:after="0" w:line="240" w:lineRule="auto"/>
              <w:jc w:val="right"/>
            </w:pPr>
            <w:r/>
            <w:r>
              <w:rPr>
                <w:b w:val="0"/>
                <w:i w:val="0"/>
                <w:sz w:val="17"/>
              </w:rPr>
              <w:t>1.29</w:t>
            </w:r>
          </w:p>
        </w:tc>
        <w:tc>
          <w:tcPr>
            <w:tcW w:type="dxa" w:w="1008"/>
          </w:tcPr>
          <w:p>
            <w:pPr>
              <w:keepNext/>
              <w:spacing w:after="0" w:line="240" w:lineRule="auto"/>
              <w:jc w:val="right"/>
            </w:pPr>
            <w:r/>
            <w:r>
              <w:rPr>
                <w:b w:val="0"/>
                <w:i w:val="0"/>
                <w:sz w:val="17"/>
              </w:rPr>
              <w:t>3.09</w:t>
            </w:r>
          </w:p>
        </w:tc>
        <w:tc>
          <w:tcPr>
            <w:tcW w:type="dxa" w:w="936"/>
          </w:tcPr>
          <w:p>
            <w:pPr>
              <w:keepNext/>
              <w:spacing w:after="0" w:line="240" w:lineRule="auto"/>
              <w:jc w:val="right"/>
            </w:pPr>
            <w:r/>
            <w:r>
              <w:rPr>
                <w:b w:val="0"/>
                <w:i w:val="0"/>
                <w:sz w:val="17"/>
              </w:rPr>
              <w:t>1.03</w:t>
            </w:r>
          </w:p>
        </w:tc>
        <w:tc>
          <w:tcPr>
            <w:tcW w:type="dxa" w:w="1080"/>
          </w:tcPr>
          <w:p>
            <w:pPr>
              <w:keepNext/>
              <w:spacing w:after="0" w:line="240" w:lineRule="auto"/>
              <w:jc w:val="right"/>
            </w:pPr>
            <w:r/>
            <w:r>
              <w:rPr>
                <w:b w:val="0"/>
                <w:i w:val="0"/>
                <w:sz w:val="17"/>
              </w:rPr>
              <w:t>1.08</w:t>
            </w:r>
          </w:p>
        </w:tc>
        <w:tc>
          <w:tcPr>
            <w:tcW w:type="dxa" w:w="1080"/>
          </w:tcPr>
          <w:p>
            <w:pPr>
              <w:keepNext/>
              <w:spacing w:after="0" w:line="240" w:lineRule="auto"/>
              <w:jc w:val="right"/>
            </w:pPr>
            <w:r/>
            <w:r>
              <w:rPr>
                <w:b w:val="0"/>
                <w:i w:val="0"/>
                <w:sz w:val="17"/>
              </w:rPr>
              <w:t>1.03</w:t>
            </w:r>
          </w:p>
        </w:tc>
        <w:tc>
          <w:tcPr>
            <w:tcW w:type="dxa" w:w="1296"/>
          </w:tcPr>
          <w:p>
            <w:pPr>
              <w:keepNext/>
              <w:spacing w:after="0" w:line="240" w:lineRule="auto"/>
              <w:jc w:val="right"/>
            </w:pPr>
            <w:r/>
            <w:r>
              <w:rPr>
                <w:b w:val="0"/>
                <w:i w:val="0"/>
                <w:sz w:val="17"/>
              </w:rPr>
              <w:t>3.17</w:t>
            </w:r>
          </w:p>
        </w:tc>
      </w:tr>
      <w:tr>
        <w:trPr>
          <w:cantSplit/>
        </w:trPr>
        <w:tc>
          <w:tcPr>
            <w:tcW w:type="dxa" w:w="1296"/>
          </w:tcPr>
          <w:p>
            <w:pPr>
              <w:spacing w:after="0" w:line="240" w:lineRule="auto"/>
            </w:pPr>
            <w:r/>
            <w:r>
              <w:rPr>
                <w:b w:val="0"/>
                <w:i w:val="0"/>
                <w:sz w:val="17"/>
              </w:rPr>
              <w:t>Tolerance</w:t>
            </w:r>
          </w:p>
        </w:tc>
        <w:tc>
          <w:tcPr>
            <w:tcW w:type="dxa" w:w="1008"/>
          </w:tcPr>
          <w:p>
            <w:pPr>
              <w:spacing w:after="0" w:line="240" w:lineRule="auto"/>
              <w:jc w:val="right"/>
            </w:pPr>
            <w:r/>
            <w:r>
              <w:rPr>
                <w:b w:val="0"/>
                <w:i w:val="0"/>
                <w:sz w:val="17"/>
              </w:rPr>
              <w:t>0.87</w:t>
            </w:r>
          </w:p>
        </w:tc>
        <w:tc>
          <w:tcPr>
            <w:tcW w:type="dxa" w:w="1152"/>
          </w:tcPr>
          <w:p>
            <w:pPr>
              <w:spacing w:after="0" w:line="240" w:lineRule="auto"/>
              <w:jc w:val="right"/>
            </w:pPr>
            <w:r/>
            <w:r>
              <w:rPr>
                <w:b w:val="0"/>
                <w:i w:val="0"/>
                <w:sz w:val="17"/>
              </w:rPr>
              <w:t>0.77</w:t>
            </w:r>
          </w:p>
        </w:tc>
        <w:tc>
          <w:tcPr>
            <w:tcW w:type="dxa" w:w="1008"/>
          </w:tcPr>
          <w:p>
            <w:pPr>
              <w:spacing w:after="0" w:line="240" w:lineRule="auto"/>
              <w:jc w:val="right"/>
            </w:pPr>
            <w:r/>
            <w:r>
              <w:rPr>
                <w:b w:val="0"/>
                <w:i w:val="0"/>
                <w:sz w:val="17"/>
              </w:rPr>
              <w:t>0.32</w:t>
            </w:r>
          </w:p>
        </w:tc>
        <w:tc>
          <w:tcPr>
            <w:tcW w:type="dxa" w:w="936"/>
          </w:tcPr>
          <w:p>
            <w:pPr>
              <w:spacing w:after="0" w:line="240" w:lineRule="auto"/>
              <w:jc w:val="right"/>
            </w:pPr>
            <w:r/>
            <w:r>
              <w:rPr>
                <w:b w:val="0"/>
                <w:i w:val="0"/>
                <w:sz w:val="17"/>
              </w:rPr>
              <w:t>0.97</w:t>
            </w:r>
          </w:p>
        </w:tc>
        <w:tc>
          <w:tcPr>
            <w:tcW w:type="dxa" w:w="1080"/>
          </w:tcPr>
          <w:p>
            <w:pPr>
              <w:spacing w:after="0" w:line="240" w:lineRule="auto"/>
              <w:jc w:val="right"/>
            </w:pPr>
            <w:r/>
            <w:r>
              <w:rPr>
                <w:b w:val="0"/>
                <w:i w:val="0"/>
                <w:sz w:val="17"/>
              </w:rPr>
              <w:t>0.93</w:t>
            </w:r>
          </w:p>
        </w:tc>
        <w:tc>
          <w:tcPr>
            <w:tcW w:type="dxa" w:w="1080"/>
          </w:tcPr>
          <w:p>
            <w:pPr>
              <w:spacing w:after="0" w:line="240" w:lineRule="auto"/>
              <w:jc w:val="right"/>
            </w:pPr>
            <w:r/>
            <w:r>
              <w:rPr>
                <w:b w:val="0"/>
                <w:i w:val="0"/>
                <w:sz w:val="17"/>
              </w:rPr>
              <w:t>0.98</w:t>
            </w:r>
          </w:p>
        </w:tc>
        <w:tc>
          <w:tcPr>
            <w:tcW w:type="dxa" w:w="1296"/>
          </w:tcPr>
          <w:p>
            <w:pPr>
              <w:spacing w:after="0" w:line="240" w:lineRule="auto"/>
              <w:jc w:val="right"/>
            </w:pPr>
            <w:r/>
            <w:r>
              <w:rPr>
                <w:b w:val="0"/>
                <w:i w:val="0"/>
                <w:sz w:val="17"/>
              </w:rPr>
              <w:t>0.32</w:t>
            </w:r>
          </w:p>
        </w:tc>
      </w:tr>
    </w:tbl>
    <w:p>
      <w:pPr>
        <w:spacing w:after="40"/>
      </w:pPr>
    </w:p>
    <w:p>
      <w:r>
        <w:rPr>
          <w:b w:val="0"/>
          <w:i w:val="0"/>
        </w:rPr>
        <w:t>All VIFs are below the course threshold of 4 (maximum 3.17). The only elevated values, Endcap and Endcap × Sales Rep, reflect the structural overlap between a variable and its own interaction term. They are not a concern here: both coefficients are estimated precisely and Endcap × Rep has t = 30.8. In Model 1 every VIF was ≤ 1.15.</w:t>
      </w:r>
    </w:p>
    <w:p>
      <w:pPr>
        <w:pStyle w:val="Heading2"/>
      </w:pPr>
      <w:r>
        <w:t>Outliers, leverage and influence</w:t>
      </w:r>
    </w:p>
    <w:p>
      <w:pPr>
        <w:keepNext/>
        <w:spacing w:after="40"/>
        <w:jc w:val="center"/>
      </w:pPr>
      <w:r>
        <w:drawing>
          <wp:inline xmlns:a="http://schemas.openxmlformats.org/drawingml/2006/main" xmlns:pic="http://schemas.openxmlformats.org/drawingml/2006/picture">
            <wp:extent cx="4937760" cy="2396266"/>
            <wp:docPr id="4" name="Picture 4"/>
            <wp:cNvGraphicFramePr>
              <a:graphicFrameLocks noChangeAspect="1"/>
            </wp:cNvGraphicFramePr>
            <a:graphic>
              <a:graphicData uri="http://schemas.openxmlformats.org/drawingml/2006/picture">
                <pic:pic>
                  <pic:nvPicPr>
                    <pic:cNvPr id="0" name="F6_influence.png"/>
                    <pic:cNvPicPr/>
                  </pic:nvPicPr>
                  <pic:blipFill>
                    <a:blip r:embed="rId12"/>
                    <a:stretch>
                      <a:fillRect/>
                    </a:stretch>
                  </pic:blipFill>
                  <pic:spPr>
                    <a:xfrm>
                      <a:off x="0" y="0"/>
                      <a:ext cx="4937760" cy="2396266"/>
                    </a:xfrm>
                    <a:prstGeom prst="rect"/>
                  </pic:spPr>
                </pic:pic>
              </a:graphicData>
            </a:graphic>
          </wp:inline>
        </w:drawing>
      </w:r>
    </w:p>
    <w:p>
      <w:pPr>
        <w:spacing w:after="120"/>
        <w:jc w:val="center"/>
      </w:pPr>
      <w:r>
        <w:rPr>
          <w:b w:val="0"/>
          <w:i/>
          <w:sz w:val="18"/>
        </w:rPr>
        <w:t>Figure 4. Cook's distance (left; dashed = 4/(n−k−1)) and leverage vs standardized residual (right; dashed = 2(k+1)/n and 3(k+1)/n), final model.</w:t>
      </w:r>
    </w:p>
    <w:p>
      <w:r>
        <w:rPr>
          <w:b/>
          <w:i w:val="0"/>
        </w:rPr>
        <w:t>Outliers.</w:t>
      </w:r>
      <w:r>
        <w:rPr>
          <w:b w:val="0"/>
          <w:i w:val="0"/>
        </w:rPr>
        <w:t xml:space="preserve"> 64 observations (4.6%) have |studentized residual| &gt; 2 (4.6% is expected under normality) and 5 exceed 3 (about 3.7 expected); the largest is 3.73. They show no pattern and no data-entry errors (Appendix D). </w:t>
      </w:r>
      <w:r>
        <w:rPr>
          <w:b/>
          <w:i w:val="0"/>
        </w:rPr>
        <w:t>Leverage.</w:t>
      </w:r>
      <w:r>
        <w:rPr>
          <w:b w:val="0"/>
          <w:i w:val="0"/>
        </w:rPr>
        <w:t xml:space="preserve"> 171 observations exceed 2(k+1)/n = 0.0115 and 63 exceed 3(k+1)/n = 0.0173; all 36 Endcap-with-rep rows are among the latter. They have high leverage because that combination is rare (2.6% of rows) and they define the interaction, so they are legitimate and essential, not errors. Likewise 246 observations have Mahalanobis distance &gt; 10, driven by the rare dummy cells. </w:t>
      </w:r>
      <w:r>
        <w:rPr>
          <w:b/>
          <w:i w:val="0"/>
        </w:rPr>
        <w:t>Influence.</w:t>
      </w:r>
      <w:r>
        <w:rPr>
          <w:b w:val="0"/>
          <w:i w:val="0"/>
        </w:rPr>
        <w:t xml:space="preserve"> No observation approaches Cook's D = 1 (maximum 0.023); 76 observations exceed the stricter 4/(n−k−1) = 0.0029 cut-off, as expected with 1,386 observations (5.5%). We did not remove any observation. As a sensitivity test, excluding the 76 observations flagged by Cook's D or |t| &gt; 3 changes no coefficient materially (Demo 107.5, Demo1-3 73.4, Demo4-5 79.3, Endcap×Rep 452.8; Appendix B).</w:t>
      </w:r>
    </w:p>
    <w:p>
      <w:pPr>
        <w:pStyle w:val="Heading2"/>
      </w:pPr>
      <w:r>
        <w:t>What additional analysis is needed to verify the model</w:t>
      </w:r>
    </w:p>
    <w:p>
      <w:r>
        <w:rPr>
          <w:b w:val="0"/>
          <w:i w:val="0"/>
        </w:rPr>
        <w:t>Beyond the above: (i) re-estimation with store-level effects or clustered standard errors to address repeated measurement; (ii) week effects to rule out a common time trend; (iii) region effects, because regional reps are organised by region; (iv) an out-of-sample or hold-out check; and (v) a designed experiment to address omitted variables. We carried out (i)–(iii) as sensitivity checks (Section 8); (iv)–(v) are future steps.</w:t>
      </w:r>
    </w:p>
    <w:p>
      <w:pPr>
        <w:pStyle w:val="Heading1"/>
      </w:pPr>
      <w:r>
        <w:t>6. Demo Program Analysis (Question 3)</w:t>
      </w:r>
    </w:p>
    <w:p>
      <w:pPr>
        <w:keepNext/>
        <w:spacing w:after="40"/>
        <w:jc w:val="center"/>
      </w:pPr>
      <w:r>
        <w:drawing>
          <wp:inline xmlns:a="http://schemas.openxmlformats.org/drawingml/2006/main" xmlns:pic="http://schemas.openxmlformats.org/drawingml/2006/picture">
            <wp:extent cx="3840480" cy="2263140"/>
            <wp:docPr id="5" name="Picture 5"/>
            <wp:cNvGraphicFramePr>
              <a:graphicFrameLocks noChangeAspect="1"/>
            </wp:cNvGraphicFramePr>
            <a:graphic>
              <a:graphicData uri="http://schemas.openxmlformats.org/drawingml/2006/picture">
                <pic:pic>
                  <pic:nvPicPr>
                    <pic:cNvPr id="0" name="F5_demo.png"/>
                    <pic:cNvPicPr/>
                  </pic:nvPicPr>
                  <pic:blipFill>
                    <a:blip r:embed="rId13"/>
                    <a:stretch>
                      <a:fillRect/>
                    </a:stretch>
                  </pic:blipFill>
                  <pic:spPr>
                    <a:xfrm>
                      <a:off x="0" y="0"/>
                      <a:ext cx="3840480" cy="2263140"/>
                    </a:xfrm>
                    <a:prstGeom prst="rect"/>
                  </pic:spPr>
                </pic:pic>
              </a:graphicData>
            </a:graphic>
          </wp:inline>
        </w:drawing>
      </w:r>
    </w:p>
    <w:p>
      <w:pPr>
        <w:spacing w:after="120"/>
        <w:jc w:val="center"/>
      </w:pPr>
      <w:r>
        <w:rPr>
          <w:b w:val="0"/>
          <w:i/>
          <w:sz w:val="18"/>
        </w:rPr>
        <w:t>Figure 5. Estimated demo lift (units per store-week) with 95% confidence intervals, final model.</w:t>
      </w:r>
    </w:p>
    <w:p>
      <w:pPr>
        <w:keepNext/>
        <w:spacing w:after="40"/>
      </w:pPr>
      <w:r>
        <w:rPr>
          <w:b/>
          <w:i w:val="0"/>
          <w:sz w:val="19"/>
        </w:rPr>
        <w:t>Table 5. Demo effects (units per store-week, other variables held constant)</w:t>
      </w:r>
    </w:p>
    <w:tbl>
      <w:tblPr>
        <w:tblStyle w:val="TableGrid"/>
        <w:tblW w:type="auto" w:w="0"/>
        <w:jc w:val="center"/>
        <w:tblLayout w:type="fixed"/>
        <w:tblLook w:firstColumn="1" w:firstRow="1" w:lastColumn="0" w:lastRow="0" w:noHBand="0" w:noVBand="1" w:val="04A0"/>
      </w:tblPr>
      <w:tblGrid>
        <w:gridCol w:w="3024"/>
        <w:gridCol w:w="1296"/>
        <w:gridCol w:w="1152"/>
        <w:gridCol w:w="864"/>
        <w:gridCol w:w="1008"/>
        <w:gridCol w:w="1872"/>
      </w:tblGrid>
      <w:tr>
        <w:trPr>
          <w:cantSplit/>
        </w:trPr>
        <w:tc>
          <w:tcPr>
            <w:tcW w:type="dxa" w:w="3024"/>
            <w:shd w:val="clear" w:color="auto" w:fill="1F4E79"/>
          </w:tcPr>
          <w:p>
            <w:pPr>
              <w:keepNext/>
              <w:spacing w:after="0" w:line="240" w:lineRule="auto"/>
              <w:jc w:val="center"/>
            </w:pPr>
            <w:r>
              <w:rPr>
                <w:color w:val="FFFFFF"/>
              </w:rPr>
            </w:r>
            <w:r>
              <w:rPr>
                <w:b/>
                <w:i w:val="0"/>
                <w:color w:val="FFFFFF"/>
                <w:sz w:val="18"/>
              </w:rPr>
              <w:t>Effect</w:t>
            </w:r>
          </w:p>
        </w:tc>
        <w:tc>
          <w:tcPr>
            <w:tcW w:type="dxa" w:w="1296"/>
            <w:shd w:val="clear" w:color="auto" w:fill="1F4E79"/>
          </w:tcPr>
          <w:p>
            <w:pPr>
              <w:keepNext/>
              <w:spacing w:after="0" w:line="240" w:lineRule="auto"/>
              <w:jc w:val="center"/>
            </w:pPr>
            <w:r>
              <w:rPr>
                <w:color w:val="FFFFFF"/>
              </w:rPr>
            </w:r>
            <w:r>
              <w:rPr>
                <w:b/>
                <w:i w:val="0"/>
                <w:color w:val="FFFFFF"/>
                <w:sz w:val="18"/>
              </w:rPr>
              <w:t>Coefficient</w:t>
            </w:r>
          </w:p>
        </w:tc>
        <w:tc>
          <w:tcPr>
            <w:tcW w:type="dxa" w:w="1152"/>
            <w:shd w:val="clear" w:color="auto" w:fill="1F4E79"/>
          </w:tcPr>
          <w:p>
            <w:pPr>
              <w:keepNext/>
              <w:spacing w:after="0" w:line="240" w:lineRule="auto"/>
              <w:jc w:val="center"/>
            </w:pPr>
            <w:r>
              <w:rPr>
                <w:color w:val="FFFFFF"/>
              </w:rPr>
            </w:r>
            <w:r>
              <w:rPr>
                <w:b/>
                <w:i w:val="0"/>
                <w:color w:val="FFFFFF"/>
                <w:sz w:val="18"/>
              </w:rPr>
              <w:t>Std. error</w:t>
            </w:r>
          </w:p>
        </w:tc>
        <w:tc>
          <w:tcPr>
            <w:tcW w:type="dxa" w:w="864"/>
            <w:shd w:val="clear" w:color="auto" w:fill="1F4E79"/>
          </w:tcPr>
          <w:p>
            <w:pPr>
              <w:keepNext/>
              <w:spacing w:after="0" w:line="240" w:lineRule="auto"/>
              <w:jc w:val="center"/>
            </w:pPr>
            <w:r>
              <w:rPr>
                <w:color w:val="FFFFFF"/>
              </w:rPr>
            </w:r>
            <w:r>
              <w:rPr>
                <w:b/>
                <w:i w:val="0"/>
                <w:color w:val="FFFFFF"/>
                <w:sz w:val="18"/>
              </w:rPr>
              <w:t>t</w:t>
            </w:r>
          </w:p>
        </w:tc>
        <w:tc>
          <w:tcPr>
            <w:tcW w:type="dxa" w:w="1008"/>
            <w:shd w:val="clear" w:color="auto" w:fill="1F4E79"/>
          </w:tcPr>
          <w:p>
            <w:pPr>
              <w:keepNext/>
              <w:spacing w:after="0" w:line="240" w:lineRule="auto"/>
              <w:jc w:val="center"/>
            </w:pPr>
            <w:r>
              <w:rPr>
                <w:color w:val="FFFFFF"/>
              </w:rPr>
            </w:r>
            <w:r>
              <w:rPr>
                <w:b/>
                <w:i w:val="0"/>
                <w:color w:val="FFFFFF"/>
                <w:sz w:val="18"/>
              </w:rPr>
              <w:t>p-value</w:t>
            </w:r>
          </w:p>
        </w:tc>
        <w:tc>
          <w:tcPr>
            <w:tcW w:type="dxa" w:w="1872"/>
            <w:shd w:val="clear" w:color="auto" w:fill="1F4E79"/>
          </w:tcPr>
          <w:p>
            <w:pPr>
              <w:keepNext/>
              <w:spacing w:after="0" w:line="240" w:lineRule="auto"/>
              <w:jc w:val="center"/>
            </w:pPr>
            <w:r>
              <w:rPr>
                <w:color w:val="FFFFFF"/>
              </w:rPr>
            </w:r>
            <w:r>
              <w:rPr>
                <w:b/>
                <w:i w:val="0"/>
                <w:color w:val="FFFFFF"/>
                <w:sz w:val="18"/>
              </w:rPr>
              <w:t>95% CI</w:t>
            </w:r>
          </w:p>
        </w:tc>
      </w:tr>
      <w:tr>
        <w:trPr>
          <w:cantSplit/>
        </w:trPr>
        <w:tc>
          <w:tcPr>
            <w:tcW w:type="dxa" w:w="3024"/>
          </w:tcPr>
          <w:p>
            <w:pPr>
              <w:keepNext/>
              <w:spacing w:after="0" w:line="240" w:lineRule="auto"/>
            </w:pPr>
            <w:r/>
            <w:r>
              <w:rPr>
                <w:b w:val="0"/>
                <w:i w:val="0"/>
                <w:sz w:val="18"/>
              </w:rPr>
              <w:t>Demo, current week</w:t>
            </w:r>
          </w:p>
        </w:tc>
        <w:tc>
          <w:tcPr>
            <w:tcW w:type="dxa" w:w="1296"/>
          </w:tcPr>
          <w:p>
            <w:pPr>
              <w:keepNext/>
              <w:spacing w:after="0" w:line="240" w:lineRule="auto"/>
              <w:jc w:val="right"/>
            </w:pPr>
            <w:r/>
            <w:r>
              <w:rPr>
                <w:b w:val="0"/>
                <w:i w:val="0"/>
                <w:sz w:val="18"/>
              </w:rPr>
              <w:t>+106.8</w:t>
            </w:r>
          </w:p>
        </w:tc>
        <w:tc>
          <w:tcPr>
            <w:tcW w:type="dxa" w:w="1152"/>
          </w:tcPr>
          <w:p>
            <w:pPr>
              <w:keepNext/>
              <w:spacing w:after="0" w:line="240" w:lineRule="auto"/>
              <w:jc w:val="right"/>
            </w:pPr>
            <w:r/>
            <w:r>
              <w:rPr>
                <w:b w:val="0"/>
                <w:i w:val="0"/>
                <w:sz w:val="18"/>
              </w:rPr>
              <w:t>5.70</w:t>
            </w:r>
          </w:p>
        </w:tc>
        <w:tc>
          <w:tcPr>
            <w:tcW w:type="dxa" w:w="864"/>
          </w:tcPr>
          <w:p>
            <w:pPr>
              <w:keepNext/>
              <w:spacing w:after="0" w:line="240" w:lineRule="auto"/>
              <w:jc w:val="right"/>
            </w:pPr>
            <w:r/>
            <w:r>
              <w:rPr>
                <w:b w:val="0"/>
                <w:i w:val="0"/>
                <w:sz w:val="18"/>
              </w:rPr>
              <w:t>18.7</w:t>
            </w:r>
          </w:p>
        </w:tc>
        <w:tc>
          <w:tcPr>
            <w:tcW w:type="dxa" w:w="1008"/>
          </w:tcPr>
          <w:p>
            <w:pPr>
              <w:keepNext/>
              <w:spacing w:after="0" w:line="240" w:lineRule="auto"/>
              <w:jc w:val="right"/>
            </w:pPr>
            <w:r/>
            <w:r>
              <w:rPr>
                <w:b w:val="0"/>
                <w:i w:val="0"/>
                <w:sz w:val="18"/>
              </w:rPr>
              <w:t>&lt;0.001</w:t>
            </w:r>
          </w:p>
        </w:tc>
        <w:tc>
          <w:tcPr>
            <w:tcW w:type="dxa" w:w="1872"/>
          </w:tcPr>
          <w:p>
            <w:pPr>
              <w:keepNext/>
              <w:spacing w:after="0" w:line="240" w:lineRule="auto"/>
              <w:jc w:val="right"/>
            </w:pPr>
            <w:r/>
            <w:r>
              <w:rPr>
                <w:b w:val="0"/>
                <w:i w:val="0"/>
                <w:sz w:val="18"/>
              </w:rPr>
              <w:t>[95.6, 117.9]</w:t>
            </w:r>
          </w:p>
        </w:tc>
      </w:tr>
      <w:tr>
        <w:trPr>
          <w:cantSplit/>
        </w:trPr>
        <w:tc>
          <w:tcPr>
            <w:tcW w:type="dxa" w:w="3024"/>
          </w:tcPr>
          <w:p>
            <w:pPr>
              <w:keepNext/>
              <w:spacing w:after="0" w:line="240" w:lineRule="auto"/>
            </w:pPr>
            <w:r/>
            <w:r>
              <w:rPr>
                <w:b w:val="0"/>
                <w:i w:val="0"/>
                <w:sz w:val="18"/>
              </w:rPr>
              <w:t>Demo1-3 (1–3 weeks after)</w:t>
            </w:r>
          </w:p>
        </w:tc>
        <w:tc>
          <w:tcPr>
            <w:tcW w:type="dxa" w:w="1296"/>
          </w:tcPr>
          <w:p>
            <w:pPr>
              <w:keepNext/>
              <w:spacing w:after="0" w:line="240" w:lineRule="auto"/>
              <w:jc w:val="right"/>
            </w:pPr>
            <w:r/>
            <w:r>
              <w:rPr>
                <w:b w:val="0"/>
                <w:i w:val="0"/>
                <w:sz w:val="18"/>
              </w:rPr>
              <w:t>+73.4</w:t>
            </w:r>
          </w:p>
        </w:tc>
        <w:tc>
          <w:tcPr>
            <w:tcW w:type="dxa" w:w="1152"/>
          </w:tcPr>
          <w:p>
            <w:pPr>
              <w:keepNext/>
              <w:spacing w:after="0" w:line="240" w:lineRule="auto"/>
              <w:jc w:val="right"/>
            </w:pPr>
            <w:r/>
            <w:r>
              <w:rPr>
                <w:b w:val="0"/>
                <w:i w:val="0"/>
                <w:sz w:val="18"/>
              </w:rPr>
              <w:t>3.77</w:t>
            </w:r>
          </w:p>
        </w:tc>
        <w:tc>
          <w:tcPr>
            <w:tcW w:type="dxa" w:w="864"/>
          </w:tcPr>
          <w:p>
            <w:pPr>
              <w:keepNext/>
              <w:spacing w:after="0" w:line="240" w:lineRule="auto"/>
              <w:jc w:val="right"/>
            </w:pPr>
            <w:r/>
            <w:r>
              <w:rPr>
                <w:b w:val="0"/>
                <w:i w:val="0"/>
                <w:sz w:val="18"/>
              </w:rPr>
              <w:t>19.5</w:t>
            </w:r>
          </w:p>
        </w:tc>
        <w:tc>
          <w:tcPr>
            <w:tcW w:type="dxa" w:w="1008"/>
          </w:tcPr>
          <w:p>
            <w:pPr>
              <w:keepNext/>
              <w:spacing w:after="0" w:line="240" w:lineRule="auto"/>
              <w:jc w:val="right"/>
            </w:pPr>
            <w:r/>
            <w:r>
              <w:rPr>
                <w:b w:val="0"/>
                <w:i w:val="0"/>
                <w:sz w:val="18"/>
              </w:rPr>
              <w:t>&lt;0.001</w:t>
            </w:r>
          </w:p>
        </w:tc>
        <w:tc>
          <w:tcPr>
            <w:tcW w:type="dxa" w:w="1872"/>
          </w:tcPr>
          <w:p>
            <w:pPr>
              <w:keepNext/>
              <w:spacing w:after="0" w:line="240" w:lineRule="auto"/>
              <w:jc w:val="right"/>
            </w:pPr>
            <w:r/>
            <w:r>
              <w:rPr>
                <w:b w:val="0"/>
                <w:i w:val="0"/>
                <w:sz w:val="18"/>
              </w:rPr>
              <w:t>[66.0, 80.8]</w:t>
            </w:r>
          </w:p>
        </w:tc>
      </w:tr>
      <w:tr>
        <w:trPr>
          <w:cantSplit/>
        </w:trPr>
        <w:tc>
          <w:tcPr>
            <w:tcW w:type="dxa" w:w="3024"/>
          </w:tcPr>
          <w:p>
            <w:pPr>
              <w:spacing w:after="0" w:line="240" w:lineRule="auto"/>
            </w:pPr>
            <w:r/>
            <w:r>
              <w:rPr>
                <w:b w:val="0"/>
                <w:i w:val="0"/>
                <w:sz w:val="18"/>
              </w:rPr>
              <w:t>Demo4-5 (4–5+ weeks after)</w:t>
            </w:r>
          </w:p>
        </w:tc>
        <w:tc>
          <w:tcPr>
            <w:tcW w:type="dxa" w:w="1296"/>
          </w:tcPr>
          <w:p>
            <w:pPr>
              <w:spacing w:after="0" w:line="240" w:lineRule="auto"/>
              <w:jc w:val="right"/>
            </w:pPr>
            <w:r/>
            <w:r>
              <w:rPr>
                <w:b w:val="0"/>
                <w:i w:val="0"/>
                <w:sz w:val="18"/>
              </w:rPr>
              <w:t>+74.6</w:t>
            </w:r>
          </w:p>
        </w:tc>
        <w:tc>
          <w:tcPr>
            <w:tcW w:type="dxa" w:w="1152"/>
          </w:tcPr>
          <w:p>
            <w:pPr>
              <w:spacing w:after="0" w:line="240" w:lineRule="auto"/>
              <w:jc w:val="right"/>
            </w:pPr>
            <w:r/>
            <w:r>
              <w:rPr>
                <w:b w:val="0"/>
                <w:i w:val="0"/>
                <w:sz w:val="18"/>
              </w:rPr>
              <w:t>5.04</w:t>
            </w:r>
          </w:p>
        </w:tc>
        <w:tc>
          <w:tcPr>
            <w:tcW w:type="dxa" w:w="864"/>
          </w:tcPr>
          <w:p>
            <w:pPr>
              <w:spacing w:after="0" w:line="240" w:lineRule="auto"/>
              <w:jc w:val="right"/>
            </w:pPr>
            <w:r/>
            <w:r>
              <w:rPr>
                <w:b w:val="0"/>
                <w:i w:val="0"/>
                <w:sz w:val="18"/>
              </w:rPr>
              <w:t>14.8</w:t>
            </w:r>
          </w:p>
        </w:tc>
        <w:tc>
          <w:tcPr>
            <w:tcW w:type="dxa" w:w="1008"/>
          </w:tcPr>
          <w:p>
            <w:pPr>
              <w:spacing w:after="0" w:line="240" w:lineRule="auto"/>
              <w:jc w:val="right"/>
            </w:pPr>
            <w:r/>
            <w:r>
              <w:rPr>
                <w:b w:val="0"/>
                <w:i w:val="0"/>
                <w:sz w:val="18"/>
              </w:rPr>
              <w:t>&lt;0.001</w:t>
            </w:r>
          </w:p>
        </w:tc>
        <w:tc>
          <w:tcPr>
            <w:tcW w:type="dxa" w:w="1872"/>
          </w:tcPr>
          <w:p>
            <w:pPr>
              <w:spacing w:after="0" w:line="240" w:lineRule="auto"/>
              <w:jc w:val="right"/>
            </w:pPr>
            <w:r/>
            <w:r>
              <w:rPr>
                <w:b w:val="0"/>
                <w:i w:val="0"/>
                <w:sz w:val="18"/>
              </w:rPr>
              <w:t>[64.7, 84.4]</w:t>
            </w:r>
          </w:p>
        </w:tc>
      </w:tr>
    </w:tbl>
    <w:p>
      <w:pPr>
        <w:spacing w:after="40"/>
      </w:pPr>
    </w:p>
    <w:p>
      <w:r>
        <w:rPr>
          <w:b/>
          <w:i w:val="0"/>
        </w:rPr>
        <w:t>Does the demo program boost sales? Yes.</w:t>
      </w:r>
      <w:r>
        <w:rPr>
          <w:b w:val="0"/>
          <w:i w:val="0"/>
        </w:rPr>
        <w:t xml:space="preserve"> Holding price, rep coverage and endcap constant, a store with a demo in the current week is associated with +107 units that week (CI 96–118), about 42% of the average store-week (254 units). The three demo terms are jointly highly significant (F = 306, p &lt; 0.001).</w:t>
      </w:r>
    </w:p>
    <w:p>
      <w:r>
        <w:rPr>
          <w:b/>
          <w:i w:val="0"/>
        </w:rPr>
        <w:t>For how long does the sales lift last?</w:t>
      </w:r>
      <w:r>
        <w:rPr>
          <w:b w:val="0"/>
          <w:i w:val="0"/>
        </w:rPr>
        <w:t xml:space="preserve"> The lift does not fade within the window we can observe. Stores that had a demo 1–3 weeks earlier still sell +73 units (CI 66–81) and stores 4–5 or more weeks after a demo still sell +75 units (CI 65–84); both p &lt; 0.001 and jointly F = 294 (p &lt; 0.001). The two lagged effects are statistically indistinguishable (difference -1.2 units, 95% CI -13.4 to 11.1, p = 0.85). The lift in the demo week itself is larger than the later lift by 33 units (CI 20–47, p &lt; 0.001), so the effect steps down after the demo week and then holds. Management's fear that sales “revert to normal shortly afterward” is therefore not supported over a 4–5 week horizon.</w:t>
      </w:r>
    </w:p>
    <w:p>
      <w:r>
        <w:rPr>
          <w:b/>
          <w:i w:val="0"/>
        </w:rPr>
        <w:t>Limits on that answer.</w:t>
      </w:r>
      <w:r>
        <w:rPr>
          <w:b w:val="0"/>
          <w:i w:val="0"/>
        </w:rPr>
        <w:t xml:space="preserve"> Demo4-5 is defined as “at least 4–5 weeks ago” and the data end 11 weeks after the first date, so we can say the lift persists for at least 4–5 weeks; the data cannot show when, or whether, it eventually ends. The terms measure persistence of a store-level difference, which could also reflect stores that were chosen for demos being stronger (Section 10); store dummies, which compare each store with itself, still give +107, +72 and +73, and week dummies +104, +73, +74.</w:t>
      </w:r>
    </w:p>
    <w:p>
      <w:r>
        <w:rPr>
          <w:b/>
          <w:i w:val="0"/>
        </w:rPr>
        <w:t>Business significance.</w:t>
      </w:r>
      <w:r>
        <w:rPr>
          <w:b w:val="0"/>
          <w:i w:val="0"/>
        </w:rPr>
        <w:t xml:space="preserve"> Taking the estimates at face value, a demoed store sells about 327 extra units across the demo week plus three following weeks (107 + 3 × 73), and about 476 if the 4–5 week effect applies for two further weeks. This is illustrative arithmetic on the point estimates (it assumes the flags stay on for those weeks). Demo cost and unit margin are not in the data, so ROI cannot be calculated; the break-even condition is that the margin on ≈330 units exceeds the cost of one three-hour demo.</w:t>
      </w:r>
    </w:p>
    <w:p>
      <w:pPr>
        <w:pStyle w:val="Heading1"/>
      </w:pPr>
      <w:r>
        <w:t>7. Product Placement / Endcap Analysis (Question 4)</w:t>
      </w:r>
    </w:p>
    <w:p>
      <w:pPr>
        <w:keepNext/>
        <w:spacing w:after="40"/>
        <w:jc w:val="center"/>
      </w:pPr>
      <w:r>
        <w:drawing>
          <wp:inline xmlns:a="http://schemas.openxmlformats.org/drawingml/2006/main" xmlns:pic="http://schemas.openxmlformats.org/drawingml/2006/picture">
            <wp:extent cx="3566160" cy="2468880"/>
            <wp:docPr id="6" name="Picture 6"/>
            <wp:cNvGraphicFramePr>
              <a:graphicFrameLocks noChangeAspect="1"/>
            </wp:cNvGraphicFramePr>
            <a:graphic>
              <a:graphicData uri="http://schemas.openxmlformats.org/drawingml/2006/picture">
                <pic:pic>
                  <pic:nvPicPr>
                    <pic:cNvPr id="0" name="F4_interaction.png"/>
                    <pic:cNvPicPr/>
                  </pic:nvPicPr>
                  <pic:blipFill>
                    <a:blip r:embed="rId14"/>
                    <a:stretch>
                      <a:fillRect/>
                    </a:stretch>
                  </pic:blipFill>
                  <pic:spPr>
                    <a:xfrm>
                      <a:off x="0" y="0"/>
                      <a:ext cx="3566160" cy="2468880"/>
                    </a:xfrm>
                    <a:prstGeom prst="rect"/>
                  </pic:spPr>
                </pic:pic>
              </a:graphicData>
            </a:graphic>
          </wp:inline>
        </w:drawing>
      </w:r>
    </w:p>
    <w:p>
      <w:pPr>
        <w:spacing w:after="120"/>
        <w:jc w:val="center"/>
      </w:pPr>
      <w:r>
        <w:rPr>
          <w:b w:val="0"/>
          <w:i/>
          <w:sz w:val="18"/>
        </w:rPr>
        <w:t>Figure 6. Predicted weekly units by Endcap and Sales Rep (price at the sample mean, no demo), final model.</w:t>
      </w:r>
    </w:p>
    <w:p>
      <w:r>
        <w:rPr>
          <w:b/>
          <w:i w:val="0"/>
        </w:rPr>
        <w:t>Step 1 – unadjusted.</w:t>
      </w:r>
      <w:r>
        <w:rPr>
          <w:b w:val="0"/>
          <w:i w:val="0"/>
        </w:rPr>
        <w:t xml:space="preserve"> Stores with an endcap average 584 units against 241 without (+343, p &lt; 0.001); the one-variable regression returns the same +343. This mixes stores with and without regional reps and ignores other promotions. </w:t>
      </w:r>
      <w:r>
        <w:rPr>
          <w:b/>
          <w:i w:val="0"/>
        </w:rPr>
        <w:t>Step 2 – adjusted (Model 1, no interaction).</w:t>
      </w:r>
      <w:r>
        <w:rPr>
          <w:b w:val="0"/>
          <w:i w:val="0"/>
        </w:rPr>
        <w:t xml:space="preserve"> Controlling for the other variables the average endcap coefficient is +305 (CI 287–323), but this single number averages two very different cases.</w:t>
      </w:r>
    </w:p>
    <w:p>
      <w:r>
        <w:rPr>
          <w:b/>
          <w:i w:val="0"/>
        </w:rPr>
        <w:t>Step 3 – interaction.</w:t>
      </w:r>
      <w:r>
        <w:rPr>
          <w:b w:val="0"/>
          <w:i w:val="0"/>
        </w:rPr>
        <w:t xml:space="preserve"> In the final model the Endcap coefficient is 0.6 (SE 12.1, p = 0.96, CI -23 to 24): the endcap effect when Sales Rep = 0. The interaction coefficient is +453.8 (SE 14.7, t = 30.8, p &lt; 0.001): the additional effect when Sales Rep = 1. </w:t>
      </w:r>
      <w:r>
        <w:rPr>
          <w:b/>
          <w:i w:val="0"/>
        </w:rPr>
        <w:t>Step 4 – combined effect.</w:t>
      </w:r>
      <w:r>
        <w:rPr>
          <w:b w:val="0"/>
          <w:i w:val="0"/>
        </w:rPr>
        <w:t xml:space="preserve"> For stores with a regional rep, the endcap effect is 0.6 + 453.8 = </w:t>
      </w:r>
      <w:r>
        <w:rPr>
          <w:b/>
          <w:i w:val="0"/>
        </w:rPr>
        <w:t>+454.4 units per store-week</w:t>
      </w:r>
      <w:r>
        <w:rPr>
          <w:b w:val="0"/>
          <w:i w:val="0"/>
        </w:rPr>
        <w:t xml:space="preserve"> (SE 8.5, 95% CI 438–471, p &lt; 0.001).</w:t>
      </w:r>
    </w:p>
    <w:p>
      <w:pPr>
        <w:keepNext/>
        <w:spacing w:after="40"/>
      </w:pPr>
      <w:r>
        <w:rPr>
          <w:b/>
          <w:i w:val="0"/>
          <w:sz w:val="19"/>
        </w:rPr>
        <w:t>Table 6. Interaction table: model predictions and observed means</w:t>
      </w:r>
    </w:p>
    <w:tbl>
      <w:tblPr>
        <w:tblStyle w:val="TableGrid"/>
        <w:tblW w:type="auto" w:w="0"/>
        <w:jc w:val="center"/>
        <w:tblLayout w:type="fixed"/>
        <w:tblLook w:firstColumn="1" w:firstRow="1" w:lastColumn="0" w:lastRow="0" w:noHBand="0" w:noVBand="1" w:val="04A0"/>
      </w:tblPr>
      <w:tblGrid>
        <w:gridCol w:w="3456"/>
        <w:gridCol w:w="1728"/>
        <w:gridCol w:w="1584"/>
        <w:gridCol w:w="1584"/>
      </w:tblGrid>
      <w:tr>
        <w:trPr>
          <w:cantSplit/>
        </w:trPr>
        <w:tc>
          <w:tcPr>
            <w:tcW w:type="dxa" w:w="3456"/>
            <w:shd w:val="clear" w:color="auto" w:fill="1F4E79"/>
          </w:tcPr>
          <w:p>
            <w:pPr>
              <w:keepNext/>
              <w:spacing w:after="0" w:line="240" w:lineRule="auto"/>
              <w:jc w:val="center"/>
            </w:pPr>
            <w:r>
              <w:rPr>
                <w:color w:val="FFFFFF"/>
              </w:rPr>
            </w:r>
            <w:r>
              <w:rPr>
                <w:b/>
                <w:i w:val="0"/>
                <w:color w:val="FFFFFF"/>
                <w:sz w:val="18"/>
              </w:rPr>
              <w:t>Cell (price at mean, no demo)</w:t>
            </w:r>
          </w:p>
        </w:tc>
        <w:tc>
          <w:tcPr>
            <w:tcW w:type="dxa" w:w="1728"/>
            <w:shd w:val="clear" w:color="auto" w:fill="1F4E79"/>
          </w:tcPr>
          <w:p>
            <w:pPr>
              <w:keepNext/>
              <w:spacing w:after="0" w:line="240" w:lineRule="auto"/>
              <w:jc w:val="center"/>
            </w:pPr>
            <w:r>
              <w:rPr>
                <w:color w:val="FFFFFF"/>
              </w:rPr>
            </w:r>
            <w:r>
              <w:rPr>
                <w:b/>
                <w:i w:val="0"/>
                <w:color w:val="FFFFFF"/>
                <w:sz w:val="18"/>
              </w:rPr>
              <w:t>Predicted units</w:t>
            </w:r>
          </w:p>
        </w:tc>
        <w:tc>
          <w:tcPr>
            <w:tcW w:type="dxa" w:w="1584"/>
            <w:shd w:val="clear" w:color="auto" w:fill="1F4E79"/>
          </w:tcPr>
          <w:p>
            <w:pPr>
              <w:keepNext/>
              <w:spacing w:after="0" w:line="240" w:lineRule="auto"/>
              <w:jc w:val="center"/>
            </w:pPr>
            <w:r>
              <w:rPr>
                <w:color w:val="FFFFFF"/>
              </w:rPr>
            </w:r>
            <w:r>
              <w:rPr>
                <w:b/>
                <w:i w:val="0"/>
                <w:color w:val="FFFFFF"/>
                <w:sz w:val="18"/>
              </w:rPr>
              <w:t>Observations</w:t>
            </w:r>
          </w:p>
        </w:tc>
        <w:tc>
          <w:tcPr>
            <w:tcW w:type="dxa" w:w="1584"/>
            <w:shd w:val="clear" w:color="auto" w:fill="1F4E79"/>
          </w:tcPr>
          <w:p>
            <w:pPr>
              <w:keepNext/>
              <w:spacing w:after="0" w:line="240" w:lineRule="auto"/>
              <w:jc w:val="center"/>
            </w:pPr>
            <w:r>
              <w:rPr>
                <w:color w:val="FFFFFF"/>
              </w:rPr>
            </w:r>
            <w:r>
              <w:rPr>
                <w:b/>
                <w:i w:val="0"/>
                <w:color w:val="FFFFFF"/>
                <w:sz w:val="18"/>
              </w:rPr>
              <w:t>Observed mean</w:t>
            </w:r>
          </w:p>
        </w:tc>
      </w:tr>
      <w:tr>
        <w:trPr>
          <w:cantSplit/>
        </w:trPr>
        <w:tc>
          <w:tcPr>
            <w:tcW w:type="dxa" w:w="3456"/>
          </w:tcPr>
          <w:p>
            <w:pPr>
              <w:keepNext/>
              <w:spacing w:after="0" w:line="240" w:lineRule="auto"/>
            </w:pPr>
            <w:r/>
            <w:r>
              <w:rPr>
                <w:b w:val="0"/>
                <w:i w:val="0"/>
                <w:sz w:val="18"/>
              </w:rPr>
              <w:t>No rep, no endcap</w:t>
            </w:r>
          </w:p>
        </w:tc>
        <w:tc>
          <w:tcPr>
            <w:tcW w:type="dxa" w:w="1728"/>
          </w:tcPr>
          <w:p>
            <w:pPr>
              <w:keepNext/>
              <w:spacing w:after="0" w:line="240" w:lineRule="auto"/>
              <w:jc w:val="right"/>
            </w:pPr>
            <w:r/>
            <w:r>
              <w:rPr>
                <w:b w:val="0"/>
                <w:i w:val="0"/>
                <w:sz w:val="18"/>
              </w:rPr>
              <w:t>186</w:t>
            </w:r>
          </w:p>
        </w:tc>
        <w:tc>
          <w:tcPr>
            <w:tcW w:type="dxa" w:w="1584"/>
          </w:tcPr>
          <w:p>
            <w:pPr>
              <w:keepNext/>
              <w:spacing w:after="0" w:line="240" w:lineRule="auto"/>
              <w:jc w:val="right"/>
            </w:pPr>
            <w:r/>
            <w:r>
              <w:rPr>
                <w:b w:val="0"/>
                <w:i w:val="0"/>
                <w:sz w:val="18"/>
              </w:rPr>
              <w:t>607</w:t>
            </w:r>
          </w:p>
        </w:tc>
        <w:tc>
          <w:tcPr>
            <w:tcW w:type="dxa" w:w="1584"/>
          </w:tcPr>
          <w:p>
            <w:pPr>
              <w:keepNext/>
              <w:spacing w:after="0" w:line="240" w:lineRule="auto"/>
              <w:jc w:val="right"/>
            </w:pPr>
            <w:r/>
            <w:r>
              <w:rPr>
                <w:b w:val="0"/>
                <w:i w:val="0"/>
                <w:sz w:val="18"/>
              </w:rPr>
              <w:t>198</w:t>
            </w:r>
          </w:p>
        </w:tc>
      </w:tr>
      <w:tr>
        <w:trPr>
          <w:cantSplit/>
        </w:trPr>
        <w:tc>
          <w:tcPr>
            <w:tcW w:type="dxa" w:w="3456"/>
          </w:tcPr>
          <w:p>
            <w:pPr>
              <w:keepNext/>
              <w:spacing w:after="0" w:line="240" w:lineRule="auto"/>
            </w:pPr>
            <w:r/>
            <w:r>
              <w:rPr>
                <w:b w:val="0"/>
                <w:i w:val="0"/>
                <w:sz w:val="18"/>
              </w:rPr>
              <w:t>No rep, endcap</w:t>
            </w:r>
          </w:p>
        </w:tc>
        <w:tc>
          <w:tcPr>
            <w:tcW w:type="dxa" w:w="1728"/>
          </w:tcPr>
          <w:p>
            <w:pPr>
              <w:keepNext/>
              <w:spacing w:after="0" w:line="240" w:lineRule="auto"/>
              <w:jc w:val="right"/>
            </w:pPr>
            <w:r/>
            <w:r>
              <w:rPr>
                <w:b w:val="0"/>
                <w:i w:val="0"/>
                <w:sz w:val="18"/>
              </w:rPr>
              <w:t>187</w:t>
            </w:r>
          </w:p>
        </w:tc>
        <w:tc>
          <w:tcPr>
            <w:tcW w:type="dxa" w:w="1584"/>
          </w:tcPr>
          <w:p>
            <w:pPr>
              <w:keepNext/>
              <w:spacing w:after="0" w:line="240" w:lineRule="auto"/>
              <w:jc w:val="right"/>
            </w:pPr>
            <w:r/>
            <w:r>
              <w:rPr>
                <w:b w:val="0"/>
                <w:i w:val="0"/>
                <w:sz w:val="18"/>
              </w:rPr>
              <w:t>17</w:t>
            </w:r>
          </w:p>
        </w:tc>
        <w:tc>
          <w:tcPr>
            <w:tcW w:type="dxa" w:w="1584"/>
          </w:tcPr>
          <w:p>
            <w:pPr>
              <w:keepNext/>
              <w:spacing w:after="0" w:line="240" w:lineRule="auto"/>
              <w:jc w:val="right"/>
            </w:pPr>
            <w:r/>
            <w:r>
              <w:rPr>
                <w:b w:val="0"/>
                <w:i w:val="0"/>
                <w:sz w:val="18"/>
              </w:rPr>
              <w:t>218</w:t>
            </w:r>
          </w:p>
        </w:tc>
      </w:tr>
      <w:tr>
        <w:trPr>
          <w:cantSplit/>
        </w:trPr>
        <w:tc>
          <w:tcPr>
            <w:tcW w:type="dxa" w:w="3456"/>
          </w:tcPr>
          <w:p>
            <w:pPr>
              <w:keepNext/>
              <w:spacing w:after="0" w:line="240" w:lineRule="auto"/>
            </w:pPr>
            <w:r/>
            <w:r>
              <w:rPr>
                <w:b w:val="0"/>
                <w:i w:val="0"/>
                <w:sz w:val="18"/>
              </w:rPr>
              <w:t>Rep, no endcap</w:t>
            </w:r>
          </w:p>
        </w:tc>
        <w:tc>
          <w:tcPr>
            <w:tcW w:type="dxa" w:w="1728"/>
          </w:tcPr>
          <w:p>
            <w:pPr>
              <w:keepNext/>
              <w:spacing w:after="0" w:line="240" w:lineRule="auto"/>
              <w:jc w:val="right"/>
            </w:pPr>
            <w:r/>
            <w:r>
              <w:rPr>
                <w:b w:val="0"/>
                <w:i w:val="0"/>
                <w:sz w:val="18"/>
              </w:rPr>
              <w:t>245</w:t>
            </w:r>
          </w:p>
        </w:tc>
        <w:tc>
          <w:tcPr>
            <w:tcW w:type="dxa" w:w="1584"/>
          </w:tcPr>
          <w:p>
            <w:pPr>
              <w:keepNext/>
              <w:spacing w:after="0" w:line="240" w:lineRule="auto"/>
              <w:jc w:val="right"/>
            </w:pPr>
            <w:r/>
            <w:r>
              <w:rPr>
                <w:b w:val="0"/>
                <w:i w:val="0"/>
                <w:sz w:val="18"/>
              </w:rPr>
              <w:t>726</w:t>
            </w:r>
          </w:p>
        </w:tc>
        <w:tc>
          <w:tcPr>
            <w:tcW w:type="dxa" w:w="1584"/>
          </w:tcPr>
          <w:p>
            <w:pPr>
              <w:keepNext/>
              <w:spacing w:after="0" w:line="240" w:lineRule="auto"/>
              <w:jc w:val="right"/>
            </w:pPr>
            <w:r/>
            <w:r>
              <w:rPr>
                <w:b w:val="0"/>
                <w:i w:val="0"/>
                <w:sz w:val="18"/>
              </w:rPr>
              <w:t>276</w:t>
            </w:r>
          </w:p>
        </w:tc>
      </w:tr>
      <w:tr>
        <w:trPr>
          <w:cantSplit/>
        </w:trPr>
        <w:tc>
          <w:tcPr>
            <w:tcW w:type="dxa" w:w="3456"/>
          </w:tcPr>
          <w:p>
            <w:pPr>
              <w:spacing w:after="0" w:line="240" w:lineRule="auto"/>
            </w:pPr>
            <w:r/>
            <w:r>
              <w:rPr>
                <w:b w:val="0"/>
                <w:i w:val="0"/>
                <w:sz w:val="18"/>
              </w:rPr>
              <w:t>Rep, endcap</w:t>
            </w:r>
          </w:p>
        </w:tc>
        <w:tc>
          <w:tcPr>
            <w:tcW w:type="dxa" w:w="1728"/>
          </w:tcPr>
          <w:p>
            <w:pPr>
              <w:spacing w:after="0" w:line="240" w:lineRule="auto"/>
              <w:jc w:val="right"/>
            </w:pPr>
            <w:r/>
            <w:r>
              <w:rPr>
                <w:b w:val="0"/>
                <w:i w:val="0"/>
                <w:sz w:val="18"/>
              </w:rPr>
              <w:t>700</w:t>
            </w:r>
          </w:p>
        </w:tc>
        <w:tc>
          <w:tcPr>
            <w:tcW w:type="dxa" w:w="1584"/>
          </w:tcPr>
          <w:p>
            <w:pPr>
              <w:spacing w:after="0" w:line="240" w:lineRule="auto"/>
              <w:jc w:val="right"/>
            </w:pPr>
            <w:r/>
            <w:r>
              <w:rPr>
                <w:b w:val="0"/>
                <w:i w:val="0"/>
                <w:sz w:val="18"/>
              </w:rPr>
              <w:t>36</w:t>
            </w:r>
          </w:p>
        </w:tc>
        <w:tc>
          <w:tcPr>
            <w:tcW w:type="dxa" w:w="1584"/>
          </w:tcPr>
          <w:p>
            <w:pPr>
              <w:spacing w:after="0" w:line="240" w:lineRule="auto"/>
              <w:jc w:val="right"/>
            </w:pPr>
            <w:r/>
            <w:r>
              <w:rPr>
                <w:b w:val="0"/>
                <w:i w:val="0"/>
                <w:sz w:val="18"/>
              </w:rPr>
              <w:t>757</w:t>
            </w:r>
          </w:p>
        </w:tc>
      </w:tr>
    </w:tbl>
    <w:p>
      <w:pPr>
        <w:spacing w:after="40"/>
      </w:pPr>
    </w:p>
    <w:p>
      <w:r>
        <w:rPr>
          <w:b/>
          <w:i w:val="0"/>
        </w:rPr>
        <w:t>Managerial reading.</w:t>
      </w:r>
      <w:r>
        <w:rPr>
          <w:b w:val="0"/>
          <w:i w:val="0"/>
        </w:rPr>
        <w:t xml:space="preserve"> Product placement affects sales only where GoodBelly has face-to-face regional rep coverage: in those stores an endcap is associated with a near-tripling of sales (245 → 700 predicted units), which is a far larger effect than any demo. In stores served only by the national rep, no endcap effect is detectable. The caution is that the “no effect without a rep” statement rests on just 17 endcap observations (the confidence interval, ±24 units, still rules out effects above about 24 units), and that the endcap and rep effects may be intertwined with how stores were chosen (execution quality, store enthusiasm). The case does not say why reps matter; plausible mechanisms (better display set-up, restocking, the rep competition) are not testable here.</w:t>
      </w:r>
    </w:p>
    <w:p>
      <w:pPr>
        <w:pStyle w:val="Heading1"/>
      </w:pPr>
      <w:r>
        <w:t>8. Model Refinement (Question 5)</w:t>
      </w:r>
    </w:p>
    <w:p>
      <w:r>
        <w:rPr>
          <w:b/>
          <w:i w:val="0"/>
        </w:rPr>
        <w:t>What was limited about the initial model?</w:t>
      </w:r>
      <w:r>
        <w:rPr>
          <w:b w:val="0"/>
          <w:i w:val="0"/>
        </w:rPr>
        <w:t xml:space="preserve"> Model 1 treated each promotion as acting independently and carried two irrelevant variables. Its symptoms: Durbin-Watson of 1.38, a funnel-shaped residual plot (Breusch-Pagan p &lt; 0.001), skewed heavy-tailed residuals, a standard error of 64 units, and an Endcap coefficient (+305) that overstated the effect for stores without reps and understated it for stores with reps.</w:t>
      </w:r>
    </w:p>
    <w:p>
      <w:pPr>
        <w:keepNext/>
        <w:spacing w:after="40"/>
      </w:pPr>
      <w:r>
        <w:rPr>
          <w:b/>
          <w:i w:val="0"/>
          <w:sz w:val="19"/>
        </w:rPr>
        <w:t>Table 7. Refinements to the model</w:t>
      </w:r>
    </w:p>
    <w:tbl>
      <w:tblPr>
        <w:tblStyle w:val="TableGrid"/>
        <w:tblW w:type="auto" w:w="0"/>
        <w:jc w:val="center"/>
        <w:tblLayout w:type="fixed"/>
        <w:tblLook w:firstColumn="1" w:firstRow="1" w:lastColumn="0" w:lastRow="0" w:noHBand="0" w:noVBand="1" w:val="04A0"/>
      </w:tblPr>
      <w:tblGrid>
        <w:gridCol w:w="3024"/>
        <w:gridCol w:w="3744"/>
        <w:gridCol w:w="2592"/>
      </w:tblGrid>
      <w:tr>
        <w:trPr>
          <w:cantSplit/>
        </w:trPr>
        <w:tc>
          <w:tcPr>
            <w:tcW w:type="dxa" w:w="3024"/>
            <w:shd w:val="clear" w:color="auto" w:fill="1F4E79"/>
          </w:tcPr>
          <w:p>
            <w:pPr>
              <w:keepNext/>
              <w:spacing w:after="0" w:line="240" w:lineRule="auto"/>
              <w:jc w:val="center"/>
            </w:pPr>
            <w:r>
              <w:rPr>
                <w:color w:val="FFFFFF"/>
              </w:rPr>
            </w:r>
            <w:r>
              <w:rPr>
                <w:b/>
                <w:i w:val="0"/>
                <w:color w:val="FFFFFF"/>
                <w:sz w:val="17"/>
              </w:rPr>
              <w:t>Change</w:t>
            </w:r>
          </w:p>
        </w:tc>
        <w:tc>
          <w:tcPr>
            <w:tcW w:type="dxa" w:w="3744"/>
            <w:shd w:val="clear" w:color="auto" w:fill="1F4E79"/>
          </w:tcPr>
          <w:p>
            <w:pPr>
              <w:keepNext/>
              <w:spacing w:after="0" w:line="240" w:lineRule="auto"/>
              <w:jc w:val="center"/>
            </w:pPr>
            <w:r>
              <w:rPr>
                <w:color w:val="FFFFFF"/>
              </w:rPr>
            </w:r>
            <w:r>
              <w:rPr>
                <w:b/>
                <w:i w:val="0"/>
                <w:color w:val="FFFFFF"/>
                <w:sz w:val="17"/>
              </w:rPr>
              <w:t>Statistical evidence</w:t>
            </w:r>
          </w:p>
        </w:tc>
        <w:tc>
          <w:tcPr>
            <w:tcW w:type="dxa" w:w="2592"/>
            <w:shd w:val="clear" w:color="auto" w:fill="1F4E79"/>
          </w:tcPr>
          <w:p>
            <w:pPr>
              <w:keepNext/>
              <w:spacing w:after="0" w:line="240" w:lineRule="auto"/>
              <w:jc w:val="center"/>
            </w:pPr>
            <w:r>
              <w:rPr>
                <w:color w:val="FFFFFF"/>
              </w:rPr>
            </w:r>
            <w:r>
              <w:rPr>
                <w:b/>
                <w:i w:val="0"/>
                <w:color w:val="FFFFFF"/>
                <w:sz w:val="17"/>
              </w:rPr>
              <w:t>Outcome</w:t>
            </w:r>
          </w:p>
        </w:tc>
      </w:tr>
      <w:tr>
        <w:trPr>
          <w:cantSplit/>
        </w:trPr>
        <w:tc>
          <w:tcPr>
            <w:tcW w:type="dxa" w:w="3024"/>
          </w:tcPr>
          <w:p>
            <w:pPr>
              <w:keepNext/>
              <w:spacing w:after="0" w:line="240" w:lineRule="auto"/>
            </w:pPr>
            <w:r/>
            <w:r>
              <w:rPr>
                <w:b w:val="0"/>
                <w:i w:val="0"/>
                <w:sz w:val="17"/>
              </w:rPr>
              <w:t>Dropped Natural Retailers and Fitness Centers</w:t>
            </w:r>
          </w:p>
        </w:tc>
        <w:tc>
          <w:tcPr>
            <w:tcW w:type="dxa" w:w="3744"/>
          </w:tcPr>
          <w:p>
            <w:pPr>
              <w:keepNext/>
              <w:spacing w:after="0" w:line="240" w:lineRule="auto"/>
            </w:pPr>
            <w:r/>
            <w:r>
              <w:rPr>
                <w:b w:val="0"/>
                <w:i w:val="0"/>
                <w:sz w:val="17"/>
              </w:rPr>
              <w:t>Partial F = 0.78, p = 0.46 (0.04, p = 0.96 with interaction)</w:t>
            </w:r>
          </w:p>
        </w:tc>
        <w:tc>
          <w:tcPr>
            <w:tcW w:type="dxa" w:w="2592"/>
          </w:tcPr>
          <w:p>
            <w:pPr>
              <w:keepNext/>
              <w:spacing w:after="0" w:line="240" w:lineRule="auto"/>
            </w:pPr>
            <w:r/>
            <w:r>
              <w:rPr>
                <w:b w:val="0"/>
                <w:i w:val="0"/>
                <w:sz w:val="17"/>
              </w:rPr>
              <w:t>No loss of fit; simpler model</w:t>
            </w:r>
          </w:p>
        </w:tc>
      </w:tr>
      <w:tr>
        <w:trPr>
          <w:cantSplit/>
        </w:trPr>
        <w:tc>
          <w:tcPr>
            <w:tcW w:type="dxa" w:w="3024"/>
          </w:tcPr>
          <w:p>
            <w:pPr>
              <w:keepNext/>
              <w:spacing w:after="0" w:line="240" w:lineRule="auto"/>
            </w:pPr>
            <w:r/>
            <w:r>
              <w:rPr>
                <w:b w:val="0"/>
                <w:i w:val="0"/>
                <w:sz w:val="17"/>
              </w:rPr>
              <w:t>Added Endcap × Sales Rep</w:t>
            </w:r>
          </w:p>
        </w:tc>
        <w:tc>
          <w:tcPr>
            <w:tcW w:type="dxa" w:w="3744"/>
          </w:tcPr>
          <w:p>
            <w:pPr>
              <w:keepNext/>
              <w:spacing w:after="0" w:line="240" w:lineRule="auto"/>
            </w:pPr>
            <w:r/>
            <w:r>
              <w:rPr>
                <w:b w:val="0"/>
                <w:i w:val="0"/>
                <w:sz w:val="17"/>
              </w:rPr>
              <w:t>Partial F = 944–948, p &lt; 0.001; coefficient t = 30.8</w:t>
            </w:r>
          </w:p>
        </w:tc>
        <w:tc>
          <w:tcPr>
            <w:tcW w:type="dxa" w:w="2592"/>
          </w:tcPr>
          <w:p>
            <w:pPr>
              <w:keepNext/>
              <w:spacing w:after="0" w:line="240" w:lineRule="auto"/>
            </w:pPr>
            <w:r/>
            <w:r>
              <w:rPr>
                <w:b w:val="0"/>
                <w:i w:val="0"/>
                <w:sz w:val="17"/>
              </w:rPr>
              <w:t>R² 0.673 → 0.806; SE 63.7 → 49.0</w:t>
            </w:r>
          </w:p>
        </w:tc>
      </w:tr>
      <w:tr>
        <w:trPr>
          <w:cantSplit/>
        </w:trPr>
        <w:tc>
          <w:tcPr>
            <w:tcW w:type="dxa" w:w="3024"/>
          </w:tcPr>
          <w:p>
            <w:pPr>
              <w:keepNext/>
              <w:spacing w:after="0" w:line="240" w:lineRule="auto"/>
            </w:pPr>
            <w:r/>
            <w:r>
              <w:rPr>
                <w:b w:val="0"/>
                <w:i w:val="0"/>
                <w:sz w:val="17"/>
              </w:rPr>
              <w:t>Kept Endcap main effect</w:t>
            </w:r>
          </w:p>
        </w:tc>
        <w:tc>
          <w:tcPr>
            <w:tcW w:type="dxa" w:w="3744"/>
          </w:tcPr>
          <w:p>
            <w:pPr>
              <w:keepNext/>
              <w:spacing w:after="0" w:line="240" w:lineRule="auto"/>
            </w:pPr>
            <w:r/>
            <w:r>
              <w:rPr>
                <w:b w:val="0"/>
                <w:i w:val="0"/>
                <w:sz w:val="17"/>
              </w:rPr>
              <w:t>Dropping it: partial F = 0.003, p = 0.96</w:t>
            </w:r>
          </w:p>
        </w:tc>
        <w:tc>
          <w:tcPr>
            <w:tcW w:type="dxa" w:w="2592"/>
          </w:tcPr>
          <w:p>
            <w:pPr>
              <w:keepNext/>
              <w:spacing w:after="0" w:line="240" w:lineRule="auto"/>
            </w:pPr>
            <w:r/>
            <w:r>
              <w:rPr>
                <w:b w:val="0"/>
                <w:i w:val="0"/>
                <w:sz w:val="17"/>
              </w:rPr>
              <w:t>Hierarchy; interpretable; no cost</w:t>
            </w:r>
          </w:p>
        </w:tc>
      </w:tr>
      <w:tr>
        <w:trPr>
          <w:cantSplit/>
        </w:trPr>
        <w:tc>
          <w:tcPr>
            <w:tcW w:type="dxa" w:w="3024"/>
          </w:tcPr>
          <w:p>
            <w:pPr>
              <w:keepNext/>
              <w:spacing w:after="0" w:line="240" w:lineRule="auto"/>
            </w:pPr>
            <w:r/>
            <w:r>
              <w:rPr>
                <w:b w:val="0"/>
                <w:i w:val="0"/>
                <w:sz w:val="17"/>
              </w:rPr>
              <w:t>Tested other interactions</w:t>
            </w:r>
          </w:p>
        </w:tc>
        <w:tc>
          <w:tcPr>
            <w:tcW w:type="dxa" w:w="3744"/>
          </w:tcPr>
          <w:p>
            <w:pPr>
              <w:keepNext/>
              <w:spacing w:after="0" w:line="240" w:lineRule="auto"/>
            </w:pPr>
            <w:r/>
            <w:r>
              <w:rPr>
                <w:b w:val="0"/>
                <w:i w:val="0"/>
                <w:sz w:val="17"/>
              </w:rPr>
              <w:t>Six candidates, all p ≥ 0.23</w:t>
            </w:r>
          </w:p>
        </w:tc>
        <w:tc>
          <w:tcPr>
            <w:tcW w:type="dxa" w:w="2592"/>
          </w:tcPr>
          <w:p>
            <w:pPr>
              <w:keepNext/>
              <w:spacing w:after="0" w:line="240" w:lineRule="auto"/>
            </w:pPr>
            <w:r/>
            <w:r>
              <w:rPr>
                <w:b w:val="0"/>
                <w:i w:val="0"/>
                <w:sz w:val="17"/>
              </w:rPr>
              <w:t>None added</w:t>
            </w:r>
          </w:p>
        </w:tc>
      </w:tr>
      <w:tr>
        <w:trPr>
          <w:cantSplit/>
        </w:trPr>
        <w:tc>
          <w:tcPr>
            <w:tcW w:type="dxa" w:w="3024"/>
          </w:tcPr>
          <w:p>
            <w:pPr>
              <w:spacing w:after="0" w:line="240" w:lineRule="auto"/>
            </w:pPr>
            <w:r/>
            <w:r>
              <w:rPr>
                <w:b w:val="0"/>
                <w:i w:val="0"/>
                <w:sz w:val="17"/>
              </w:rPr>
              <w:t>Checked transformation</w:t>
            </w:r>
          </w:p>
        </w:tc>
        <w:tc>
          <w:tcPr>
            <w:tcW w:type="dxa" w:w="3744"/>
          </w:tcPr>
          <w:p>
            <w:pPr>
              <w:spacing w:after="0" w:line="240" w:lineRule="auto"/>
            </w:pPr>
            <w:r/>
            <w:r>
              <w:rPr>
                <w:b w:val="0"/>
                <w:i w:val="0"/>
                <w:sz w:val="17"/>
              </w:rPr>
              <w:t>Log model R² 0.61; no heteroscedasticity left to fix</w:t>
            </w:r>
          </w:p>
        </w:tc>
        <w:tc>
          <w:tcPr>
            <w:tcW w:type="dxa" w:w="2592"/>
          </w:tcPr>
          <w:p>
            <w:pPr>
              <w:spacing w:after="0" w:line="240" w:lineRule="auto"/>
            </w:pPr>
            <w:r/>
            <w:r>
              <w:rPr>
                <w:b w:val="0"/>
                <w:i w:val="0"/>
                <w:sz w:val="17"/>
              </w:rPr>
              <w:t>Not needed</w:t>
            </w:r>
          </w:p>
        </w:tc>
      </w:tr>
    </w:tbl>
    <w:p>
      <w:pPr>
        <w:spacing w:after="40"/>
      </w:pPr>
    </w:p>
    <w:p>
      <w:r>
        <w:rPr>
          <w:b/>
          <w:i w:val="0"/>
        </w:rPr>
        <w:t>Result.</w:t>
      </w:r>
      <w:r>
        <w:rPr>
          <w:b w:val="0"/>
          <w:i w:val="0"/>
        </w:rPr>
        <w:t xml:space="preserve"> The refined model removes the autocorrelation (DW 1.38 → 2.09), the heteroscedasticity and the non-normality, with the same variables significant and a more accurate story for endcaps. Robustness checks (Appendix B): adding region dummies, week dummies, or 125 store dummies leaves the demo coefficients (≈ 104–107, 72–73, 73–75) and the combined endcap effect (≈ 450–460) essentially unchanged. The one coefficient that moves is Sales Rep: it falls from 59 to about 39–40 once region or store effects are controlled, which means part of the “rep effect” is a regional/store-level difference. Standard errors clustered by store do not change any conclusion.</w:t>
      </w:r>
    </w:p>
    <w:p>
      <w:r>
        <w:rPr>
          <w:b/>
          <w:i w:val="0"/>
        </w:rPr>
        <w:t>Further suggestions.</w:t>
      </w:r>
      <w:r>
        <w:rPr>
          <w:b w:val="0"/>
          <w:i w:val="0"/>
        </w:rPr>
        <w:t xml:space="preserve"> (1) Collect cost, margin, store traffic and store-selection rules so that ROI and targeting can be modelled. (2) Estimate a store-level (fixed- or random-effects) model, which is beyond this course but would handle repeated measurement directly. (3) Add store sales history from before the program (a pre-period baseline) to measure lift against each store's own trend. (4) Extend the observation window to learn when the demo lift ends. (5) Run a randomised or staggered rollout of endcaps and demos.</w:t>
      </w:r>
    </w:p>
    <w:p>
      <w:pPr>
        <w:pStyle w:val="Heading1"/>
      </w:pPr>
      <w:r>
        <w:t>9. Managerial Implications and Recommendations (Question 6)</w:t>
      </w:r>
    </w:p>
    <w:p>
      <w:pPr>
        <w:keepNext/>
        <w:spacing w:after="40"/>
      </w:pPr>
      <w:r>
        <w:rPr>
          <w:b/>
          <w:i w:val="0"/>
          <w:sz w:val="19"/>
        </w:rPr>
        <w:t>Table 8. Recommendations linked to results</w:t>
      </w:r>
    </w:p>
    <w:tbl>
      <w:tblPr>
        <w:tblStyle w:val="TableGrid"/>
        <w:tblW w:type="auto" w:w="0"/>
        <w:jc w:val="center"/>
        <w:tblLayout w:type="fixed"/>
        <w:tblLook w:firstColumn="1" w:firstRow="1" w:lastColumn="0" w:lastRow="0" w:noHBand="0" w:noVBand="1" w:val="04A0"/>
      </w:tblPr>
      <w:tblGrid>
        <w:gridCol w:w="1560"/>
        <w:gridCol w:w="4680"/>
        <w:gridCol w:w="3120"/>
      </w:tblGrid>
      <w:tr>
        <w:trPr>
          <w:cantSplit/>
        </w:trPr>
        <w:tc>
          <w:tcPr>
            <w:tcW w:type="dxa" w:w="1560"/>
            <w:shd w:val="clear" w:color="auto" w:fill="1F4E79"/>
          </w:tcPr>
          <w:p>
            <w:pPr>
              <w:keepNext/>
              <w:spacing w:after="0" w:line="240" w:lineRule="auto"/>
              <w:jc w:val="center"/>
            </w:pPr>
            <w:r>
              <w:rPr>
                <w:color w:val="FFFFFF"/>
              </w:rPr>
            </w:r>
            <w:r>
              <w:rPr>
                <w:b/>
                <w:i w:val="0"/>
                <w:color w:val="FFFFFF"/>
                <w:sz w:val="17"/>
              </w:rPr>
              <w:t>Area</w:t>
            </w:r>
          </w:p>
        </w:tc>
        <w:tc>
          <w:tcPr>
            <w:tcW w:type="dxa" w:w="4680"/>
            <w:shd w:val="clear" w:color="auto" w:fill="1F4E79"/>
          </w:tcPr>
          <w:p>
            <w:pPr>
              <w:keepNext/>
              <w:spacing w:after="0" w:line="240" w:lineRule="auto"/>
              <w:jc w:val="center"/>
            </w:pPr>
            <w:r>
              <w:rPr>
                <w:color w:val="FFFFFF"/>
              </w:rPr>
            </w:r>
            <w:r>
              <w:rPr>
                <w:b/>
                <w:i w:val="0"/>
                <w:color w:val="FFFFFF"/>
                <w:sz w:val="17"/>
              </w:rPr>
              <w:t>Recommendation</w:t>
            </w:r>
          </w:p>
        </w:tc>
        <w:tc>
          <w:tcPr>
            <w:tcW w:type="dxa" w:w="3120"/>
            <w:shd w:val="clear" w:color="auto" w:fill="1F4E79"/>
          </w:tcPr>
          <w:p>
            <w:pPr>
              <w:keepNext/>
              <w:spacing w:after="0" w:line="240" w:lineRule="auto"/>
              <w:jc w:val="center"/>
            </w:pPr>
            <w:r>
              <w:rPr>
                <w:color w:val="FFFFFF"/>
              </w:rPr>
            </w:r>
            <w:r>
              <w:rPr>
                <w:b/>
                <w:i w:val="0"/>
                <w:color w:val="FFFFFF"/>
                <w:sz w:val="17"/>
              </w:rPr>
              <w:t>Statistical result it rests on</w:t>
            </w:r>
          </w:p>
        </w:tc>
      </w:tr>
      <w:tr>
        <w:trPr>
          <w:cantSplit/>
        </w:trPr>
        <w:tc>
          <w:tcPr>
            <w:tcW w:type="dxa" w:w="1560"/>
          </w:tcPr>
          <w:p>
            <w:pPr>
              <w:keepNext/>
              <w:spacing w:after="0" w:line="240" w:lineRule="auto"/>
            </w:pPr>
            <w:r/>
            <w:r>
              <w:rPr>
                <w:b w:val="0"/>
                <w:i w:val="0"/>
                <w:sz w:val="17"/>
              </w:rPr>
              <w:t>Demo strategy</w:t>
            </w:r>
          </w:p>
        </w:tc>
        <w:tc>
          <w:tcPr>
            <w:tcW w:type="dxa" w:w="4680"/>
          </w:tcPr>
          <w:p>
            <w:pPr>
              <w:keepNext/>
              <w:spacing w:after="0" w:line="240" w:lineRule="auto"/>
            </w:pPr>
            <w:r/>
            <w:r>
              <w:rPr>
                <w:b w:val="0"/>
                <w:i w:val="0"/>
                <w:sz w:val="17"/>
              </w:rPr>
              <w:t>Keep the demo program and do not judge it on same-week sales; the lift lasts at least 4–5 weeks. Decide scale by comparing ≈330 extra units per demo (4 weeks) with demo cost × margin.</w:t>
            </w:r>
          </w:p>
        </w:tc>
        <w:tc>
          <w:tcPr>
            <w:tcW w:type="dxa" w:w="3120"/>
          </w:tcPr>
          <w:p>
            <w:pPr>
              <w:keepNext/>
              <w:spacing w:after="0" w:line="240" w:lineRule="auto"/>
            </w:pPr>
            <w:r/>
            <w:r>
              <w:rPr>
                <w:b w:val="0"/>
                <w:i w:val="0"/>
                <w:sz w:val="17"/>
              </w:rPr>
              <w:t>Demo +107, Demo1-3 +73, Demo4-5 +75 (all p&lt;0.001); no decay (p=0.85)</w:t>
            </w:r>
          </w:p>
        </w:tc>
      </w:tr>
      <w:tr>
        <w:trPr>
          <w:cantSplit/>
        </w:trPr>
        <w:tc>
          <w:tcPr>
            <w:tcW w:type="dxa" w:w="1560"/>
          </w:tcPr>
          <w:p>
            <w:pPr>
              <w:keepNext/>
              <w:spacing w:after="0" w:line="240" w:lineRule="auto"/>
            </w:pPr>
            <w:r/>
            <w:r>
              <w:rPr>
                <w:b w:val="0"/>
                <w:i w:val="0"/>
                <w:sz w:val="17"/>
              </w:rPr>
              <w:t>Endcap strategy</w:t>
            </w:r>
          </w:p>
        </w:tc>
        <w:tc>
          <w:tcPr>
            <w:tcW w:type="dxa" w:w="4680"/>
          </w:tcPr>
          <w:p>
            <w:pPr>
              <w:keepNext/>
              <w:spacing w:after="0" w:line="240" w:lineRule="auto"/>
            </w:pPr>
            <w:r/>
            <w:r>
              <w:rPr>
                <w:b w:val="0"/>
                <w:i w:val="0"/>
                <w:sz w:val="17"/>
              </w:rPr>
              <w:t>Direct endcap effort and the rep competition to stores with regional rep coverage; do not expect endcaps alone to lift sales elsewhere. Pilot a handful of endcaps in rep-less stores before investing.</w:t>
            </w:r>
          </w:p>
        </w:tc>
        <w:tc>
          <w:tcPr>
            <w:tcW w:type="dxa" w:w="3120"/>
          </w:tcPr>
          <w:p>
            <w:pPr>
              <w:keepNext/>
              <w:spacing w:after="0" w:line="240" w:lineRule="auto"/>
            </w:pPr>
            <w:r/>
            <w:r>
              <w:rPr>
                <w:b w:val="0"/>
                <w:i w:val="0"/>
                <w:sz w:val="17"/>
              </w:rPr>
              <w:t>Endcap×Rep +454 (p&lt;0.001); Endcap without rep 0.6 (CI −23 to +24; n=17)</w:t>
            </w:r>
          </w:p>
        </w:tc>
      </w:tr>
      <w:tr>
        <w:trPr>
          <w:cantSplit/>
        </w:trPr>
        <w:tc>
          <w:tcPr>
            <w:tcW w:type="dxa" w:w="1560"/>
          </w:tcPr>
          <w:p>
            <w:pPr>
              <w:keepNext/>
              <w:spacing w:after="0" w:line="240" w:lineRule="auto"/>
            </w:pPr>
            <w:r/>
            <w:r>
              <w:rPr>
                <w:b w:val="0"/>
                <w:i w:val="0"/>
                <w:sz w:val="17"/>
              </w:rPr>
              <w:t>Sales Rep strategy</w:t>
            </w:r>
          </w:p>
        </w:tc>
        <w:tc>
          <w:tcPr>
            <w:tcW w:type="dxa" w:w="4680"/>
          </w:tcPr>
          <w:p>
            <w:pPr>
              <w:keepNext/>
              <w:spacing w:after="0" w:line="240" w:lineRule="auto"/>
            </w:pPr>
            <w:r/>
            <w:r>
              <w:rPr>
                <w:b w:val="0"/>
                <w:i w:val="0"/>
                <w:sz w:val="17"/>
              </w:rPr>
              <w:t>Protect regional coverage; it carries its own lift (≈ +59, or ≈ +39 net of regional differences) and is a precondition for endcaps.</w:t>
            </w:r>
          </w:p>
        </w:tc>
        <w:tc>
          <w:tcPr>
            <w:tcW w:type="dxa" w:w="3120"/>
          </w:tcPr>
          <w:p>
            <w:pPr>
              <w:keepNext/>
              <w:spacing w:after="0" w:line="240" w:lineRule="auto"/>
            </w:pPr>
            <w:r/>
            <w:r>
              <w:rPr>
                <w:b w:val="0"/>
                <w:i w:val="0"/>
                <w:sz w:val="17"/>
              </w:rPr>
              <w:t>Rep +59 (CI 54–65); +38–40 with region/store controls</w:t>
            </w:r>
          </w:p>
        </w:tc>
      </w:tr>
      <w:tr>
        <w:trPr>
          <w:cantSplit/>
        </w:trPr>
        <w:tc>
          <w:tcPr>
            <w:tcW w:type="dxa" w:w="1560"/>
          </w:tcPr>
          <w:p>
            <w:pPr>
              <w:keepNext/>
              <w:spacing w:after="0" w:line="240" w:lineRule="auto"/>
            </w:pPr>
            <w:r/>
            <w:r>
              <w:rPr>
                <w:b w:val="0"/>
                <w:i w:val="0"/>
                <w:sz w:val="17"/>
              </w:rPr>
              <w:t>Promotional targeting</w:t>
            </w:r>
          </w:p>
        </w:tc>
        <w:tc>
          <w:tcPr>
            <w:tcW w:type="dxa" w:w="4680"/>
          </w:tcPr>
          <w:p>
            <w:pPr>
              <w:keepNext/>
              <w:spacing w:after="0" w:line="240" w:lineRule="auto"/>
            </w:pPr>
            <w:r/>
            <w:r>
              <w:rPr>
                <w:b w:val="0"/>
                <w:i w:val="0"/>
                <w:sz w:val="17"/>
              </w:rPr>
              <w:t>Select demo and endcap stores by a documented rule, so the effect can be separated from store quality. Use the model to prioritise stores not yet promoted.</w:t>
            </w:r>
          </w:p>
        </w:tc>
        <w:tc>
          <w:tcPr>
            <w:tcW w:type="dxa" w:w="3120"/>
          </w:tcPr>
          <w:p>
            <w:pPr>
              <w:keepNext/>
              <w:spacing w:after="0" w:line="240" w:lineRule="auto"/>
            </w:pPr>
            <w:r/>
            <w:r>
              <w:rPr>
                <w:b w:val="0"/>
                <w:i w:val="0"/>
                <w:sz w:val="17"/>
              </w:rPr>
              <w:t>Cannot rule out targeting to strong stores (observational data)</w:t>
            </w:r>
          </w:p>
        </w:tc>
      </w:tr>
      <w:tr>
        <w:trPr>
          <w:cantSplit/>
        </w:trPr>
        <w:tc>
          <w:tcPr>
            <w:tcW w:type="dxa" w:w="1560"/>
          </w:tcPr>
          <w:p>
            <w:pPr>
              <w:keepNext/>
              <w:spacing w:after="0" w:line="240" w:lineRule="auto"/>
            </w:pPr>
            <w:r/>
            <w:r>
              <w:rPr>
                <w:b w:val="0"/>
                <w:i w:val="0"/>
                <w:sz w:val="17"/>
              </w:rPr>
              <w:t>Pricing</w:t>
            </w:r>
          </w:p>
        </w:tc>
        <w:tc>
          <w:tcPr>
            <w:tcW w:type="dxa" w:w="4680"/>
          </w:tcPr>
          <w:p>
            <w:pPr>
              <w:keepNext/>
              <w:spacing w:after="0" w:line="240" w:lineRule="auto"/>
            </w:pPr>
            <w:r/>
            <w:r>
              <w:rPr>
                <w:b w:val="0"/>
                <w:i w:val="0"/>
                <w:sz w:val="17"/>
              </w:rPr>
              <w:t>Avoid price rises as a side effect of promotion; each $1 is associated with ≈22 fewer units.</w:t>
            </w:r>
          </w:p>
        </w:tc>
        <w:tc>
          <w:tcPr>
            <w:tcW w:type="dxa" w:w="3120"/>
          </w:tcPr>
          <w:p>
            <w:pPr>
              <w:keepNext/>
              <w:spacing w:after="0" w:line="240" w:lineRule="auto"/>
            </w:pPr>
            <w:r/>
            <w:r>
              <w:rPr>
                <w:b w:val="0"/>
                <w:i w:val="0"/>
                <w:sz w:val="17"/>
              </w:rPr>
              <w:t>Price −22.1 (CI −28 to −16)</w:t>
            </w:r>
          </w:p>
        </w:tc>
      </w:tr>
      <w:tr>
        <w:trPr>
          <w:cantSplit/>
        </w:trPr>
        <w:tc>
          <w:tcPr>
            <w:tcW w:type="dxa" w:w="1560"/>
          </w:tcPr>
          <w:p>
            <w:pPr>
              <w:keepNext/>
              <w:spacing w:after="0" w:line="240" w:lineRule="auto"/>
            </w:pPr>
            <w:r/>
            <w:r>
              <w:rPr>
                <w:b w:val="0"/>
                <w:i w:val="0"/>
                <w:sz w:val="17"/>
              </w:rPr>
              <w:t>Data collection</w:t>
            </w:r>
          </w:p>
        </w:tc>
        <w:tc>
          <w:tcPr>
            <w:tcW w:type="dxa" w:w="4680"/>
          </w:tcPr>
          <w:p>
            <w:pPr>
              <w:keepNext/>
              <w:spacing w:after="0" w:line="240" w:lineRule="auto"/>
            </w:pPr>
            <w:r/>
            <w:r>
              <w:rPr>
                <w:b w:val="0"/>
                <w:i w:val="0"/>
                <w:sz w:val="17"/>
              </w:rPr>
              <w:t>Record demo and endcap costs, unit margin and store traffic; extend the window beyond 11 weeks.</w:t>
            </w:r>
          </w:p>
        </w:tc>
        <w:tc>
          <w:tcPr>
            <w:tcW w:type="dxa" w:w="3120"/>
          </w:tcPr>
          <w:p>
            <w:pPr>
              <w:keepNext/>
              <w:spacing w:after="0" w:line="240" w:lineRule="auto"/>
            </w:pPr>
            <w:r/>
            <w:r>
              <w:rPr>
                <w:b w:val="0"/>
                <w:i w:val="0"/>
                <w:sz w:val="17"/>
              </w:rPr>
              <w:t>ROI cannot be computed from the supplied data</w:t>
            </w:r>
          </w:p>
        </w:tc>
      </w:tr>
      <w:tr>
        <w:trPr>
          <w:cantSplit/>
        </w:trPr>
        <w:tc>
          <w:tcPr>
            <w:tcW w:type="dxa" w:w="1560"/>
          </w:tcPr>
          <w:p>
            <w:pPr>
              <w:spacing w:after="0" w:line="240" w:lineRule="auto"/>
            </w:pPr>
            <w:r/>
            <w:r>
              <w:rPr>
                <w:b w:val="0"/>
                <w:i w:val="0"/>
                <w:sz w:val="17"/>
              </w:rPr>
              <w:t>Future testing</w:t>
            </w:r>
          </w:p>
        </w:tc>
        <w:tc>
          <w:tcPr>
            <w:tcW w:type="dxa" w:w="4680"/>
          </w:tcPr>
          <w:p>
            <w:pPr>
              <w:spacing w:after="0" w:line="240" w:lineRule="auto"/>
            </w:pPr>
            <w:r/>
            <w:r>
              <w:rPr>
                <w:b w:val="0"/>
                <w:i w:val="0"/>
                <w:sz w:val="17"/>
              </w:rPr>
              <w:t>Randomise demos (timing/stores) and endcaps (with vs without rep) to confirm causality.</w:t>
            </w:r>
          </w:p>
        </w:tc>
        <w:tc>
          <w:tcPr>
            <w:tcW w:type="dxa" w:w="3120"/>
          </w:tcPr>
          <w:p>
            <w:pPr>
              <w:spacing w:after="0" w:line="240" w:lineRule="auto"/>
            </w:pPr>
            <w:r/>
            <w:r>
              <w:rPr>
                <w:b w:val="0"/>
                <w:i w:val="0"/>
                <w:sz w:val="17"/>
              </w:rPr>
              <w:t>Section 10 limitations</w:t>
            </w:r>
          </w:p>
        </w:tc>
      </w:tr>
    </w:tbl>
    <w:p>
      <w:pPr>
        <w:spacing w:after="40"/>
      </w:pPr>
    </w:p>
    <w:p>
      <w:r>
        <w:rPr>
          <w:b w:val="0"/>
          <w:i w:val="0"/>
        </w:rPr>
        <w:t>We make no recommendation to spend more or less in absolute terms: the data contain units sold but no costs, margins or revenues, so a return on investment cannot be calculated, and we do not invent one.</w:t>
      </w:r>
    </w:p>
    <w:p>
      <w:pPr>
        <w:pStyle w:val="Heading1"/>
      </w:pPr>
      <w:r>
        <w:t>10. Limitations</w:t>
      </w:r>
    </w:p>
    <w:p>
      <w:pPr>
        <w:pStyle w:val="ListBullet"/>
        <w:spacing w:after="40"/>
      </w:pPr>
      <w:r>
        <w:rPr>
          <w:b/>
          <w:i w:val="0"/>
        </w:rPr>
        <w:t>Observational data.</w:t>
      </w:r>
      <w:r>
        <w:rPr>
          <w:b w:val="0"/>
          <w:i w:val="0"/>
        </w:rPr>
        <w:t xml:space="preserve"> The coefficients are conditional associations, not proven causal effects. Management chose where to run demos and endcaps (initially stores with enough foot traffic; endcaps by competing reps), so promoted stores may have had higher sales potential. Store, week and region dummies reduce but cannot eliminate this concern; foot traffic, store quality, management and local demographics are not observed.</w:t>
      </w:r>
    </w:p>
    <w:p>
      <w:pPr>
        <w:pStyle w:val="ListBullet"/>
        <w:spacing w:after="40"/>
      </w:pPr>
      <w:r>
        <w:rPr>
          <w:b/>
          <w:i w:val="0"/>
        </w:rPr>
        <w:t>Repeated observations and store heterogeneity.</w:t>
      </w:r>
      <w:r>
        <w:rPr>
          <w:b w:val="0"/>
          <w:i w:val="0"/>
        </w:rPr>
        <w:t xml:space="preserve"> 126 stores appear 11 times. The Durbin-Watson test cannot detect store-level clustering; clustered standard errors do not change conclusions, but a store-level model would be better.</w:t>
      </w:r>
    </w:p>
    <w:p>
      <w:pPr>
        <w:pStyle w:val="ListBullet"/>
        <w:spacing w:after="40"/>
      </w:pPr>
      <w:r>
        <w:rPr>
          <w:b/>
          <w:i w:val="0"/>
        </w:rPr>
        <w:t>Short window and demo duration.</w:t>
      </w:r>
      <w:r>
        <w:rPr>
          <w:b w:val="0"/>
          <w:i w:val="0"/>
        </w:rPr>
        <w:t xml:space="preserve"> 11 weeks; “Demo4-5” means at least 4–5 weeks. We cannot say how long the lift lasts beyond that, and Demo/Demo1-3/Demo4-5 overlap for a few observations (17 stores-weeks have both Demo and Demo1-3).</w:t>
      </w:r>
    </w:p>
    <w:p>
      <w:pPr>
        <w:pStyle w:val="ListBullet"/>
        <w:spacing w:after="40"/>
      </w:pPr>
      <w:r>
        <w:rPr>
          <w:b/>
          <w:i w:val="0"/>
        </w:rPr>
        <w:t>Thin cells.</w:t>
      </w:r>
      <w:r>
        <w:rPr>
          <w:b w:val="0"/>
          <w:i w:val="0"/>
        </w:rPr>
        <w:t xml:space="preserve"> Only 17 endcap observations lack a regional rep and only 36 combine endcap and rep, so the endcap findings rely on small groups. The high leverage of those 36 points is structural.</w:t>
      </w:r>
    </w:p>
    <w:p>
      <w:pPr>
        <w:pStyle w:val="ListBullet"/>
        <w:spacing w:after="40"/>
      </w:pPr>
      <w:r>
        <w:rPr>
          <w:b/>
          <w:i w:val="0"/>
        </w:rPr>
        <w:t>No cost or margin information</w:t>
      </w:r>
      <w:r>
        <w:rPr>
          <w:b w:val="0"/>
          <w:i w:val="0"/>
        </w:rPr>
        <w:t xml:space="preserve">, so ROI cannot be calculated. </w:t>
      </w:r>
      <w:r>
        <w:rPr>
          <w:b/>
          <w:i w:val="0"/>
        </w:rPr>
        <w:t>Case data disclosed:</w:t>
      </w:r>
      <w:r>
        <w:rPr>
          <w:b w:val="0"/>
          <w:i w:val="0"/>
        </w:rPr>
        <w:t xml:space="preserve"> the dataset has 11 weeks (case says 10); Sales Rep changes within 10 stores; the case describes the demo program as starting in November 2009, while the data cover May–July 2010. The disguised units do not affect the relative conclusions.</w:t>
      </w:r>
    </w:p>
    <w:p>
      <w:pPr>
        <w:pStyle w:val="ListBullet"/>
        <w:spacing w:after="40"/>
      </w:pPr>
      <w:r>
        <w:rPr>
          <w:b/>
          <w:i w:val="0"/>
        </w:rPr>
        <w:t>Software.</w:t>
      </w:r>
      <w:r>
        <w:rPr>
          <w:b w:val="0"/>
          <w:i w:val="0"/>
        </w:rPr>
        <w:t xml:space="preserve"> JASP was not available, so JASP results are not reported. The Excel workbook was reconciled to an independent Python (statsmodels) fit.</w:t>
      </w:r>
    </w:p>
    <w:p>
      <w:pPr>
        <w:pStyle w:val="Heading1"/>
      </w:pPr>
      <w:r>
        <w:t>11. Conclusion</w:t>
      </w:r>
    </w:p>
    <w:p>
      <w:r>
        <w:rPr>
          <w:b w:val="0"/>
          <w:i w:val="0"/>
        </w:rPr>
        <w:t>On the statistical evidence, GoodBelly's marketing programs are worth keeping, with a sharper focus. The demo program is associated with a sizeable lift (+107 units in the demo week, about +73–75 per week for at least five weeks after), with no sign that sales revert to normal soon, and the endcap is associated with a dramatic lift (≈ +454 units per store-week) only in stores that also have a regional sales rep. Management should therefore protect the demo budget while it works out cost per incremental unit, concentrate endcap effort on rep-covered stores, and start recording costs, margins and store-selection rules and running small randomised pilots so that the observed associations can be confirmed as causal returns before any budget is increased.</w:t>
      </w:r>
    </w:p>
    <w:p>
      <w:pPr>
        <w:pStyle w:val="Heading2"/>
      </w:pPr>
      <w:r>
        <w:t>Summary of required questions</w:t>
      </w:r>
    </w:p>
    <w:tbl>
      <w:tblPr>
        <w:tblStyle w:val="TableGrid"/>
        <w:tblW w:type="auto" w:w="0"/>
        <w:jc w:val="center"/>
        <w:tblLayout w:type="fixed"/>
        <w:tblLook w:firstColumn="1" w:firstRow="1" w:lastColumn="0" w:lastRow="0" w:noHBand="0" w:noVBand="1" w:val="04A0"/>
      </w:tblPr>
      <w:tblGrid>
        <w:gridCol w:w="2553"/>
        <w:gridCol w:w="6807"/>
      </w:tblGrid>
      <w:tr>
        <w:trPr>
          <w:cantSplit/>
        </w:trPr>
        <w:tc>
          <w:tcPr>
            <w:tcW w:type="dxa" w:w="2553"/>
            <w:shd w:val="clear" w:color="auto" w:fill="1F4E79"/>
          </w:tcPr>
          <w:p>
            <w:pPr>
              <w:keepNext/>
              <w:spacing w:after="0" w:line="240" w:lineRule="auto"/>
              <w:jc w:val="center"/>
            </w:pPr>
            <w:r>
              <w:rPr>
                <w:color w:val="FFFFFF"/>
              </w:rPr>
            </w:r>
            <w:r>
              <w:rPr>
                <w:b/>
                <w:i w:val="0"/>
                <w:color w:val="FFFFFF"/>
                <w:sz w:val="17"/>
              </w:rPr>
              <w:t>Required question</w:t>
            </w:r>
          </w:p>
        </w:tc>
        <w:tc>
          <w:tcPr>
            <w:tcW w:type="dxa" w:w="6807"/>
            <w:shd w:val="clear" w:color="auto" w:fill="1F4E79"/>
          </w:tcPr>
          <w:p>
            <w:pPr>
              <w:keepNext/>
              <w:spacing w:after="0" w:line="240" w:lineRule="auto"/>
              <w:jc w:val="center"/>
            </w:pPr>
            <w:r>
              <w:rPr>
                <w:color w:val="FFFFFF"/>
              </w:rPr>
            </w:r>
            <w:r>
              <w:rPr>
                <w:b/>
                <w:i w:val="0"/>
                <w:color w:val="FFFFFF"/>
                <w:sz w:val="17"/>
              </w:rPr>
              <w:t>Final answer</w:t>
            </w:r>
          </w:p>
        </w:tc>
      </w:tr>
      <w:tr>
        <w:trPr>
          <w:cantSplit/>
        </w:trPr>
        <w:tc>
          <w:tcPr>
            <w:tcW w:type="dxa" w:w="2553"/>
          </w:tcPr>
          <w:p>
            <w:pPr>
              <w:keepNext/>
              <w:spacing w:after="0" w:line="240" w:lineRule="auto"/>
            </w:pPr>
            <w:r/>
            <w:r>
              <w:rPr>
                <w:b w:val="0"/>
                <w:i w:val="0"/>
                <w:sz w:val="17"/>
              </w:rPr>
              <w:t>Q1 Build a model; what is observed?</w:t>
            </w:r>
          </w:p>
        </w:tc>
        <w:tc>
          <w:tcPr>
            <w:tcW w:type="dxa" w:w="6807"/>
          </w:tcPr>
          <w:p>
            <w:pPr>
              <w:keepNext/>
              <w:spacing w:after="0" w:line="240" w:lineRule="auto"/>
            </w:pPr>
            <w:r/>
            <w:r>
              <w:rPr>
                <w:b w:val="0"/>
                <w:i w:val="0"/>
                <w:sz w:val="17"/>
              </w:rPr>
              <w:t>Final model: R² 0.806, adj. R² 0.805, SE 49 units. Price (−22/$), Sales Rep (+59), Demo (+107), Demo1-3 (+73) and Demo4-5 (+75) are significant; Natural Retailers and Fitness Centers are not; Endcap acts only through Endcap × Sales Rep (+454).</w:t>
            </w:r>
          </w:p>
        </w:tc>
      </w:tr>
      <w:tr>
        <w:trPr>
          <w:cantSplit/>
        </w:trPr>
        <w:tc>
          <w:tcPr>
            <w:tcW w:type="dxa" w:w="2553"/>
          </w:tcPr>
          <w:p>
            <w:pPr>
              <w:keepNext/>
              <w:spacing w:after="0" w:line="240" w:lineRule="auto"/>
            </w:pPr>
            <w:r/>
            <w:r>
              <w:rPr>
                <w:b w:val="0"/>
                <w:i w:val="0"/>
                <w:sz w:val="17"/>
              </w:rPr>
              <w:t>Q2 Assumptions satisfied?</w:t>
            </w:r>
          </w:p>
        </w:tc>
        <w:tc>
          <w:tcPr>
            <w:tcW w:type="dxa" w:w="6807"/>
          </w:tcPr>
          <w:p>
            <w:pPr>
              <w:keepNext/>
              <w:spacing w:after="0" w:line="240" w:lineRule="auto"/>
            </w:pPr>
            <w:r/>
            <w:r>
              <w:rPr>
                <w:b w:val="0"/>
                <w:i w:val="0"/>
                <w:sz w:val="17"/>
              </w:rPr>
              <w:t>Yes for the final model: no pattern in residual plot, BP p=0.07, normal residuals, DW 2.09, VIF ≤ 3.2, no influential points (max Cook 0.023). Model 1 failed DW and constant variance. Additional checks: store effects, clustered SEs, week/region dummies, experiment.</w:t>
            </w:r>
          </w:p>
        </w:tc>
      </w:tr>
      <w:tr>
        <w:trPr>
          <w:cantSplit/>
        </w:trPr>
        <w:tc>
          <w:tcPr>
            <w:tcW w:type="dxa" w:w="2553"/>
          </w:tcPr>
          <w:p>
            <w:pPr>
              <w:keepNext/>
              <w:spacing w:after="0" w:line="240" w:lineRule="auto"/>
            </w:pPr>
            <w:r/>
            <w:r>
              <w:rPr>
                <w:b w:val="0"/>
                <w:i w:val="0"/>
                <w:sz w:val="17"/>
              </w:rPr>
              <w:t>Q3 Demo effect and duration?</w:t>
            </w:r>
          </w:p>
        </w:tc>
        <w:tc>
          <w:tcPr>
            <w:tcW w:type="dxa" w:w="6807"/>
          </w:tcPr>
          <w:p>
            <w:pPr>
              <w:keepNext/>
              <w:spacing w:after="0" w:line="240" w:lineRule="auto"/>
            </w:pPr>
            <w:r/>
            <w:r>
              <w:rPr>
                <w:b w:val="0"/>
                <w:i w:val="0"/>
                <w:sz w:val="17"/>
              </w:rPr>
              <w:t>Yes: +107 (week), +73 (1–3 wks), +75 (4–5+ wks); all p&lt;0.001; no decay between 1–3 and 4–5 wks (p=0.85). Lift lasts at least 4–5 weeks; the window cannot show the end.</w:t>
            </w:r>
          </w:p>
        </w:tc>
      </w:tr>
      <w:tr>
        <w:trPr>
          <w:cantSplit/>
        </w:trPr>
        <w:tc>
          <w:tcPr>
            <w:tcW w:type="dxa" w:w="2553"/>
          </w:tcPr>
          <w:p>
            <w:pPr>
              <w:keepNext/>
              <w:spacing w:after="0" w:line="240" w:lineRule="auto"/>
            </w:pPr>
            <w:r/>
            <w:r>
              <w:rPr>
                <w:b w:val="0"/>
                <w:i w:val="0"/>
                <w:sz w:val="17"/>
              </w:rPr>
              <w:t>Q4 Does placement matter?</w:t>
            </w:r>
          </w:p>
        </w:tc>
        <w:tc>
          <w:tcPr>
            <w:tcW w:type="dxa" w:w="6807"/>
          </w:tcPr>
          <w:p>
            <w:pPr>
              <w:keepNext/>
              <w:spacing w:after="0" w:line="240" w:lineRule="auto"/>
            </w:pPr>
            <w:r/>
            <w:r>
              <w:rPr>
                <w:b w:val="0"/>
                <w:i w:val="0"/>
                <w:sz w:val="17"/>
              </w:rPr>
              <w:t>Yes, conditionally: +454 units/store-week with a regional rep (CI 438–471); no detectable effect without one (+0.6, CI −23 to +24; 17 obs).</w:t>
            </w:r>
          </w:p>
        </w:tc>
      </w:tr>
      <w:tr>
        <w:trPr>
          <w:cantSplit/>
        </w:trPr>
        <w:tc>
          <w:tcPr>
            <w:tcW w:type="dxa" w:w="2553"/>
          </w:tcPr>
          <w:p>
            <w:pPr>
              <w:keepNext/>
              <w:spacing w:after="0" w:line="240" w:lineRule="auto"/>
            </w:pPr>
            <w:r/>
            <w:r>
              <w:rPr>
                <w:b w:val="0"/>
                <w:i w:val="0"/>
                <w:sz w:val="17"/>
              </w:rPr>
              <w:t>Q5 Improve the model?</w:t>
            </w:r>
          </w:p>
        </w:tc>
        <w:tc>
          <w:tcPr>
            <w:tcW w:type="dxa" w:w="6807"/>
          </w:tcPr>
          <w:p>
            <w:pPr>
              <w:keepNext/>
              <w:spacing w:after="0" w:line="240" w:lineRule="auto"/>
            </w:pPr>
            <w:r/>
            <w:r>
              <w:rPr>
                <w:b w:val="0"/>
                <w:i w:val="0"/>
                <w:sz w:val="17"/>
              </w:rPr>
              <w:t>Added Endcap × Rep and dropped Natural/Fitness (DW 1.38→2.09; R² 0.67→0.81). Next: store-level model, cost/margin data, pre-period baseline, longer window, randomised tests.</w:t>
            </w:r>
          </w:p>
        </w:tc>
      </w:tr>
      <w:tr>
        <w:trPr>
          <w:cantSplit/>
        </w:trPr>
        <w:tc>
          <w:tcPr>
            <w:tcW w:type="dxa" w:w="2553"/>
          </w:tcPr>
          <w:p>
            <w:pPr>
              <w:spacing w:after="0" w:line="240" w:lineRule="auto"/>
            </w:pPr>
            <w:r/>
            <w:r>
              <w:rPr>
                <w:b w:val="0"/>
                <w:i w:val="0"/>
                <w:sz w:val="17"/>
              </w:rPr>
              <w:t>Q6 Recommendations?</w:t>
            </w:r>
          </w:p>
        </w:tc>
        <w:tc>
          <w:tcPr>
            <w:tcW w:type="dxa" w:w="6807"/>
          </w:tcPr>
          <w:p>
            <w:pPr>
              <w:spacing w:after="0" w:line="240" w:lineRule="auto"/>
            </w:pPr>
            <w:r/>
            <w:r>
              <w:rPr>
                <w:b w:val="0"/>
                <w:i w:val="0"/>
                <w:sz w:val="17"/>
              </w:rPr>
              <w:t>Keep demos; focus endcaps on rep-covered stores; protect rep coverage; document targeting; collect cost/margin data; pilot randomised tests. ROI cannot be computed from the data.</w:t>
            </w:r>
          </w:p>
        </w:tc>
      </w:tr>
    </w:tbl>
    <w:p>
      <w:pPr>
        <w:spacing w:after="40"/>
      </w:pPr>
    </w:p>
    <w:p>
      <w:r>
        <w:br w:type="page"/>
      </w:r>
    </w:p>
    <w:p>
      <w:pPr>
        <w:pStyle w:val="Heading1"/>
      </w:pPr>
      <w:r>
        <w:t>Appendix: Supplementary Material</w:t>
      </w:r>
    </w:p>
    <w:p>
      <w:pPr>
        <w:pStyle w:val="Heading2"/>
      </w:pPr>
      <w:r>
        <w:t>A. Model 1 (full MLR) coefficients and stepwise log</w:t>
      </w:r>
    </w:p>
    <w:p>
      <w:pPr>
        <w:keepNext/>
        <w:spacing w:after="40"/>
      </w:pPr>
      <w:r>
        <w:rPr>
          <w:b/>
          <w:i w:val="0"/>
          <w:sz w:val="19"/>
        </w:rPr>
        <w:t>Table A1. Model 1: R² 0.6726, adj R² 0.6707, SE 63.69, F 353.7, DW 1.379</w:t>
      </w:r>
    </w:p>
    <w:tbl>
      <w:tblPr>
        <w:tblStyle w:val="TableGrid"/>
        <w:tblW w:type="auto" w:w="0"/>
        <w:jc w:val="center"/>
        <w:tblLayout w:type="fixed"/>
        <w:tblLook w:firstColumn="1" w:firstRow="1" w:lastColumn="0" w:lastRow="0" w:noHBand="0" w:noVBand="1" w:val="04A0"/>
      </w:tblPr>
      <w:tblGrid>
        <w:gridCol w:w="2592"/>
        <w:gridCol w:w="1440"/>
        <w:gridCol w:w="1440"/>
        <w:gridCol w:w="1152"/>
        <w:gridCol w:w="1296"/>
      </w:tblGrid>
      <w:tr>
        <w:trPr>
          <w:cantSplit/>
        </w:trPr>
        <w:tc>
          <w:tcPr>
            <w:tcW w:type="dxa" w:w="2592"/>
            <w:shd w:val="clear" w:color="auto" w:fill="1F4E79"/>
          </w:tcPr>
          <w:p>
            <w:pPr>
              <w:keepNext/>
              <w:spacing w:after="0" w:line="240" w:lineRule="auto"/>
              <w:jc w:val="center"/>
            </w:pPr>
            <w:r>
              <w:rPr>
                <w:color w:val="FFFFFF"/>
              </w:rPr>
            </w:r>
            <w:r>
              <w:rPr>
                <w:b/>
                <w:i w:val="0"/>
                <w:color w:val="FFFFFF"/>
                <w:sz w:val="17"/>
              </w:rPr>
              <w:t>Variable</w:t>
            </w:r>
          </w:p>
        </w:tc>
        <w:tc>
          <w:tcPr>
            <w:tcW w:type="dxa" w:w="1440"/>
            <w:shd w:val="clear" w:color="auto" w:fill="1F4E79"/>
          </w:tcPr>
          <w:p>
            <w:pPr>
              <w:keepNext/>
              <w:spacing w:after="0" w:line="240" w:lineRule="auto"/>
              <w:jc w:val="center"/>
            </w:pPr>
            <w:r>
              <w:rPr>
                <w:color w:val="FFFFFF"/>
              </w:rPr>
            </w:r>
            <w:r>
              <w:rPr>
                <w:b/>
                <w:i w:val="0"/>
                <w:color w:val="FFFFFF"/>
                <w:sz w:val="17"/>
              </w:rPr>
              <w:t>Coef</w:t>
            </w:r>
          </w:p>
        </w:tc>
        <w:tc>
          <w:tcPr>
            <w:tcW w:type="dxa" w:w="1440"/>
            <w:shd w:val="clear" w:color="auto" w:fill="1F4E79"/>
          </w:tcPr>
          <w:p>
            <w:pPr>
              <w:keepNext/>
              <w:spacing w:after="0" w:line="240" w:lineRule="auto"/>
              <w:jc w:val="center"/>
            </w:pPr>
            <w:r>
              <w:rPr>
                <w:color w:val="FFFFFF"/>
              </w:rPr>
            </w:r>
            <w:r>
              <w:rPr>
                <w:b/>
                <w:i w:val="0"/>
                <w:color w:val="FFFFFF"/>
                <w:sz w:val="17"/>
              </w:rPr>
              <w:t>SE</w:t>
            </w:r>
          </w:p>
        </w:tc>
        <w:tc>
          <w:tcPr>
            <w:tcW w:type="dxa" w:w="1152"/>
            <w:shd w:val="clear" w:color="auto" w:fill="1F4E79"/>
          </w:tcPr>
          <w:p>
            <w:pPr>
              <w:keepNext/>
              <w:spacing w:after="0" w:line="240" w:lineRule="auto"/>
              <w:jc w:val="center"/>
            </w:pPr>
            <w:r>
              <w:rPr>
                <w:color w:val="FFFFFF"/>
              </w:rPr>
            </w:r>
            <w:r>
              <w:rPr>
                <w:b/>
                <w:i w:val="0"/>
                <w:color w:val="FFFFFF"/>
                <w:sz w:val="17"/>
              </w:rPr>
              <w:t>t</w:t>
            </w:r>
          </w:p>
        </w:tc>
        <w:tc>
          <w:tcPr>
            <w:tcW w:type="dxa" w:w="1296"/>
            <w:shd w:val="clear" w:color="auto" w:fill="1F4E79"/>
          </w:tcPr>
          <w:p>
            <w:pPr>
              <w:keepNext/>
              <w:spacing w:after="0" w:line="240" w:lineRule="auto"/>
              <w:jc w:val="center"/>
            </w:pPr>
            <w:r>
              <w:rPr>
                <w:color w:val="FFFFFF"/>
              </w:rPr>
            </w:r>
            <w:r>
              <w:rPr>
                <w:b/>
                <w:i w:val="0"/>
                <w:color w:val="FFFFFF"/>
                <w:sz w:val="17"/>
              </w:rPr>
              <w:t>p-value</w:t>
            </w:r>
          </w:p>
        </w:tc>
      </w:tr>
      <w:tr>
        <w:trPr>
          <w:cantSplit/>
        </w:trPr>
        <w:tc>
          <w:tcPr>
            <w:tcW w:type="dxa" w:w="2592"/>
          </w:tcPr>
          <w:p>
            <w:pPr>
              <w:keepNext/>
              <w:spacing w:after="0" w:line="240" w:lineRule="auto"/>
            </w:pPr>
            <w:r/>
            <w:r>
              <w:rPr>
                <w:b w:val="0"/>
                <w:i w:val="0"/>
                <w:sz w:val="17"/>
              </w:rPr>
              <w:t>Intercept</w:t>
            </w:r>
          </w:p>
        </w:tc>
        <w:tc>
          <w:tcPr>
            <w:tcW w:type="dxa" w:w="1440"/>
          </w:tcPr>
          <w:p>
            <w:pPr>
              <w:keepNext/>
              <w:spacing w:after="0" w:line="240" w:lineRule="auto"/>
              <w:jc w:val="right"/>
            </w:pPr>
            <w:r/>
            <w:r>
              <w:rPr>
                <w:b w:val="0"/>
                <w:i w:val="0"/>
                <w:sz w:val="17"/>
              </w:rPr>
              <w:t>298.488</w:t>
            </w:r>
          </w:p>
        </w:tc>
        <w:tc>
          <w:tcPr>
            <w:tcW w:type="dxa" w:w="1440"/>
          </w:tcPr>
          <w:p>
            <w:pPr>
              <w:keepNext/>
              <w:spacing w:after="0" w:line="240" w:lineRule="auto"/>
              <w:jc w:val="right"/>
            </w:pPr>
            <w:r/>
            <w:r>
              <w:rPr>
                <w:b w:val="0"/>
                <w:i w:val="0"/>
                <w:sz w:val="17"/>
              </w:rPr>
              <w:t>16.183</w:t>
            </w:r>
          </w:p>
        </w:tc>
        <w:tc>
          <w:tcPr>
            <w:tcW w:type="dxa" w:w="1152"/>
          </w:tcPr>
          <w:p>
            <w:pPr>
              <w:keepNext/>
              <w:spacing w:after="0" w:line="240" w:lineRule="auto"/>
              <w:jc w:val="right"/>
            </w:pPr>
            <w:r/>
            <w:r>
              <w:rPr>
                <w:b w:val="0"/>
                <w:i w:val="0"/>
                <w:sz w:val="17"/>
              </w:rPr>
              <w:t>18.44</w:t>
            </w:r>
          </w:p>
        </w:tc>
        <w:tc>
          <w:tcPr>
            <w:tcW w:type="dxa" w:w="1296"/>
          </w:tcPr>
          <w:p>
            <w:pPr>
              <w:keepNext/>
              <w:spacing w:after="0" w:line="240" w:lineRule="auto"/>
              <w:jc w:val="right"/>
            </w:pPr>
            <w:r/>
            <w:r>
              <w:rPr>
                <w:b w:val="0"/>
                <w:i w:val="0"/>
                <w:sz w:val="17"/>
              </w:rPr>
              <w:t>&lt;0.001</w:t>
            </w:r>
          </w:p>
        </w:tc>
      </w:tr>
      <w:tr>
        <w:trPr>
          <w:cantSplit/>
        </w:trPr>
        <w:tc>
          <w:tcPr>
            <w:tcW w:type="dxa" w:w="2592"/>
          </w:tcPr>
          <w:p>
            <w:pPr>
              <w:keepNext/>
              <w:spacing w:after="0" w:line="240" w:lineRule="auto"/>
            </w:pPr>
            <w:r/>
            <w:r>
              <w:rPr>
                <w:b w:val="0"/>
                <w:i w:val="0"/>
                <w:sz w:val="17"/>
              </w:rPr>
              <w:t>Price</w:t>
            </w:r>
          </w:p>
        </w:tc>
        <w:tc>
          <w:tcPr>
            <w:tcW w:type="dxa" w:w="1440"/>
          </w:tcPr>
          <w:p>
            <w:pPr>
              <w:keepNext/>
              <w:spacing w:after="0" w:line="240" w:lineRule="auto"/>
              <w:jc w:val="right"/>
            </w:pPr>
            <w:r/>
            <w:r>
              <w:rPr>
                <w:b w:val="0"/>
                <w:i w:val="0"/>
                <w:sz w:val="17"/>
              </w:rPr>
              <w:t>-28.535</w:t>
            </w:r>
          </w:p>
        </w:tc>
        <w:tc>
          <w:tcPr>
            <w:tcW w:type="dxa" w:w="1440"/>
          </w:tcPr>
          <w:p>
            <w:pPr>
              <w:keepNext/>
              <w:spacing w:after="0" w:line="240" w:lineRule="auto"/>
              <w:jc w:val="right"/>
            </w:pPr>
            <w:r/>
            <w:r>
              <w:rPr>
                <w:b w:val="0"/>
                <w:i w:val="0"/>
                <w:sz w:val="17"/>
              </w:rPr>
              <w:t>3.952</w:t>
            </w:r>
          </w:p>
        </w:tc>
        <w:tc>
          <w:tcPr>
            <w:tcW w:type="dxa" w:w="1152"/>
          </w:tcPr>
          <w:p>
            <w:pPr>
              <w:keepNext/>
              <w:spacing w:after="0" w:line="240" w:lineRule="auto"/>
              <w:jc w:val="right"/>
            </w:pPr>
            <w:r/>
            <w:r>
              <w:rPr>
                <w:b w:val="0"/>
                <w:i w:val="0"/>
                <w:sz w:val="17"/>
              </w:rPr>
              <w:t>-7.22</w:t>
            </w:r>
          </w:p>
        </w:tc>
        <w:tc>
          <w:tcPr>
            <w:tcW w:type="dxa" w:w="1296"/>
          </w:tcPr>
          <w:p>
            <w:pPr>
              <w:keepNext/>
              <w:spacing w:after="0" w:line="240" w:lineRule="auto"/>
              <w:jc w:val="right"/>
            </w:pPr>
            <w:r/>
            <w:r>
              <w:rPr>
                <w:b w:val="0"/>
                <w:i w:val="0"/>
                <w:sz w:val="17"/>
              </w:rPr>
              <w:t>&lt;0.001</w:t>
            </w:r>
          </w:p>
        </w:tc>
      </w:tr>
      <w:tr>
        <w:trPr>
          <w:cantSplit/>
        </w:trPr>
        <w:tc>
          <w:tcPr>
            <w:tcW w:type="dxa" w:w="2592"/>
          </w:tcPr>
          <w:p>
            <w:pPr>
              <w:keepNext/>
              <w:spacing w:after="0" w:line="240" w:lineRule="auto"/>
            </w:pPr>
            <w:r/>
            <w:r>
              <w:rPr>
                <w:b w:val="0"/>
                <w:i w:val="0"/>
                <w:sz w:val="17"/>
              </w:rPr>
              <w:t>Sales Rep</w:t>
            </w:r>
          </w:p>
        </w:tc>
        <w:tc>
          <w:tcPr>
            <w:tcW w:type="dxa" w:w="1440"/>
          </w:tcPr>
          <w:p>
            <w:pPr>
              <w:keepNext/>
              <w:spacing w:after="0" w:line="240" w:lineRule="auto"/>
              <w:jc w:val="right"/>
            </w:pPr>
            <w:r/>
            <w:r>
              <w:rPr>
                <w:b w:val="0"/>
                <w:i w:val="0"/>
                <w:sz w:val="17"/>
              </w:rPr>
              <w:t>77.437</w:t>
            </w:r>
          </w:p>
        </w:tc>
        <w:tc>
          <w:tcPr>
            <w:tcW w:type="dxa" w:w="1440"/>
          </w:tcPr>
          <w:p>
            <w:pPr>
              <w:keepNext/>
              <w:spacing w:after="0" w:line="240" w:lineRule="auto"/>
              <w:jc w:val="right"/>
            </w:pPr>
            <w:r/>
            <w:r>
              <w:rPr>
                <w:b w:val="0"/>
                <w:i w:val="0"/>
                <w:sz w:val="17"/>
              </w:rPr>
              <w:t>3.864</w:t>
            </w:r>
          </w:p>
        </w:tc>
        <w:tc>
          <w:tcPr>
            <w:tcW w:type="dxa" w:w="1152"/>
          </w:tcPr>
          <w:p>
            <w:pPr>
              <w:keepNext/>
              <w:spacing w:after="0" w:line="240" w:lineRule="auto"/>
              <w:jc w:val="right"/>
            </w:pPr>
            <w:r/>
            <w:r>
              <w:rPr>
                <w:b w:val="0"/>
                <w:i w:val="0"/>
                <w:sz w:val="17"/>
              </w:rPr>
              <w:t>20.04</w:t>
            </w:r>
          </w:p>
        </w:tc>
        <w:tc>
          <w:tcPr>
            <w:tcW w:type="dxa" w:w="1296"/>
          </w:tcPr>
          <w:p>
            <w:pPr>
              <w:keepNext/>
              <w:spacing w:after="0" w:line="240" w:lineRule="auto"/>
              <w:jc w:val="right"/>
            </w:pPr>
            <w:r/>
            <w:r>
              <w:rPr>
                <w:b w:val="0"/>
                <w:i w:val="0"/>
                <w:sz w:val="17"/>
              </w:rPr>
              <w:t>&lt;0.001</w:t>
            </w:r>
          </w:p>
        </w:tc>
      </w:tr>
      <w:tr>
        <w:trPr>
          <w:cantSplit/>
        </w:trPr>
        <w:tc>
          <w:tcPr>
            <w:tcW w:type="dxa" w:w="2592"/>
          </w:tcPr>
          <w:p>
            <w:pPr>
              <w:keepNext/>
              <w:spacing w:after="0" w:line="240" w:lineRule="auto"/>
            </w:pPr>
            <w:r/>
            <w:r>
              <w:rPr>
                <w:b w:val="0"/>
                <w:i w:val="0"/>
                <w:sz w:val="17"/>
              </w:rPr>
              <w:t>Endcap</w:t>
            </w:r>
          </w:p>
        </w:tc>
        <w:tc>
          <w:tcPr>
            <w:tcW w:type="dxa" w:w="1440"/>
          </w:tcPr>
          <w:p>
            <w:pPr>
              <w:keepNext/>
              <w:spacing w:after="0" w:line="240" w:lineRule="auto"/>
              <w:jc w:val="right"/>
            </w:pPr>
            <w:r/>
            <w:r>
              <w:rPr>
                <w:b w:val="0"/>
                <w:i w:val="0"/>
                <w:sz w:val="17"/>
              </w:rPr>
              <w:t>305.102</w:t>
            </w:r>
          </w:p>
        </w:tc>
        <w:tc>
          <w:tcPr>
            <w:tcW w:type="dxa" w:w="1440"/>
          </w:tcPr>
          <w:p>
            <w:pPr>
              <w:keepNext/>
              <w:spacing w:after="0" w:line="240" w:lineRule="auto"/>
              <w:jc w:val="right"/>
            </w:pPr>
            <w:r/>
            <w:r>
              <w:rPr>
                <w:b w:val="0"/>
                <w:i w:val="0"/>
                <w:sz w:val="17"/>
              </w:rPr>
              <w:t>9.056</w:t>
            </w:r>
          </w:p>
        </w:tc>
        <w:tc>
          <w:tcPr>
            <w:tcW w:type="dxa" w:w="1152"/>
          </w:tcPr>
          <w:p>
            <w:pPr>
              <w:keepNext/>
              <w:spacing w:after="0" w:line="240" w:lineRule="auto"/>
              <w:jc w:val="right"/>
            </w:pPr>
            <w:r/>
            <w:r>
              <w:rPr>
                <w:b w:val="0"/>
                <w:i w:val="0"/>
                <w:sz w:val="17"/>
              </w:rPr>
              <w:t>33.69</w:t>
            </w:r>
          </w:p>
        </w:tc>
        <w:tc>
          <w:tcPr>
            <w:tcW w:type="dxa" w:w="1296"/>
          </w:tcPr>
          <w:p>
            <w:pPr>
              <w:keepNext/>
              <w:spacing w:after="0" w:line="240" w:lineRule="auto"/>
              <w:jc w:val="right"/>
            </w:pPr>
            <w:r/>
            <w:r>
              <w:rPr>
                <w:b w:val="0"/>
                <w:i w:val="0"/>
                <w:sz w:val="17"/>
              </w:rPr>
              <w:t>&lt;0.001</w:t>
            </w:r>
          </w:p>
        </w:tc>
      </w:tr>
      <w:tr>
        <w:trPr>
          <w:cantSplit/>
        </w:trPr>
        <w:tc>
          <w:tcPr>
            <w:tcW w:type="dxa" w:w="2592"/>
          </w:tcPr>
          <w:p>
            <w:pPr>
              <w:keepNext/>
              <w:spacing w:after="0" w:line="240" w:lineRule="auto"/>
            </w:pPr>
            <w:r/>
            <w:r>
              <w:rPr>
                <w:b w:val="0"/>
                <w:i w:val="0"/>
                <w:sz w:val="17"/>
              </w:rPr>
              <w:t>Demo</w:t>
            </w:r>
          </w:p>
        </w:tc>
        <w:tc>
          <w:tcPr>
            <w:tcW w:type="dxa" w:w="1440"/>
          </w:tcPr>
          <w:p>
            <w:pPr>
              <w:keepNext/>
              <w:spacing w:after="0" w:line="240" w:lineRule="auto"/>
              <w:jc w:val="right"/>
            </w:pPr>
            <w:r/>
            <w:r>
              <w:rPr>
                <w:b w:val="0"/>
                <w:i w:val="0"/>
                <w:sz w:val="17"/>
              </w:rPr>
              <w:t>111.133</w:t>
            </w:r>
          </w:p>
        </w:tc>
        <w:tc>
          <w:tcPr>
            <w:tcW w:type="dxa" w:w="1440"/>
          </w:tcPr>
          <w:p>
            <w:pPr>
              <w:keepNext/>
              <w:spacing w:after="0" w:line="240" w:lineRule="auto"/>
              <w:jc w:val="right"/>
            </w:pPr>
            <w:r/>
            <w:r>
              <w:rPr>
                <w:b w:val="0"/>
                <w:i w:val="0"/>
                <w:sz w:val="17"/>
              </w:rPr>
              <w:t>7.404</w:t>
            </w:r>
          </w:p>
        </w:tc>
        <w:tc>
          <w:tcPr>
            <w:tcW w:type="dxa" w:w="1152"/>
          </w:tcPr>
          <w:p>
            <w:pPr>
              <w:keepNext/>
              <w:spacing w:after="0" w:line="240" w:lineRule="auto"/>
              <w:jc w:val="right"/>
            </w:pPr>
            <w:r/>
            <w:r>
              <w:rPr>
                <w:b w:val="0"/>
                <w:i w:val="0"/>
                <w:sz w:val="17"/>
              </w:rPr>
              <w:t>15.01</w:t>
            </w:r>
          </w:p>
        </w:tc>
        <w:tc>
          <w:tcPr>
            <w:tcW w:type="dxa" w:w="1296"/>
          </w:tcPr>
          <w:p>
            <w:pPr>
              <w:keepNext/>
              <w:spacing w:after="0" w:line="240" w:lineRule="auto"/>
              <w:jc w:val="right"/>
            </w:pPr>
            <w:r/>
            <w:r>
              <w:rPr>
                <w:b w:val="0"/>
                <w:i w:val="0"/>
                <w:sz w:val="17"/>
              </w:rPr>
              <w:t>&lt;0.001</w:t>
            </w:r>
          </w:p>
        </w:tc>
      </w:tr>
      <w:tr>
        <w:trPr>
          <w:cantSplit/>
        </w:trPr>
        <w:tc>
          <w:tcPr>
            <w:tcW w:type="dxa" w:w="2592"/>
          </w:tcPr>
          <w:p>
            <w:pPr>
              <w:keepNext/>
              <w:spacing w:after="0" w:line="240" w:lineRule="auto"/>
            </w:pPr>
            <w:r/>
            <w:r>
              <w:rPr>
                <w:b w:val="0"/>
                <w:i w:val="0"/>
                <w:sz w:val="17"/>
              </w:rPr>
              <w:t>Demo1-3</w:t>
            </w:r>
          </w:p>
        </w:tc>
        <w:tc>
          <w:tcPr>
            <w:tcW w:type="dxa" w:w="1440"/>
          </w:tcPr>
          <w:p>
            <w:pPr>
              <w:keepNext/>
              <w:spacing w:after="0" w:line="240" w:lineRule="auto"/>
              <w:jc w:val="right"/>
            </w:pPr>
            <w:r/>
            <w:r>
              <w:rPr>
                <w:b w:val="0"/>
                <w:i w:val="0"/>
                <w:sz w:val="17"/>
              </w:rPr>
              <w:t>73.517</w:t>
            </w:r>
          </w:p>
        </w:tc>
        <w:tc>
          <w:tcPr>
            <w:tcW w:type="dxa" w:w="1440"/>
          </w:tcPr>
          <w:p>
            <w:pPr>
              <w:keepNext/>
              <w:spacing w:after="0" w:line="240" w:lineRule="auto"/>
              <w:jc w:val="right"/>
            </w:pPr>
            <w:r/>
            <w:r>
              <w:rPr>
                <w:b w:val="0"/>
                <w:i w:val="0"/>
                <w:sz w:val="17"/>
              </w:rPr>
              <w:t>4.895</w:t>
            </w:r>
          </w:p>
        </w:tc>
        <w:tc>
          <w:tcPr>
            <w:tcW w:type="dxa" w:w="1152"/>
          </w:tcPr>
          <w:p>
            <w:pPr>
              <w:keepNext/>
              <w:spacing w:after="0" w:line="240" w:lineRule="auto"/>
              <w:jc w:val="right"/>
            </w:pPr>
            <w:r/>
            <w:r>
              <w:rPr>
                <w:b w:val="0"/>
                <w:i w:val="0"/>
                <w:sz w:val="17"/>
              </w:rPr>
              <w:t>15.02</w:t>
            </w:r>
          </w:p>
        </w:tc>
        <w:tc>
          <w:tcPr>
            <w:tcW w:type="dxa" w:w="1296"/>
          </w:tcPr>
          <w:p>
            <w:pPr>
              <w:keepNext/>
              <w:spacing w:after="0" w:line="240" w:lineRule="auto"/>
              <w:jc w:val="right"/>
            </w:pPr>
            <w:r/>
            <w:r>
              <w:rPr>
                <w:b w:val="0"/>
                <w:i w:val="0"/>
                <w:sz w:val="17"/>
              </w:rPr>
              <w:t>&lt;0.001</w:t>
            </w:r>
          </w:p>
        </w:tc>
      </w:tr>
      <w:tr>
        <w:trPr>
          <w:cantSplit/>
        </w:trPr>
        <w:tc>
          <w:tcPr>
            <w:tcW w:type="dxa" w:w="2592"/>
          </w:tcPr>
          <w:p>
            <w:pPr>
              <w:keepNext/>
              <w:spacing w:after="0" w:line="240" w:lineRule="auto"/>
            </w:pPr>
            <w:r/>
            <w:r>
              <w:rPr>
                <w:b w:val="0"/>
                <w:i w:val="0"/>
                <w:sz w:val="17"/>
              </w:rPr>
              <w:t>Demo4-5</w:t>
            </w:r>
          </w:p>
        </w:tc>
        <w:tc>
          <w:tcPr>
            <w:tcW w:type="dxa" w:w="1440"/>
          </w:tcPr>
          <w:p>
            <w:pPr>
              <w:keepNext/>
              <w:spacing w:after="0" w:line="240" w:lineRule="auto"/>
              <w:jc w:val="right"/>
            </w:pPr>
            <w:r/>
            <w:r>
              <w:rPr>
                <w:b w:val="0"/>
                <w:i w:val="0"/>
                <w:sz w:val="17"/>
              </w:rPr>
              <w:t>67.570</w:t>
            </w:r>
          </w:p>
        </w:tc>
        <w:tc>
          <w:tcPr>
            <w:tcW w:type="dxa" w:w="1440"/>
          </w:tcPr>
          <w:p>
            <w:pPr>
              <w:keepNext/>
              <w:spacing w:after="0" w:line="240" w:lineRule="auto"/>
              <w:jc w:val="right"/>
            </w:pPr>
            <w:r/>
            <w:r>
              <w:rPr>
                <w:b w:val="0"/>
                <w:i w:val="0"/>
                <w:sz w:val="17"/>
              </w:rPr>
              <w:t>6.542</w:t>
            </w:r>
          </w:p>
        </w:tc>
        <w:tc>
          <w:tcPr>
            <w:tcW w:type="dxa" w:w="1152"/>
          </w:tcPr>
          <w:p>
            <w:pPr>
              <w:keepNext/>
              <w:spacing w:after="0" w:line="240" w:lineRule="auto"/>
              <w:jc w:val="right"/>
            </w:pPr>
            <w:r/>
            <w:r>
              <w:rPr>
                <w:b w:val="0"/>
                <w:i w:val="0"/>
                <w:sz w:val="17"/>
              </w:rPr>
              <w:t>10.33</w:t>
            </w:r>
          </w:p>
        </w:tc>
        <w:tc>
          <w:tcPr>
            <w:tcW w:type="dxa" w:w="1296"/>
          </w:tcPr>
          <w:p>
            <w:pPr>
              <w:keepNext/>
              <w:spacing w:after="0" w:line="240" w:lineRule="auto"/>
              <w:jc w:val="right"/>
            </w:pPr>
            <w:r/>
            <w:r>
              <w:rPr>
                <w:b w:val="0"/>
                <w:i w:val="0"/>
                <w:sz w:val="17"/>
              </w:rPr>
              <w:t>&lt;0.001</w:t>
            </w:r>
          </w:p>
        </w:tc>
      </w:tr>
      <w:tr>
        <w:trPr>
          <w:cantSplit/>
        </w:trPr>
        <w:tc>
          <w:tcPr>
            <w:tcW w:type="dxa" w:w="2592"/>
          </w:tcPr>
          <w:p>
            <w:pPr>
              <w:keepNext/>
              <w:spacing w:after="0" w:line="240" w:lineRule="auto"/>
            </w:pPr>
            <w:r/>
            <w:r>
              <w:rPr>
                <w:b w:val="0"/>
                <w:i w:val="0"/>
                <w:sz w:val="17"/>
              </w:rPr>
              <w:t>Natural</w:t>
            </w:r>
          </w:p>
        </w:tc>
        <w:tc>
          <w:tcPr>
            <w:tcW w:type="dxa" w:w="1440"/>
          </w:tcPr>
          <w:p>
            <w:pPr>
              <w:keepNext/>
              <w:spacing w:after="0" w:line="240" w:lineRule="auto"/>
              <w:jc w:val="right"/>
            </w:pPr>
            <w:r/>
            <w:r>
              <w:rPr>
                <w:b w:val="0"/>
                <w:i w:val="0"/>
                <w:sz w:val="17"/>
              </w:rPr>
              <w:t>-1.594</w:t>
            </w:r>
          </w:p>
        </w:tc>
        <w:tc>
          <w:tcPr>
            <w:tcW w:type="dxa" w:w="1440"/>
          </w:tcPr>
          <w:p>
            <w:pPr>
              <w:keepNext/>
              <w:spacing w:after="0" w:line="240" w:lineRule="auto"/>
              <w:jc w:val="right"/>
            </w:pPr>
            <w:r/>
            <w:r>
              <w:rPr>
                <w:b w:val="0"/>
                <w:i w:val="0"/>
                <w:sz w:val="17"/>
              </w:rPr>
              <w:t>1.776</w:t>
            </w:r>
          </w:p>
        </w:tc>
        <w:tc>
          <w:tcPr>
            <w:tcW w:type="dxa" w:w="1152"/>
          </w:tcPr>
          <w:p>
            <w:pPr>
              <w:keepNext/>
              <w:spacing w:after="0" w:line="240" w:lineRule="auto"/>
              <w:jc w:val="right"/>
            </w:pPr>
            <w:r/>
            <w:r>
              <w:rPr>
                <w:b w:val="0"/>
                <w:i w:val="0"/>
                <w:sz w:val="17"/>
              </w:rPr>
              <w:t>-0.90</w:t>
            </w:r>
          </w:p>
        </w:tc>
        <w:tc>
          <w:tcPr>
            <w:tcW w:type="dxa" w:w="1296"/>
          </w:tcPr>
          <w:p>
            <w:pPr>
              <w:keepNext/>
              <w:spacing w:after="0" w:line="240" w:lineRule="auto"/>
              <w:jc w:val="right"/>
            </w:pPr>
            <w:r/>
            <w:r>
              <w:rPr>
                <w:b w:val="0"/>
                <w:i w:val="0"/>
                <w:sz w:val="17"/>
              </w:rPr>
              <w:t>0.370</w:t>
            </w:r>
          </w:p>
        </w:tc>
      </w:tr>
      <w:tr>
        <w:trPr>
          <w:cantSplit/>
        </w:trPr>
        <w:tc>
          <w:tcPr>
            <w:tcW w:type="dxa" w:w="2592"/>
          </w:tcPr>
          <w:p>
            <w:pPr>
              <w:spacing w:after="0" w:line="240" w:lineRule="auto"/>
            </w:pPr>
            <w:r/>
            <w:r>
              <w:rPr>
                <w:b w:val="0"/>
                <w:i w:val="0"/>
                <w:sz w:val="17"/>
              </w:rPr>
              <w:t>Fitness</w:t>
            </w:r>
          </w:p>
        </w:tc>
        <w:tc>
          <w:tcPr>
            <w:tcW w:type="dxa" w:w="1440"/>
          </w:tcPr>
          <w:p>
            <w:pPr>
              <w:spacing w:after="0" w:line="240" w:lineRule="auto"/>
              <w:jc w:val="right"/>
            </w:pPr>
            <w:r/>
            <w:r>
              <w:rPr>
                <w:b w:val="0"/>
                <w:i w:val="0"/>
                <w:sz w:val="17"/>
              </w:rPr>
              <w:t>-1.020</w:t>
            </w:r>
          </w:p>
        </w:tc>
        <w:tc>
          <w:tcPr>
            <w:tcW w:type="dxa" w:w="1440"/>
          </w:tcPr>
          <w:p>
            <w:pPr>
              <w:spacing w:after="0" w:line="240" w:lineRule="auto"/>
              <w:jc w:val="right"/>
            </w:pPr>
            <w:r/>
            <w:r>
              <w:rPr>
                <w:b w:val="0"/>
                <w:i w:val="0"/>
                <w:sz w:val="17"/>
              </w:rPr>
              <w:t>1.084</w:t>
            </w:r>
          </w:p>
        </w:tc>
        <w:tc>
          <w:tcPr>
            <w:tcW w:type="dxa" w:w="1152"/>
          </w:tcPr>
          <w:p>
            <w:pPr>
              <w:spacing w:after="0" w:line="240" w:lineRule="auto"/>
              <w:jc w:val="right"/>
            </w:pPr>
            <w:r/>
            <w:r>
              <w:rPr>
                <w:b w:val="0"/>
                <w:i w:val="0"/>
                <w:sz w:val="17"/>
              </w:rPr>
              <w:t>-0.94</w:t>
            </w:r>
          </w:p>
        </w:tc>
        <w:tc>
          <w:tcPr>
            <w:tcW w:type="dxa" w:w="1296"/>
          </w:tcPr>
          <w:p>
            <w:pPr>
              <w:spacing w:after="0" w:line="240" w:lineRule="auto"/>
              <w:jc w:val="right"/>
            </w:pPr>
            <w:r/>
            <w:r>
              <w:rPr>
                <w:b w:val="0"/>
                <w:i w:val="0"/>
                <w:sz w:val="17"/>
              </w:rPr>
              <w:t>0.347</w:t>
            </w:r>
          </w:p>
        </w:tc>
      </w:tr>
    </w:tbl>
    <w:p>
      <w:pPr>
        <w:spacing w:after="40"/>
      </w:pPr>
    </w:p>
    <w:p>
      <w:pPr>
        <w:keepNext/>
        <w:spacing w:after="40"/>
      </w:pPr>
      <w:r>
        <w:rPr>
          <w:b/>
          <w:i w:val="0"/>
          <w:sz w:val="19"/>
        </w:rPr>
        <w:t>Table A2. Forward stepwise with Endcap×Rep in the candidate pool (p-in 0.05, p-out 0.10). Backward elimination removes Endcap (p=0.97), Natural (p=0.87), Fitness (p=0.81).</w:t>
      </w:r>
    </w:p>
    <w:tbl>
      <w:tblPr>
        <w:tblStyle w:val="TableGrid"/>
        <w:tblW w:type="auto" w:w="0"/>
        <w:jc w:val="center"/>
        <w:tblLayout w:type="fixed"/>
        <w:tblLook w:firstColumn="1" w:firstRow="1" w:lastColumn="0" w:lastRow="0" w:noHBand="0" w:noVBand="1" w:val="04A0"/>
      </w:tblPr>
      <w:tblGrid>
        <w:gridCol w:w="720"/>
        <w:gridCol w:w="1152"/>
        <w:gridCol w:w="1728"/>
        <w:gridCol w:w="1296"/>
        <w:gridCol w:w="1872"/>
        <w:gridCol w:w="1296"/>
      </w:tblGrid>
      <w:tr>
        <w:trPr>
          <w:cantSplit/>
        </w:trPr>
        <w:tc>
          <w:tcPr>
            <w:tcW w:type="dxa" w:w="720"/>
            <w:shd w:val="clear" w:color="auto" w:fill="1F4E79"/>
          </w:tcPr>
          <w:p>
            <w:pPr>
              <w:keepNext/>
              <w:spacing w:after="0" w:line="240" w:lineRule="auto"/>
              <w:jc w:val="center"/>
            </w:pPr>
            <w:r>
              <w:rPr>
                <w:color w:val="FFFFFF"/>
              </w:rPr>
            </w:r>
            <w:r>
              <w:rPr>
                <w:b/>
                <w:i w:val="0"/>
                <w:color w:val="FFFFFF"/>
                <w:sz w:val="17"/>
              </w:rPr>
              <w:t>Step</w:t>
            </w:r>
          </w:p>
        </w:tc>
        <w:tc>
          <w:tcPr>
            <w:tcW w:type="dxa" w:w="1152"/>
            <w:shd w:val="clear" w:color="auto" w:fill="1F4E79"/>
          </w:tcPr>
          <w:p>
            <w:pPr>
              <w:keepNext/>
              <w:spacing w:after="0" w:line="240" w:lineRule="auto"/>
              <w:jc w:val="center"/>
            </w:pPr>
            <w:r>
              <w:rPr>
                <w:color w:val="FFFFFF"/>
              </w:rPr>
            </w:r>
            <w:r>
              <w:rPr>
                <w:b/>
                <w:i w:val="0"/>
                <w:color w:val="FFFFFF"/>
                <w:sz w:val="17"/>
              </w:rPr>
              <w:t>Action</w:t>
            </w:r>
          </w:p>
        </w:tc>
        <w:tc>
          <w:tcPr>
            <w:tcW w:type="dxa" w:w="1728"/>
            <w:shd w:val="clear" w:color="auto" w:fill="1F4E79"/>
          </w:tcPr>
          <w:p>
            <w:pPr>
              <w:keepNext/>
              <w:spacing w:after="0" w:line="240" w:lineRule="auto"/>
              <w:jc w:val="center"/>
            </w:pPr>
            <w:r>
              <w:rPr>
                <w:color w:val="FFFFFF"/>
              </w:rPr>
            </w:r>
            <w:r>
              <w:rPr>
                <w:b/>
                <w:i w:val="0"/>
                <w:color w:val="FFFFFF"/>
                <w:sz w:val="17"/>
              </w:rPr>
              <w:t>Variable</w:t>
            </w:r>
          </w:p>
        </w:tc>
        <w:tc>
          <w:tcPr>
            <w:tcW w:type="dxa" w:w="1296"/>
            <w:shd w:val="clear" w:color="auto" w:fill="1F4E79"/>
          </w:tcPr>
          <w:p>
            <w:pPr>
              <w:keepNext/>
              <w:spacing w:after="0" w:line="240" w:lineRule="auto"/>
              <w:jc w:val="center"/>
            </w:pPr>
            <w:r>
              <w:rPr>
                <w:color w:val="FFFFFF"/>
              </w:rPr>
            </w:r>
            <w:r>
              <w:rPr>
                <w:b/>
                <w:i w:val="0"/>
                <w:color w:val="FFFFFF"/>
                <w:sz w:val="17"/>
              </w:rPr>
              <w:t>Partial F</w:t>
            </w:r>
          </w:p>
        </w:tc>
        <w:tc>
          <w:tcPr>
            <w:tcW w:type="dxa" w:w="1872"/>
            <w:shd w:val="clear" w:color="auto" w:fill="1F4E79"/>
          </w:tcPr>
          <w:p>
            <w:pPr>
              <w:keepNext/>
              <w:spacing w:after="0" w:line="240" w:lineRule="auto"/>
              <w:jc w:val="center"/>
            </w:pPr>
            <w:r>
              <w:rPr>
                <w:color w:val="FFFFFF"/>
              </w:rPr>
            </w:r>
            <w:r>
              <w:rPr>
                <w:b/>
                <w:i w:val="0"/>
                <w:color w:val="FFFFFF"/>
                <w:sz w:val="17"/>
              </w:rPr>
              <w:t>p-in/out p-value</w:t>
            </w:r>
          </w:p>
        </w:tc>
        <w:tc>
          <w:tcPr>
            <w:tcW w:type="dxa" w:w="1296"/>
            <w:shd w:val="clear" w:color="auto" w:fill="1F4E79"/>
          </w:tcPr>
          <w:p>
            <w:pPr>
              <w:keepNext/>
              <w:spacing w:after="0" w:line="240" w:lineRule="auto"/>
              <w:jc w:val="center"/>
            </w:pPr>
            <w:r>
              <w:rPr>
                <w:color w:val="FFFFFF"/>
              </w:rPr>
            </w:r>
            <w:r>
              <w:rPr>
                <w:b/>
                <w:i w:val="0"/>
                <w:color w:val="FFFFFF"/>
                <w:sz w:val="17"/>
              </w:rPr>
              <w:t>Adj R²</w:t>
            </w:r>
          </w:p>
        </w:tc>
      </w:tr>
      <w:tr>
        <w:trPr>
          <w:cantSplit/>
        </w:trPr>
        <w:tc>
          <w:tcPr>
            <w:tcW w:type="dxa" w:w="720"/>
          </w:tcPr>
          <w:p>
            <w:pPr>
              <w:keepNext/>
              <w:spacing w:after="0" w:line="240" w:lineRule="auto"/>
            </w:pPr>
            <w:r/>
            <w:r>
              <w:rPr>
                <w:b w:val="0"/>
                <w:i w:val="0"/>
                <w:sz w:val="17"/>
              </w:rPr>
              <w:t>1</w:t>
            </w:r>
          </w:p>
        </w:tc>
        <w:tc>
          <w:tcPr>
            <w:tcW w:type="dxa" w:w="1152"/>
          </w:tcPr>
          <w:p>
            <w:pPr>
              <w:keepNext/>
              <w:spacing w:after="0" w:line="240" w:lineRule="auto"/>
            </w:pPr>
            <w:r/>
            <w:r>
              <w:rPr>
                <w:b w:val="0"/>
                <w:i w:val="0"/>
                <w:sz w:val="17"/>
              </w:rPr>
              <w:t>Enter</w:t>
            </w:r>
          </w:p>
        </w:tc>
        <w:tc>
          <w:tcPr>
            <w:tcW w:type="dxa" w:w="1728"/>
          </w:tcPr>
          <w:p>
            <w:pPr>
              <w:keepNext/>
              <w:spacing w:after="0" w:line="240" w:lineRule="auto"/>
            </w:pPr>
            <w:r/>
            <w:r>
              <w:rPr>
                <w:b w:val="0"/>
                <w:i w:val="0"/>
                <w:sz w:val="17"/>
              </w:rPr>
              <w:t>Endcap×Rep</w:t>
            </w:r>
          </w:p>
        </w:tc>
        <w:tc>
          <w:tcPr>
            <w:tcW w:type="dxa" w:w="1296"/>
          </w:tcPr>
          <w:p>
            <w:pPr>
              <w:keepNext/>
              <w:spacing w:after="0" w:line="240" w:lineRule="auto"/>
              <w:jc w:val="right"/>
            </w:pPr>
            <w:r/>
            <w:r>
              <w:rPr>
                <w:b w:val="0"/>
                <w:i w:val="0"/>
                <w:sz w:val="17"/>
              </w:rPr>
              <w:t>1679.3</w:t>
            </w:r>
          </w:p>
        </w:tc>
        <w:tc>
          <w:tcPr>
            <w:tcW w:type="dxa" w:w="1872"/>
          </w:tcPr>
          <w:p>
            <w:pPr>
              <w:keepNext/>
              <w:spacing w:after="0" w:line="240" w:lineRule="auto"/>
              <w:jc w:val="right"/>
            </w:pPr>
            <w:r/>
            <w:r>
              <w:rPr>
                <w:b w:val="0"/>
                <w:i w:val="0"/>
                <w:sz w:val="17"/>
              </w:rPr>
              <w:t>&lt;0.001</w:t>
            </w:r>
          </w:p>
        </w:tc>
        <w:tc>
          <w:tcPr>
            <w:tcW w:type="dxa" w:w="1296"/>
          </w:tcPr>
          <w:p>
            <w:pPr>
              <w:keepNext/>
              <w:spacing w:after="0" w:line="240" w:lineRule="auto"/>
              <w:jc w:val="right"/>
            </w:pPr>
            <w:r/>
            <w:r>
              <w:rPr>
                <w:b w:val="0"/>
                <w:i w:val="0"/>
                <w:sz w:val="17"/>
              </w:rPr>
              <w:t>0.5479</w:t>
            </w:r>
          </w:p>
        </w:tc>
      </w:tr>
      <w:tr>
        <w:trPr>
          <w:cantSplit/>
        </w:trPr>
        <w:tc>
          <w:tcPr>
            <w:tcW w:type="dxa" w:w="720"/>
          </w:tcPr>
          <w:p>
            <w:pPr>
              <w:keepNext/>
              <w:spacing w:after="0" w:line="240" w:lineRule="auto"/>
            </w:pPr>
            <w:r/>
            <w:r>
              <w:rPr>
                <w:b w:val="0"/>
                <w:i w:val="0"/>
                <w:sz w:val="17"/>
              </w:rPr>
              <w:t>2</w:t>
            </w:r>
          </w:p>
        </w:tc>
        <w:tc>
          <w:tcPr>
            <w:tcW w:type="dxa" w:w="1152"/>
          </w:tcPr>
          <w:p>
            <w:pPr>
              <w:keepNext/>
              <w:spacing w:after="0" w:line="240" w:lineRule="auto"/>
            </w:pPr>
            <w:r/>
            <w:r>
              <w:rPr>
                <w:b w:val="0"/>
                <w:i w:val="0"/>
                <w:sz w:val="17"/>
              </w:rPr>
              <w:t>Enter</w:t>
            </w:r>
          </w:p>
        </w:tc>
        <w:tc>
          <w:tcPr>
            <w:tcW w:type="dxa" w:w="1728"/>
          </w:tcPr>
          <w:p>
            <w:pPr>
              <w:keepNext/>
              <w:spacing w:after="0" w:line="240" w:lineRule="auto"/>
            </w:pPr>
            <w:r/>
            <w:r>
              <w:rPr>
                <w:b w:val="0"/>
                <w:i w:val="0"/>
                <w:sz w:val="17"/>
              </w:rPr>
              <w:t>Sales Rep</w:t>
            </w:r>
          </w:p>
        </w:tc>
        <w:tc>
          <w:tcPr>
            <w:tcW w:type="dxa" w:w="1296"/>
          </w:tcPr>
          <w:p>
            <w:pPr>
              <w:keepNext/>
              <w:spacing w:after="0" w:line="240" w:lineRule="auto"/>
              <w:jc w:val="right"/>
            </w:pPr>
            <w:r/>
            <w:r>
              <w:rPr>
                <w:b w:val="0"/>
                <w:i w:val="0"/>
                <w:sz w:val="17"/>
              </w:rPr>
              <w:t>490.0</w:t>
            </w:r>
          </w:p>
        </w:tc>
        <w:tc>
          <w:tcPr>
            <w:tcW w:type="dxa" w:w="1872"/>
          </w:tcPr>
          <w:p>
            <w:pPr>
              <w:keepNext/>
              <w:spacing w:after="0" w:line="240" w:lineRule="auto"/>
              <w:jc w:val="right"/>
            </w:pPr>
            <w:r/>
            <w:r>
              <w:rPr>
                <w:b w:val="0"/>
                <w:i w:val="0"/>
                <w:sz w:val="17"/>
              </w:rPr>
              <w:t>&lt;0.001</w:t>
            </w:r>
          </w:p>
        </w:tc>
        <w:tc>
          <w:tcPr>
            <w:tcW w:type="dxa" w:w="1296"/>
          </w:tcPr>
          <w:p>
            <w:pPr>
              <w:keepNext/>
              <w:spacing w:after="0" w:line="240" w:lineRule="auto"/>
              <w:jc w:val="right"/>
            </w:pPr>
            <w:r/>
            <w:r>
              <w:rPr>
                <w:b w:val="0"/>
                <w:i w:val="0"/>
                <w:sz w:val="17"/>
              </w:rPr>
              <w:t>0.6659</w:t>
            </w:r>
          </w:p>
        </w:tc>
      </w:tr>
      <w:tr>
        <w:trPr>
          <w:cantSplit/>
        </w:trPr>
        <w:tc>
          <w:tcPr>
            <w:tcW w:type="dxa" w:w="720"/>
          </w:tcPr>
          <w:p>
            <w:pPr>
              <w:keepNext/>
              <w:spacing w:after="0" w:line="240" w:lineRule="auto"/>
            </w:pPr>
            <w:r/>
            <w:r>
              <w:rPr>
                <w:b w:val="0"/>
                <w:i w:val="0"/>
                <w:sz w:val="17"/>
              </w:rPr>
              <w:t>3</w:t>
            </w:r>
          </w:p>
        </w:tc>
        <w:tc>
          <w:tcPr>
            <w:tcW w:type="dxa" w:w="1152"/>
          </w:tcPr>
          <w:p>
            <w:pPr>
              <w:keepNext/>
              <w:spacing w:after="0" w:line="240" w:lineRule="auto"/>
            </w:pPr>
            <w:r/>
            <w:r>
              <w:rPr>
                <w:b w:val="0"/>
                <w:i w:val="0"/>
                <w:sz w:val="17"/>
              </w:rPr>
              <w:t>Enter</w:t>
            </w:r>
          </w:p>
        </w:tc>
        <w:tc>
          <w:tcPr>
            <w:tcW w:type="dxa" w:w="1728"/>
          </w:tcPr>
          <w:p>
            <w:pPr>
              <w:keepNext/>
              <w:spacing w:after="0" w:line="240" w:lineRule="auto"/>
            </w:pPr>
            <w:r/>
            <w:r>
              <w:rPr>
                <w:b w:val="0"/>
                <w:i w:val="0"/>
                <w:sz w:val="17"/>
              </w:rPr>
              <w:t>Demo1-3</w:t>
            </w:r>
          </w:p>
        </w:tc>
        <w:tc>
          <w:tcPr>
            <w:tcW w:type="dxa" w:w="1296"/>
          </w:tcPr>
          <w:p>
            <w:pPr>
              <w:keepNext/>
              <w:spacing w:after="0" w:line="240" w:lineRule="auto"/>
              <w:jc w:val="right"/>
            </w:pPr>
            <w:r/>
            <w:r>
              <w:rPr>
                <w:b w:val="0"/>
                <w:i w:val="0"/>
                <w:sz w:val="17"/>
              </w:rPr>
              <w:t>277.2</w:t>
            </w:r>
          </w:p>
        </w:tc>
        <w:tc>
          <w:tcPr>
            <w:tcW w:type="dxa" w:w="1872"/>
          </w:tcPr>
          <w:p>
            <w:pPr>
              <w:keepNext/>
              <w:spacing w:after="0" w:line="240" w:lineRule="auto"/>
              <w:jc w:val="right"/>
            </w:pPr>
            <w:r/>
            <w:r>
              <w:rPr>
                <w:b w:val="0"/>
                <w:i w:val="0"/>
                <w:sz w:val="17"/>
              </w:rPr>
              <w:t>&lt;0.001</w:t>
            </w:r>
          </w:p>
        </w:tc>
        <w:tc>
          <w:tcPr>
            <w:tcW w:type="dxa" w:w="1296"/>
          </w:tcPr>
          <w:p>
            <w:pPr>
              <w:keepNext/>
              <w:spacing w:after="0" w:line="240" w:lineRule="auto"/>
              <w:jc w:val="right"/>
            </w:pPr>
            <w:r/>
            <w:r>
              <w:rPr>
                <w:b w:val="0"/>
                <w:i w:val="0"/>
                <w:sz w:val="17"/>
              </w:rPr>
              <w:t>0.7215</w:t>
            </w:r>
          </w:p>
        </w:tc>
      </w:tr>
      <w:tr>
        <w:trPr>
          <w:cantSplit/>
        </w:trPr>
        <w:tc>
          <w:tcPr>
            <w:tcW w:type="dxa" w:w="720"/>
          </w:tcPr>
          <w:p>
            <w:pPr>
              <w:keepNext/>
              <w:spacing w:after="0" w:line="240" w:lineRule="auto"/>
            </w:pPr>
            <w:r/>
            <w:r>
              <w:rPr>
                <w:b w:val="0"/>
                <w:i w:val="0"/>
                <w:sz w:val="17"/>
              </w:rPr>
              <w:t>4</w:t>
            </w:r>
          </w:p>
        </w:tc>
        <w:tc>
          <w:tcPr>
            <w:tcW w:type="dxa" w:w="1152"/>
          </w:tcPr>
          <w:p>
            <w:pPr>
              <w:keepNext/>
              <w:spacing w:after="0" w:line="240" w:lineRule="auto"/>
            </w:pPr>
            <w:r/>
            <w:r>
              <w:rPr>
                <w:b w:val="0"/>
                <w:i w:val="0"/>
                <w:sz w:val="17"/>
              </w:rPr>
              <w:t>Enter</w:t>
            </w:r>
          </w:p>
        </w:tc>
        <w:tc>
          <w:tcPr>
            <w:tcW w:type="dxa" w:w="1728"/>
          </w:tcPr>
          <w:p>
            <w:pPr>
              <w:keepNext/>
              <w:spacing w:after="0" w:line="240" w:lineRule="auto"/>
            </w:pPr>
            <w:r/>
            <w:r>
              <w:rPr>
                <w:b w:val="0"/>
                <w:i w:val="0"/>
                <w:sz w:val="17"/>
              </w:rPr>
              <w:t>Demo</w:t>
            </w:r>
          </w:p>
        </w:tc>
        <w:tc>
          <w:tcPr>
            <w:tcW w:type="dxa" w:w="1296"/>
          </w:tcPr>
          <w:p>
            <w:pPr>
              <w:keepNext/>
              <w:spacing w:after="0" w:line="240" w:lineRule="auto"/>
              <w:jc w:val="right"/>
            </w:pPr>
            <w:r/>
            <w:r>
              <w:rPr>
                <w:b w:val="0"/>
                <w:i w:val="0"/>
                <w:sz w:val="17"/>
              </w:rPr>
              <w:t>278.3</w:t>
            </w:r>
          </w:p>
        </w:tc>
        <w:tc>
          <w:tcPr>
            <w:tcW w:type="dxa" w:w="1872"/>
          </w:tcPr>
          <w:p>
            <w:pPr>
              <w:keepNext/>
              <w:spacing w:after="0" w:line="240" w:lineRule="auto"/>
              <w:jc w:val="right"/>
            </w:pPr>
            <w:r/>
            <w:r>
              <w:rPr>
                <w:b w:val="0"/>
                <w:i w:val="0"/>
                <w:sz w:val="17"/>
              </w:rPr>
              <w:t>&lt;0.001</w:t>
            </w:r>
          </w:p>
        </w:tc>
        <w:tc>
          <w:tcPr>
            <w:tcW w:type="dxa" w:w="1296"/>
          </w:tcPr>
          <w:p>
            <w:pPr>
              <w:keepNext/>
              <w:spacing w:after="0" w:line="240" w:lineRule="auto"/>
              <w:jc w:val="right"/>
            </w:pPr>
            <w:r/>
            <w:r>
              <w:rPr>
                <w:b w:val="0"/>
                <w:i w:val="0"/>
                <w:sz w:val="17"/>
              </w:rPr>
              <w:t>0.7681</w:t>
            </w:r>
          </w:p>
        </w:tc>
      </w:tr>
      <w:tr>
        <w:trPr>
          <w:cantSplit/>
        </w:trPr>
        <w:tc>
          <w:tcPr>
            <w:tcW w:type="dxa" w:w="720"/>
          </w:tcPr>
          <w:p>
            <w:pPr>
              <w:keepNext/>
              <w:spacing w:after="0" w:line="240" w:lineRule="auto"/>
            </w:pPr>
            <w:r/>
            <w:r>
              <w:rPr>
                <w:b w:val="0"/>
                <w:i w:val="0"/>
                <w:sz w:val="17"/>
              </w:rPr>
              <w:t>5</w:t>
            </w:r>
          </w:p>
        </w:tc>
        <w:tc>
          <w:tcPr>
            <w:tcW w:type="dxa" w:w="1152"/>
          </w:tcPr>
          <w:p>
            <w:pPr>
              <w:keepNext/>
              <w:spacing w:after="0" w:line="240" w:lineRule="auto"/>
            </w:pPr>
            <w:r/>
            <w:r>
              <w:rPr>
                <w:b w:val="0"/>
                <w:i w:val="0"/>
                <w:sz w:val="17"/>
              </w:rPr>
              <w:t>Enter</w:t>
            </w:r>
          </w:p>
        </w:tc>
        <w:tc>
          <w:tcPr>
            <w:tcW w:type="dxa" w:w="1728"/>
          </w:tcPr>
          <w:p>
            <w:pPr>
              <w:keepNext/>
              <w:spacing w:after="0" w:line="240" w:lineRule="auto"/>
            </w:pPr>
            <w:r/>
            <w:r>
              <w:rPr>
                <w:b w:val="0"/>
                <w:i w:val="0"/>
                <w:sz w:val="17"/>
              </w:rPr>
              <w:t>Demo4-5</w:t>
            </w:r>
          </w:p>
        </w:tc>
        <w:tc>
          <w:tcPr>
            <w:tcW w:type="dxa" w:w="1296"/>
          </w:tcPr>
          <w:p>
            <w:pPr>
              <w:keepNext/>
              <w:spacing w:after="0" w:line="240" w:lineRule="auto"/>
              <w:jc w:val="right"/>
            </w:pPr>
            <w:r/>
            <w:r>
              <w:rPr>
                <w:b w:val="0"/>
                <w:i w:val="0"/>
                <w:sz w:val="17"/>
              </w:rPr>
              <w:t>203.5</w:t>
            </w:r>
          </w:p>
        </w:tc>
        <w:tc>
          <w:tcPr>
            <w:tcW w:type="dxa" w:w="1872"/>
          </w:tcPr>
          <w:p>
            <w:pPr>
              <w:keepNext/>
              <w:spacing w:after="0" w:line="240" w:lineRule="auto"/>
              <w:jc w:val="right"/>
            </w:pPr>
            <w:r/>
            <w:r>
              <w:rPr>
                <w:b w:val="0"/>
                <w:i w:val="0"/>
                <w:sz w:val="17"/>
              </w:rPr>
              <w:t>&lt;0.001</w:t>
            </w:r>
          </w:p>
        </w:tc>
        <w:tc>
          <w:tcPr>
            <w:tcW w:type="dxa" w:w="1296"/>
          </w:tcPr>
          <w:p>
            <w:pPr>
              <w:keepNext/>
              <w:spacing w:after="0" w:line="240" w:lineRule="auto"/>
              <w:jc w:val="right"/>
            </w:pPr>
            <w:r/>
            <w:r>
              <w:rPr>
                <w:b w:val="0"/>
                <w:i w:val="0"/>
                <w:sz w:val="17"/>
              </w:rPr>
              <w:t>0.7977</w:t>
            </w:r>
          </w:p>
        </w:tc>
      </w:tr>
      <w:tr>
        <w:trPr>
          <w:cantSplit/>
        </w:trPr>
        <w:tc>
          <w:tcPr>
            <w:tcW w:type="dxa" w:w="720"/>
          </w:tcPr>
          <w:p>
            <w:pPr>
              <w:spacing w:after="0" w:line="240" w:lineRule="auto"/>
            </w:pPr>
            <w:r/>
            <w:r>
              <w:rPr>
                <w:b w:val="0"/>
                <w:i w:val="0"/>
                <w:sz w:val="17"/>
              </w:rPr>
              <w:t>6</w:t>
            </w:r>
          </w:p>
        </w:tc>
        <w:tc>
          <w:tcPr>
            <w:tcW w:type="dxa" w:w="1152"/>
          </w:tcPr>
          <w:p>
            <w:pPr>
              <w:spacing w:after="0" w:line="240" w:lineRule="auto"/>
            </w:pPr>
            <w:r/>
            <w:r>
              <w:rPr>
                <w:b w:val="0"/>
                <w:i w:val="0"/>
                <w:sz w:val="17"/>
              </w:rPr>
              <w:t>Enter</w:t>
            </w:r>
          </w:p>
        </w:tc>
        <w:tc>
          <w:tcPr>
            <w:tcW w:type="dxa" w:w="1728"/>
          </w:tcPr>
          <w:p>
            <w:pPr>
              <w:spacing w:after="0" w:line="240" w:lineRule="auto"/>
            </w:pPr>
            <w:r/>
            <w:r>
              <w:rPr>
                <w:b w:val="0"/>
                <w:i w:val="0"/>
                <w:sz w:val="17"/>
              </w:rPr>
              <w:t>Price</w:t>
            </w:r>
          </w:p>
        </w:tc>
        <w:tc>
          <w:tcPr>
            <w:tcW w:type="dxa" w:w="1296"/>
          </w:tcPr>
          <w:p>
            <w:pPr>
              <w:spacing w:after="0" w:line="240" w:lineRule="auto"/>
              <w:jc w:val="right"/>
            </w:pPr>
            <w:r/>
            <w:r>
              <w:rPr>
                <w:b w:val="0"/>
                <w:i w:val="0"/>
                <w:sz w:val="17"/>
              </w:rPr>
              <w:t>52.6</w:t>
            </w:r>
          </w:p>
        </w:tc>
        <w:tc>
          <w:tcPr>
            <w:tcW w:type="dxa" w:w="1872"/>
          </w:tcPr>
          <w:p>
            <w:pPr>
              <w:spacing w:after="0" w:line="240" w:lineRule="auto"/>
              <w:jc w:val="right"/>
            </w:pPr>
            <w:r/>
            <w:r>
              <w:rPr>
                <w:b w:val="0"/>
                <w:i w:val="0"/>
                <w:sz w:val="17"/>
              </w:rPr>
              <w:t>&lt;0.001</w:t>
            </w:r>
          </w:p>
        </w:tc>
        <w:tc>
          <w:tcPr>
            <w:tcW w:type="dxa" w:w="1296"/>
          </w:tcPr>
          <w:p>
            <w:pPr>
              <w:spacing w:after="0" w:line="240" w:lineRule="auto"/>
              <w:jc w:val="right"/>
            </w:pPr>
            <w:r/>
            <w:r>
              <w:rPr>
                <w:b w:val="0"/>
                <w:i w:val="0"/>
                <w:sz w:val="17"/>
              </w:rPr>
              <w:t>0.8050</w:t>
            </w:r>
          </w:p>
        </w:tc>
      </w:tr>
    </w:tbl>
    <w:p>
      <w:pPr>
        <w:spacing w:after="40"/>
      </w:pPr>
    </w:p>
    <w:p>
      <w:pPr>
        <w:pStyle w:val="Heading2"/>
      </w:pPr>
      <w:r>
        <w:t>B. Sensitivity of final-model coefficients</w:t>
      </w:r>
    </w:p>
    <w:p>
      <w:pPr>
        <w:keepNext/>
        <w:spacing w:after="40"/>
      </w:pPr>
      <w:r>
        <w:rPr>
          <w:b/>
          <w:i w:val="0"/>
          <w:sz w:val="19"/>
        </w:rPr>
        <w:t>Table B1. Coefficient stability (n = 1,386 except exclusion rows)</w:t>
      </w:r>
    </w:p>
    <w:tbl>
      <w:tblPr>
        <w:tblStyle w:val="TableGrid"/>
        <w:tblW w:type="auto" w:w="0"/>
        <w:jc w:val="center"/>
        <w:tblLayout w:type="fixed"/>
        <w:tblLook w:firstColumn="1" w:firstRow="1" w:lastColumn="0" w:lastRow="0" w:noHBand="0" w:noVBand="1" w:val="04A0"/>
      </w:tblPr>
      <w:tblGrid>
        <w:gridCol w:w="3001"/>
        <w:gridCol w:w="786"/>
        <w:gridCol w:w="929"/>
        <w:gridCol w:w="857"/>
        <w:gridCol w:w="786"/>
        <w:gridCol w:w="929"/>
        <w:gridCol w:w="929"/>
        <w:gridCol w:w="1143"/>
      </w:tblGrid>
      <w:tr>
        <w:trPr>
          <w:cantSplit/>
        </w:trPr>
        <w:tc>
          <w:tcPr>
            <w:tcW w:type="dxa" w:w="3001"/>
            <w:shd w:val="clear" w:color="auto" w:fill="1F4E79"/>
          </w:tcPr>
          <w:p>
            <w:pPr>
              <w:keepNext/>
              <w:spacing w:after="0" w:line="240" w:lineRule="auto"/>
              <w:jc w:val="center"/>
            </w:pPr>
            <w:r>
              <w:rPr>
                <w:color w:val="FFFFFF"/>
              </w:rPr>
            </w:r>
            <w:r>
              <w:rPr>
                <w:b/>
                <w:i w:val="0"/>
                <w:color w:val="FFFFFF"/>
                <w:sz w:val="16"/>
              </w:rPr>
              <w:t>Specification</w:t>
            </w:r>
          </w:p>
        </w:tc>
        <w:tc>
          <w:tcPr>
            <w:tcW w:type="dxa" w:w="786"/>
            <w:shd w:val="clear" w:color="auto" w:fill="1F4E79"/>
          </w:tcPr>
          <w:p>
            <w:pPr>
              <w:keepNext/>
              <w:spacing w:after="0" w:line="240" w:lineRule="auto"/>
              <w:jc w:val="center"/>
            </w:pPr>
            <w:r>
              <w:rPr>
                <w:color w:val="FFFFFF"/>
              </w:rPr>
            </w:r>
            <w:r>
              <w:rPr>
                <w:b/>
                <w:i w:val="0"/>
                <w:color w:val="FFFFFF"/>
                <w:sz w:val="16"/>
              </w:rPr>
              <w:t>Price</w:t>
            </w:r>
          </w:p>
        </w:tc>
        <w:tc>
          <w:tcPr>
            <w:tcW w:type="dxa" w:w="929"/>
            <w:shd w:val="clear" w:color="auto" w:fill="1F4E79"/>
          </w:tcPr>
          <w:p>
            <w:pPr>
              <w:keepNext/>
              <w:spacing w:after="0" w:line="240" w:lineRule="auto"/>
              <w:jc w:val="center"/>
            </w:pPr>
            <w:r>
              <w:rPr>
                <w:color w:val="FFFFFF"/>
              </w:rPr>
            </w:r>
            <w:r>
              <w:rPr>
                <w:b/>
                <w:i w:val="0"/>
                <w:color w:val="FFFFFF"/>
                <w:sz w:val="16"/>
              </w:rPr>
              <w:t>Sales Rep</w:t>
            </w:r>
          </w:p>
        </w:tc>
        <w:tc>
          <w:tcPr>
            <w:tcW w:type="dxa" w:w="857"/>
            <w:shd w:val="clear" w:color="auto" w:fill="1F4E79"/>
          </w:tcPr>
          <w:p>
            <w:pPr>
              <w:keepNext/>
              <w:spacing w:after="0" w:line="240" w:lineRule="auto"/>
              <w:jc w:val="center"/>
            </w:pPr>
            <w:r>
              <w:rPr>
                <w:color w:val="FFFFFF"/>
              </w:rPr>
            </w:r>
            <w:r>
              <w:rPr>
                <w:b/>
                <w:i w:val="0"/>
                <w:color w:val="FFFFFF"/>
                <w:sz w:val="16"/>
              </w:rPr>
              <w:t>Endcap</w:t>
            </w:r>
          </w:p>
        </w:tc>
        <w:tc>
          <w:tcPr>
            <w:tcW w:type="dxa" w:w="786"/>
            <w:shd w:val="clear" w:color="auto" w:fill="1F4E79"/>
          </w:tcPr>
          <w:p>
            <w:pPr>
              <w:keepNext/>
              <w:spacing w:after="0" w:line="240" w:lineRule="auto"/>
              <w:jc w:val="center"/>
            </w:pPr>
            <w:r>
              <w:rPr>
                <w:color w:val="FFFFFF"/>
              </w:rPr>
            </w:r>
            <w:r>
              <w:rPr>
                <w:b/>
                <w:i w:val="0"/>
                <w:color w:val="FFFFFF"/>
                <w:sz w:val="16"/>
              </w:rPr>
              <w:t>Demo</w:t>
            </w:r>
          </w:p>
        </w:tc>
        <w:tc>
          <w:tcPr>
            <w:tcW w:type="dxa" w:w="929"/>
            <w:shd w:val="clear" w:color="auto" w:fill="1F4E79"/>
          </w:tcPr>
          <w:p>
            <w:pPr>
              <w:keepNext/>
              <w:spacing w:after="0" w:line="240" w:lineRule="auto"/>
              <w:jc w:val="center"/>
            </w:pPr>
            <w:r>
              <w:rPr>
                <w:color w:val="FFFFFF"/>
              </w:rPr>
            </w:r>
            <w:r>
              <w:rPr>
                <w:b/>
                <w:i w:val="0"/>
                <w:color w:val="FFFFFF"/>
                <w:sz w:val="16"/>
              </w:rPr>
              <w:t>Demo1-3</w:t>
            </w:r>
          </w:p>
        </w:tc>
        <w:tc>
          <w:tcPr>
            <w:tcW w:type="dxa" w:w="929"/>
            <w:shd w:val="clear" w:color="auto" w:fill="1F4E79"/>
          </w:tcPr>
          <w:p>
            <w:pPr>
              <w:keepNext/>
              <w:spacing w:after="0" w:line="240" w:lineRule="auto"/>
              <w:jc w:val="center"/>
            </w:pPr>
            <w:r>
              <w:rPr>
                <w:color w:val="FFFFFF"/>
              </w:rPr>
            </w:r>
            <w:r>
              <w:rPr>
                <w:b/>
                <w:i w:val="0"/>
                <w:color w:val="FFFFFF"/>
                <w:sz w:val="16"/>
              </w:rPr>
              <w:t>Demo4-5</w:t>
            </w:r>
          </w:p>
        </w:tc>
        <w:tc>
          <w:tcPr>
            <w:tcW w:type="dxa" w:w="1143"/>
            <w:shd w:val="clear" w:color="auto" w:fill="1F4E79"/>
          </w:tcPr>
          <w:p>
            <w:pPr>
              <w:keepNext/>
              <w:spacing w:after="0" w:line="240" w:lineRule="auto"/>
              <w:jc w:val="center"/>
            </w:pPr>
            <w:r>
              <w:rPr>
                <w:color w:val="FFFFFF"/>
              </w:rPr>
            </w:r>
            <w:r>
              <w:rPr>
                <w:b/>
                <w:i w:val="0"/>
                <w:color w:val="FFFFFF"/>
                <w:sz w:val="16"/>
              </w:rPr>
              <w:t>Endcap×Rep</w:t>
            </w:r>
          </w:p>
        </w:tc>
      </w:tr>
      <w:tr>
        <w:trPr>
          <w:cantSplit/>
        </w:trPr>
        <w:tc>
          <w:tcPr>
            <w:tcW w:type="dxa" w:w="3001"/>
          </w:tcPr>
          <w:p>
            <w:pPr>
              <w:keepNext/>
              <w:spacing w:after="0" w:line="240" w:lineRule="auto"/>
            </w:pPr>
            <w:r/>
            <w:r>
              <w:rPr>
                <w:b w:val="0"/>
                <w:i w:val="0"/>
                <w:sz w:val="16"/>
              </w:rPr>
              <w:t>Final (baseline)</w:t>
            </w:r>
          </w:p>
        </w:tc>
        <w:tc>
          <w:tcPr>
            <w:tcW w:type="dxa" w:w="786"/>
          </w:tcPr>
          <w:p>
            <w:pPr>
              <w:keepNext/>
              <w:spacing w:after="0" w:line="240" w:lineRule="auto"/>
              <w:jc w:val="right"/>
            </w:pPr>
            <w:r/>
            <w:r>
              <w:rPr>
                <w:b w:val="0"/>
                <w:i w:val="0"/>
                <w:sz w:val="16"/>
              </w:rPr>
              <w:t>-22.1</w:t>
            </w:r>
          </w:p>
        </w:tc>
        <w:tc>
          <w:tcPr>
            <w:tcW w:type="dxa" w:w="929"/>
          </w:tcPr>
          <w:p>
            <w:pPr>
              <w:keepNext/>
              <w:spacing w:after="0" w:line="240" w:lineRule="auto"/>
              <w:jc w:val="right"/>
            </w:pPr>
            <w:r/>
            <w:r>
              <w:rPr>
                <w:b w:val="0"/>
                <w:i w:val="0"/>
                <w:sz w:val="16"/>
              </w:rPr>
              <w:t>59.5</w:t>
            </w:r>
          </w:p>
        </w:tc>
        <w:tc>
          <w:tcPr>
            <w:tcW w:type="dxa" w:w="857"/>
          </w:tcPr>
          <w:p>
            <w:pPr>
              <w:keepNext/>
              <w:spacing w:after="0" w:line="240" w:lineRule="auto"/>
              <w:jc w:val="right"/>
            </w:pPr>
            <w:r/>
            <w:r>
              <w:rPr>
                <w:b w:val="0"/>
                <w:i w:val="0"/>
                <w:sz w:val="16"/>
              </w:rPr>
              <w:t>0.6</w:t>
            </w:r>
          </w:p>
        </w:tc>
        <w:tc>
          <w:tcPr>
            <w:tcW w:type="dxa" w:w="786"/>
          </w:tcPr>
          <w:p>
            <w:pPr>
              <w:keepNext/>
              <w:spacing w:after="0" w:line="240" w:lineRule="auto"/>
              <w:jc w:val="right"/>
            </w:pPr>
            <w:r/>
            <w:r>
              <w:rPr>
                <w:b w:val="0"/>
                <w:i w:val="0"/>
                <w:sz w:val="16"/>
              </w:rPr>
              <w:t>106.8</w:t>
            </w:r>
          </w:p>
        </w:tc>
        <w:tc>
          <w:tcPr>
            <w:tcW w:type="dxa" w:w="929"/>
          </w:tcPr>
          <w:p>
            <w:pPr>
              <w:keepNext/>
              <w:spacing w:after="0" w:line="240" w:lineRule="auto"/>
              <w:jc w:val="right"/>
            </w:pPr>
            <w:r/>
            <w:r>
              <w:rPr>
                <w:b w:val="0"/>
                <w:i w:val="0"/>
                <w:sz w:val="16"/>
              </w:rPr>
              <w:t>73.4</w:t>
            </w:r>
          </w:p>
        </w:tc>
        <w:tc>
          <w:tcPr>
            <w:tcW w:type="dxa" w:w="929"/>
          </w:tcPr>
          <w:p>
            <w:pPr>
              <w:keepNext/>
              <w:spacing w:after="0" w:line="240" w:lineRule="auto"/>
              <w:jc w:val="right"/>
            </w:pPr>
            <w:r/>
            <w:r>
              <w:rPr>
                <w:b w:val="0"/>
                <w:i w:val="0"/>
                <w:sz w:val="16"/>
              </w:rPr>
              <w:t>74.6</w:t>
            </w:r>
          </w:p>
        </w:tc>
        <w:tc>
          <w:tcPr>
            <w:tcW w:type="dxa" w:w="1143"/>
          </w:tcPr>
          <w:p>
            <w:pPr>
              <w:keepNext/>
              <w:spacing w:after="0" w:line="240" w:lineRule="auto"/>
              <w:jc w:val="right"/>
            </w:pPr>
            <w:r/>
            <w:r>
              <w:rPr>
                <w:b w:val="0"/>
                <w:i w:val="0"/>
                <w:sz w:val="16"/>
              </w:rPr>
              <w:t>453.8</w:t>
            </w:r>
          </w:p>
        </w:tc>
      </w:tr>
      <w:tr>
        <w:trPr>
          <w:cantSplit/>
        </w:trPr>
        <w:tc>
          <w:tcPr>
            <w:tcW w:type="dxa" w:w="3001"/>
          </w:tcPr>
          <w:p>
            <w:pPr>
              <w:keepNext/>
              <w:spacing w:after="0" w:line="240" w:lineRule="auto"/>
            </w:pPr>
            <w:r/>
            <w:r>
              <w:rPr>
                <w:b w:val="0"/>
                <w:i w:val="0"/>
                <w:sz w:val="16"/>
              </w:rPr>
              <w:t>Excl. Cook&gt;4/(n-k-1) or |t|&gt;3</w:t>
            </w:r>
          </w:p>
        </w:tc>
        <w:tc>
          <w:tcPr>
            <w:tcW w:type="dxa" w:w="786"/>
          </w:tcPr>
          <w:p>
            <w:pPr>
              <w:keepNext/>
              <w:spacing w:after="0" w:line="240" w:lineRule="auto"/>
              <w:jc w:val="right"/>
            </w:pPr>
            <w:r/>
            <w:r>
              <w:rPr>
                <w:b w:val="0"/>
                <w:i w:val="0"/>
                <w:sz w:val="16"/>
              </w:rPr>
              <w:t>-23.1</w:t>
            </w:r>
          </w:p>
        </w:tc>
        <w:tc>
          <w:tcPr>
            <w:tcW w:type="dxa" w:w="929"/>
          </w:tcPr>
          <w:p>
            <w:pPr>
              <w:keepNext/>
              <w:spacing w:after="0" w:line="240" w:lineRule="auto"/>
              <w:jc w:val="right"/>
            </w:pPr>
            <w:r/>
            <w:r>
              <w:rPr>
                <w:b w:val="0"/>
                <w:i w:val="0"/>
                <w:sz w:val="16"/>
              </w:rPr>
              <w:t>60.1</w:t>
            </w:r>
          </w:p>
        </w:tc>
        <w:tc>
          <w:tcPr>
            <w:tcW w:type="dxa" w:w="857"/>
          </w:tcPr>
          <w:p>
            <w:pPr>
              <w:keepNext/>
              <w:spacing w:after="0" w:line="240" w:lineRule="auto"/>
              <w:jc w:val="right"/>
            </w:pPr>
            <w:r/>
            <w:r>
              <w:rPr>
                <w:b w:val="0"/>
                <w:i w:val="0"/>
                <w:sz w:val="16"/>
              </w:rPr>
              <w:t>4.6</w:t>
            </w:r>
          </w:p>
        </w:tc>
        <w:tc>
          <w:tcPr>
            <w:tcW w:type="dxa" w:w="786"/>
          </w:tcPr>
          <w:p>
            <w:pPr>
              <w:keepNext/>
              <w:spacing w:after="0" w:line="240" w:lineRule="auto"/>
              <w:jc w:val="right"/>
            </w:pPr>
            <w:r/>
            <w:r>
              <w:rPr>
                <w:b w:val="0"/>
                <w:i w:val="0"/>
                <w:sz w:val="16"/>
              </w:rPr>
              <w:t>107.5</w:t>
            </w:r>
          </w:p>
        </w:tc>
        <w:tc>
          <w:tcPr>
            <w:tcW w:type="dxa" w:w="929"/>
          </w:tcPr>
          <w:p>
            <w:pPr>
              <w:keepNext/>
              <w:spacing w:after="0" w:line="240" w:lineRule="auto"/>
              <w:jc w:val="right"/>
            </w:pPr>
            <w:r/>
            <w:r>
              <w:rPr>
                <w:b w:val="0"/>
                <w:i w:val="0"/>
                <w:sz w:val="16"/>
              </w:rPr>
              <w:t>73.4</w:t>
            </w:r>
          </w:p>
        </w:tc>
        <w:tc>
          <w:tcPr>
            <w:tcW w:type="dxa" w:w="929"/>
          </w:tcPr>
          <w:p>
            <w:pPr>
              <w:keepNext/>
              <w:spacing w:after="0" w:line="240" w:lineRule="auto"/>
              <w:jc w:val="right"/>
            </w:pPr>
            <w:r/>
            <w:r>
              <w:rPr>
                <w:b w:val="0"/>
                <w:i w:val="0"/>
                <w:sz w:val="16"/>
              </w:rPr>
              <w:t>79.3</w:t>
            </w:r>
          </w:p>
        </w:tc>
        <w:tc>
          <w:tcPr>
            <w:tcW w:type="dxa" w:w="1143"/>
          </w:tcPr>
          <w:p>
            <w:pPr>
              <w:keepNext/>
              <w:spacing w:after="0" w:line="240" w:lineRule="auto"/>
              <w:jc w:val="right"/>
            </w:pPr>
            <w:r/>
            <w:r>
              <w:rPr>
                <w:b w:val="0"/>
                <w:i w:val="0"/>
                <w:sz w:val="16"/>
              </w:rPr>
              <w:t>452.8</w:t>
            </w:r>
          </w:p>
        </w:tc>
      </w:tr>
      <w:tr>
        <w:trPr>
          <w:cantSplit/>
        </w:trPr>
        <w:tc>
          <w:tcPr>
            <w:tcW w:type="dxa" w:w="3001"/>
          </w:tcPr>
          <w:p>
            <w:pPr>
              <w:keepNext/>
              <w:spacing w:after="0" w:line="240" w:lineRule="auto"/>
            </w:pPr>
            <w:r/>
            <w:r>
              <w:rPr>
                <w:b w:val="0"/>
                <w:i w:val="0"/>
                <w:sz w:val="16"/>
              </w:rPr>
              <w:t>Excl. |stud. resid|&gt;3</w:t>
            </w:r>
          </w:p>
        </w:tc>
        <w:tc>
          <w:tcPr>
            <w:tcW w:type="dxa" w:w="786"/>
          </w:tcPr>
          <w:p>
            <w:pPr>
              <w:keepNext/>
              <w:spacing w:after="0" w:line="240" w:lineRule="auto"/>
              <w:jc w:val="right"/>
            </w:pPr>
            <w:r/>
            <w:r>
              <w:rPr>
                <w:b w:val="0"/>
                <w:i w:val="0"/>
                <w:sz w:val="16"/>
              </w:rPr>
              <w:t>-21.6</w:t>
            </w:r>
          </w:p>
        </w:tc>
        <w:tc>
          <w:tcPr>
            <w:tcW w:type="dxa" w:w="929"/>
          </w:tcPr>
          <w:p>
            <w:pPr>
              <w:keepNext/>
              <w:spacing w:after="0" w:line="240" w:lineRule="auto"/>
              <w:jc w:val="right"/>
            </w:pPr>
            <w:r/>
            <w:r>
              <w:rPr>
                <w:b w:val="0"/>
                <w:i w:val="0"/>
                <w:sz w:val="16"/>
              </w:rPr>
              <w:t>59.2</w:t>
            </w:r>
          </w:p>
        </w:tc>
        <w:tc>
          <w:tcPr>
            <w:tcW w:type="dxa" w:w="857"/>
          </w:tcPr>
          <w:p>
            <w:pPr>
              <w:keepNext/>
              <w:spacing w:after="0" w:line="240" w:lineRule="auto"/>
              <w:jc w:val="right"/>
            </w:pPr>
            <w:r/>
            <w:r>
              <w:rPr>
                <w:b w:val="0"/>
                <w:i w:val="0"/>
                <w:sz w:val="16"/>
              </w:rPr>
              <w:t>0.5</w:t>
            </w:r>
          </w:p>
        </w:tc>
        <w:tc>
          <w:tcPr>
            <w:tcW w:type="dxa" w:w="786"/>
          </w:tcPr>
          <w:p>
            <w:pPr>
              <w:keepNext/>
              <w:spacing w:after="0" w:line="240" w:lineRule="auto"/>
              <w:jc w:val="right"/>
            </w:pPr>
            <w:r/>
            <w:r>
              <w:rPr>
                <w:b w:val="0"/>
                <w:i w:val="0"/>
                <w:sz w:val="16"/>
              </w:rPr>
              <w:t>108.6</w:t>
            </w:r>
          </w:p>
        </w:tc>
        <w:tc>
          <w:tcPr>
            <w:tcW w:type="dxa" w:w="929"/>
          </w:tcPr>
          <w:p>
            <w:pPr>
              <w:keepNext/>
              <w:spacing w:after="0" w:line="240" w:lineRule="auto"/>
              <w:jc w:val="right"/>
            </w:pPr>
            <w:r/>
            <w:r>
              <w:rPr>
                <w:b w:val="0"/>
                <w:i w:val="0"/>
                <w:sz w:val="16"/>
              </w:rPr>
              <w:t>74.1</w:t>
            </w:r>
          </w:p>
        </w:tc>
        <w:tc>
          <w:tcPr>
            <w:tcW w:type="dxa" w:w="929"/>
          </w:tcPr>
          <w:p>
            <w:pPr>
              <w:keepNext/>
              <w:spacing w:after="0" w:line="240" w:lineRule="auto"/>
              <w:jc w:val="right"/>
            </w:pPr>
            <w:r/>
            <w:r>
              <w:rPr>
                <w:b w:val="0"/>
                <w:i w:val="0"/>
                <w:sz w:val="16"/>
              </w:rPr>
              <w:t>74.4</w:t>
            </w:r>
          </w:p>
        </w:tc>
        <w:tc>
          <w:tcPr>
            <w:tcW w:type="dxa" w:w="1143"/>
          </w:tcPr>
          <w:p>
            <w:pPr>
              <w:keepNext/>
              <w:spacing w:after="0" w:line="240" w:lineRule="auto"/>
              <w:jc w:val="right"/>
            </w:pPr>
            <w:r/>
            <w:r>
              <w:rPr>
                <w:b w:val="0"/>
                <w:i w:val="0"/>
                <w:sz w:val="16"/>
              </w:rPr>
              <w:t>453.6</w:t>
            </w:r>
          </w:p>
        </w:tc>
      </w:tr>
      <w:tr>
        <w:trPr>
          <w:cantSplit/>
        </w:trPr>
        <w:tc>
          <w:tcPr>
            <w:tcW w:type="dxa" w:w="3001"/>
          </w:tcPr>
          <w:p>
            <w:pPr>
              <w:keepNext/>
              <w:spacing w:after="0" w:line="240" w:lineRule="auto"/>
            </w:pPr>
            <w:r/>
            <w:r>
              <w:rPr>
                <w:b w:val="0"/>
                <w:i w:val="0"/>
                <w:sz w:val="16"/>
              </w:rPr>
              <w:t>Restricted: no Endcap main effect</w:t>
            </w:r>
          </w:p>
        </w:tc>
        <w:tc>
          <w:tcPr>
            <w:tcW w:type="dxa" w:w="786"/>
          </w:tcPr>
          <w:p>
            <w:pPr>
              <w:keepNext/>
              <w:spacing w:after="0" w:line="240" w:lineRule="auto"/>
              <w:jc w:val="right"/>
            </w:pPr>
            <w:r/>
            <w:r>
              <w:rPr>
                <w:b w:val="0"/>
                <w:i w:val="0"/>
                <w:sz w:val="16"/>
              </w:rPr>
              <w:t>-22.1</w:t>
            </w:r>
          </w:p>
        </w:tc>
        <w:tc>
          <w:tcPr>
            <w:tcW w:type="dxa" w:w="929"/>
          </w:tcPr>
          <w:p>
            <w:pPr>
              <w:keepNext/>
              <w:spacing w:after="0" w:line="240" w:lineRule="auto"/>
              <w:jc w:val="right"/>
            </w:pPr>
            <w:r/>
            <w:r>
              <w:rPr>
                <w:b w:val="0"/>
                <w:i w:val="0"/>
                <w:sz w:val="16"/>
              </w:rPr>
              <w:t>59.4</w:t>
            </w:r>
          </w:p>
        </w:tc>
        <w:tc>
          <w:tcPr>
            <w:tcW w:type="dxa" w:w="857"/>
          </w:tcPr>
          <w:p>
            <w:pPr>
              <w:keepNext/>
              <w:spacing w:after="0" w:line="240" w:lineRule="auto"/>
              <w:jc w:val="right"/>
            </w:pPr>
            <w:r/>
            <w:r>
              <w:rPr>
                <w:b w:val="0"/>
                <w:i w:val="0"/>
                <w:sz w:val="16"/>
              </w:rPr>
              <w:t>–</w:t>
            </w:r>
          </w:p>
        </w:tc>
        <w:tc>
          <w:tcPr>
            <w:tcW w:type="dxa" w:w="786"/>
          </w:tcPr>
          <w:p>
            <w:pPr>
              <w:keepNext/>
              <w:spacing w:after="0" w:line="240" w:lineRule="auto"/>
              <w:jc w:val="right"/>
            </w:pPr>
            <w:r/>
            <w:r>
              <w:rPr>
                <w:b w:val="0"/>
                <w:i w:val="0"/>
                <w:sz w:val="16"/>
              </w:rPr>
              <w:t>106.8</w:t>
            </w:r>
          </w:p>
        </w:tc>
        <w:tc>
          <w:tcPr>
            <w:tcW w:type="dxa" w:w="929"/>
          </w:tcPr>
          <w:p>
            <w:pPr>
              <w:keepNext/>
              <w:spacing w:after="0" w:line="240" w:lineRule="auto"/>
              <w:jc w:val="right"/>
            </w:pPr>
            <w:r/>
            <w:r>
              <w:rPr>
                <w:b w:val="0"/>
                <w:i w:val="0"/>
                <w:sz w:val="16"/>
              </w:rPr>
              <w:t>73.4</w:t>
            </w:r>
          </w:p>
        </w:tc>
        <w:tc>
          <w:tcPr>
            <w:tcW w:type="dxa" w:w="929"/>
          </w:tcPr>
          <w:p>
            <w:pPr>
              <w:keepNext/>
              <w:spacing w:after="0" w:line="240" w:lineRule="auto"/>
              <w:jc w:val="right"/>
            </w:pPr>
            <w:r/>
            <w:r>
              <w:rPr>
                <w:b w:val="0"/>
                <w:i w:val="0"/>
                <w:sz w:val="16"/>
              </w:rPr>
              <w:t>74.6</w:t>
            </w:r>
          </w:p>
        </w:tc>
        <w:tc>
          <w:tcPr>
            <w:tcW w:type="dxa" w:w="1143"/>
          </w:tcPr>
          <w:p>
            <w:pPr>
              <w:keepNext/>
              <w:spacing w:after="0" w:line="240" w:lineRule="auto"/>
              <w:jc w:val="right"/>
            </w:pPr>
            <w:r/>
            <w:r>
              <w:rPr>
                <w:b w:val="0"/>
                <w:i w:val="0"/>
                <w:sz w:val="16"/>
              </w:rPr>
              <w:t>454.4</w:t>
            </w:r>
          </w:p>
        </w:tc>
      </w:tr>
      <w:tr>
        <w:trPr>
          <w:cantSplit/>
        </w:trPr>
        <w:tc>
          <w:tcPr>
            <w:tcW w:type="dxa" w:w="3001"/>
          </w:tcPr>
          <w:p>
            <w:pPr>
              <w:keepNext/>
              <w:spacing w:after="0" w:line="240" w:lineRule="auto"/>
            </w:pPr>
            <w:r/>
            <w:r>
              <w:rPr>
                <w:b w:val="0"/>
                <w:i w:val="0"/>
                <w:sz w:val="16"/>
              </w:rPr>
              <w:t>+ Region dummies</w:t>
            </w:r>
          </w:p>
        </w:tc>
        <w:tc>
          <w:tcPr>
            <w:tcW w:type="dxa" w:w="786"/>
          </w:tcPr>
          <w:p>
            <w:pPr>
              <w:keepNext/>
              <w:spacing w:after="0" w:line="240" w:lineRule="auto"/>
              <w:jc w:val="right"/>
            </w:pPr>
            <w:r/>
            <w:r>
              <w:rPr>
                <w:b w:val="0"/>
                <w:i w:val="0"/>
                <w:sz w:val="16"/>
              </w:rPr>
              <w:t>-21.7</w:t>
            </w:r>
          </w:p>
        </w:tc>
        <w:tc>
          <w:tcPr>
            <w:tcW w:type="dxa" w:w="929"/>
          </w:tcPr>
          <w:p>
            <w:pPr>
              <w:keepNext/>
              <w:spacing w:after="0" w:line="240" w:lineRule="auto"/>
              <w:jc w:val="right"/>
            </w:pPr>
            <w:r/>
            <w:r>
              <w:rPr>
                <w:b w:val="0"/>
                <w:i w:val="0"/>
                <w:sz w:val="16"/>
              </w:rPr>
              <w:t>39.5</w:t>
            </w:r>
          </w:p>
        </w:tc>
        <w:tc>
          <w:tcPr>
            <w:tcW w:type="dxa" w:w="857"/>
          </w:tcPr>
          <w:p>
            <w:pPr>
              <w:keepNext/>
              <w:spacing w:after="0" w:line="240" w:lineRule="auto"/>
              <w:jc w:val="right"/>
            </w:pPr>
            <w:r/>
            <w:r>
              <w:rPr>
                <w:b w:val="0"/>
                <w:i w:val="0"/>
                <w:sz w:val="16"/>
              </w:rPr>
              <w:t>-1.2</w:t>
            </w:r>
          </w:p>
        </w:tc>
        <w:tc>
          <w:tcPr>
            <w:tcW w:type="dxa" w:w="786"/>
          </w:tcPr>
          <w:p>
            <w:pPr>
              <w:keepNext/>
              <w:spacing w:after="0" w:line="240" w:lineRule="auto"/>
              <w:jc w:val="right"/>
            </w:pPr>
            <w:r/>
            <w:r>
              <w:rPr>
                <w:b w:val="0"/>
                <w:i w:val="0"/>
                <w:sz w:val="16"/>
              </w:rPr>
              <w:t>106.4</w:t>
            </w:r>
          </w:p>
        </w:tc>
        <w:tc>
          <w:tcPr>
            <w:tcW w:type="dxa" w:w="929"/>
          </w:tcPr>
          <w:p>
            <w:pPr>
              <w:keepNext/>
              <w:spacing w:after="0" w:line="240" w:lineRule="auto"/>
              <w:jc w:val="right"/>
            </w:pPr>
            <w:r/>
            <w:r>
              <w:rPr>
                <w:b w:val="0"/>
                <w:i w:val="0"/>
                <w:sz w:val="16"/>
              </w:rPr>
              <w:t>72.6</w:t>
            </w:r>
          </w:p>
        </w:tc>
        <w:tc>
          <w:tcPr>
            <w:tcW w:type="dxa" w:w="929"/>
          </w:tcPr>
          <w:p>
            <w:pPr>
              <w:keepNext/>
              <w:spacing w:after="0" w:line="240" w:lineRule="auto"/>
              <w:jc w:val="right"/>
            </w:pPr>
            <w:r/>
            <w:r>
              <w:rPr>
                <w:b w:val="0"/>
                <w:i w:val="0"/>
                <w:sz w:val="16"/>
              </w:rPr>
              <w:t>72.6</w:t>
            </w:r>
          </w:p>
        </w:tc>
        <w:tc>
          <w:tcPr>
            <w:tcW w:type="dxa" w:w="1143"/>
          </w:tcPr>
          <w:p>
            <w:pPr>
              <w:keepNext/>
              <w:spacing w:after="0" w:line="240" w:lineRule="auto"/>
              <w:jc w:val="right"/>
            </w:pPr>
            <w:r/>
            <w:r>
              <w:rPr>
                <w:b w:val="0"/>
                <w:i w:val="0"/>
                <w:sz w:val="16"/>
              </w:rPr>
              <w:t>457.5</w:t>
            </w:r>
          </w:p>
        </w:tc>
      </w:tr>
      <w:tr>
        <w:trPr>
          <w:cantSplit/>
        </w:trPr>
        <w:tc>
          <w:tcPr>
            <w:tcW w:type="dxa" w:w="3001"/>
          </w:tcPr>
          <w:p>
            <w:pPr>
              <w:keepNext/>
              <w:spacing w:after="0" w:line="240" w:lineRule="auto"/>
            </w:pPr>
            <w:r/>
            <w:r>
              <w:rPr>
                <w:b w:val="0"/>
                <w:i w:val="0"/>
                <w:sz w:val="16"/>
              </w:rPr>
              <w:t>+ Week dummies</w:t>
            </w:r>
          </w:p>
        </w:tc>
        <w:tc>
          <w:tcPr>
            <w:tcW w:type="dxa" w:w="786"/>
          </w:tcPr>
          <w:p>
            <w:pPr>
              <w:keepNext/>
              <w:spacing w:after="0" w:line="240" w:lineRule="auto"/>
              <w:jc w:val="right"/>
            </w:pPr>
            <w:r/>
            <w:r>
              <w:rPr>
                <w:b w:val="0"/>
                <w:i w:val="0"/>
                <w:sz w:val="16"/>
              </w:rPr>
              <w:t>-21.7</w:t>
            </w:r>
          </w:p>
        </w:tc>
        <w:tc>
          <w:tcPr>
            <w:tcW w:type="dxa" w:w="929"/>
          </w:tcPr>
          <w:p>
            <w:pPr>
              <w:keepNext/>
              <w:spacing w:after="0" w:line="240" w:lineRule="auto"/>
              <w:jc w:val="right"/>
            </w:pPr>
            <w:r/>
            <w:r>
              <w:rPr>
                <w:b w:val="0"/>
                <w:i w:val="0"/>
                <w:sz w:val="16"/>
              </w:rPr>
              <w:t>59.5</w:t>
            </w:r>
          </w:p>
        </w:tc>
        <w:tc>
          <w:tcPr>
            <w:tcW w:type="dxa" w:w="857"/>
          </w:tcPr>
          <w:p>
            <w:pPr>
              <w:keepNext/>
              <w:spacing w:after="0" w:line="240" w:lineRule="auto"/>
              <w:jc w:val="right"/>
            </w:pPr>
            <w:r/>
            <w:r>
              <w:rPr>
                <w:b w:val="0"/>
                <w:i w:val="0"/>
                <w:sz w:val="16"/>
              </w:rPr>
              <w:t>0.2</w:t>
            </w:r>
          </w:p>
        </w:tc>
        <w:tc>
          <w:tcPr>
            <w:tcW w:type="dxa" w:w="786"/>
          </w:tcPr>
          <w:p>
            <w:pPr>
              <w:keepNext/>
              <w:spacing w:after="0" w:line="240" w:lineRule="auto"/>
              <w:jc w:val="right"/>
            </w:pPr>
            <w:r/>
            <w:r>
              <w:rPr>
                <w:b w:val="0"/>
                <w:i w:val="0"/>
                <w:sz w:val="16"/>
              </w:rPr>
              <w:t>104.1</w:t>
            </w:r>
          </w:p>
        </w:tc>
        <w:tc>
          <w:tcPr>
            <w:tcW w:type="dxa" w:w="929"/>
          </w:tcPr>
          <w:p>
            <w:pPr>
              <w:keepNext/>
              <w:spacing w:after="0" w:line="240" w:lineRule="auto"/>
              <w:jc w:val="right"/>
            </w:pPr>
            <w:r/>
            <w:r>
              <w:rPr>
                <w:b w:val="0"/>
                <w:i w:val="0"/>
                <w:sz w:val="16"/>
              </w:rPr>
              <w:t>73.2</w:t>
            </w:r>
          </w:p>
        </w:tc>
        <w:tc>
          <w:tcPr>
            <w:tcW w:type="dxa" w:w="929"/>
          </w:tcPr>
          <w:p>
            <w:pPr>
              <w:keepNext/>
              <w:spacing w:after="0" w:line="240" w:lineRule="auto"/>
              <w:jc w:val="right"/>
            </w:pPr>
            <w:r/>
            <w:r>
              <w:rPr>
                <w:b w:val="0"/>
                <w:i w:val="0"/>
                <w:sz w:val="16"/>
              </w:rPr>
              <w:t>74.3</w:t>
            </w:r>
          </w:p>
        </w:tc>
        <w:tc>
          <w:tcPr>
            <w:tcW w:type="dxa" w:w="1143"/>
          </w:tcPr>
          <w:p>
            <w:pPr>
              <w:keepNext/>
              <w:spacing w:after="0" w:line="240" w:lineRule="auto"/>
              <w:jc w:val="right"/>
            </w:pPr>
            <w:r/>
            <w:r>
              <w:rPr>
                <w:b w:val="0"/>
                <w:i w:val="0"/>
                <w:sz w:val="16"/>
              </w:rPr>
              <w:t>453.1</w:t>
            </w:r>
          </w:p>
        </w:tc>
      </w:tr>
      <w:tr>
        <w:trPr>
          <w:cantSplit/>
        </w:trPr>
        <w:tc>
          <w:tcPr>
            <w:tcW w:type="dxa" w:w="3001"/>
          </w:tcPr>
          <w:p>
            <w:pPr>
              <w:spacing w:after="0" w:line="240" w:lineRule="auto"/>
            </w:pPr>
            <w:r/>
            <w:r>
              <w:rPr>
                <w:b w:val="0"/>
                <w:i w:val="0"/>
                <w:sz w:val="16"/>
              </w:rPr>
              <w:t>+ Store dummies (126)</w:t>
            </w:r>
          </w:p>
        </w:tc>
        <w:tc>
          <w:tcPr>
            <w:tcW w:type="dxa" w:w="786"/>
          </w:tcPr>
          <w:p>
            <w:pPr>
              <w:spacing w:after="0" w:line="240" w:lineRule="auto"/>
              <w:jc w:val="right"/>
            </w:pPr>
            <w:r/>
            <w:r>
              <w:rPr>
                <w:b w:val="0"/>
                <w:i w:val="0"/>
                <w:sz w:val="16"/>
              </w:rPr>
              <w:t>-26.3</w:t>
            </w:r>
          </w:p>
        </w:tc>
        <w:tc>
          <w:tcPr>
            <w:tcW w:type="dxa" w:w="929"/>
          </w:tcPr>
          <w:p>
            <w:pPr>
              <w:spacing w:after="0" w:line="240" w:lineRule="auto"/>
              <w:jc w:val="right"/>
            </w:pPr>
            <w:r/>
            <w:r>
              <w:rPr>
                <w:b w:val="0"/>
                <w:i w:val="0"/>
                <w:sz w:val="16"/>
              </w:rPr>
              <w:t>38.4</w:t>
            </w:r>
          </w:p>
        </w:tc>
        <w:tc>
          <w:tcPr>
            <w:tcW w:type="dxa" w:w="857"/>
          </w:tcPr>
          <w:p>
            <w:pPr>
              <w:spacing w:after="0" w:line="240" w:lineRule="auto"/>
              <w:jc w:val="right"/>
            </w:pPr>
            <w:r/>
            <w:r>
              <w:rPr>
                <w:b w:val="0"/>
                <w:i w:val="0"/>
                <w:sz w:val="16"/>
              </w:rPr>
              <w:t>10.1</w:t>
            </w:r>
          </w:p>
        </w:tc>
        <w:tc>
          <w:tcPr>
            <w:tcW w:type="dxa" w:w="786"/>
          </w:tcPr>
          <w:p>
            <w:pPr>
              <w:spacing w:after="0" w:line="240" w:lineRule="auto"/>
              <w:jc w:val="right"/>
            </w:pPr>
            <w:r/>
            <w:r>
              <w:rPr>
                <w:b w:val="0"/>
                <w:i w:val="0"/>
                <w:sz w:val="16"/>
              </w:rPr>
              <w:t>107.1</w:t>
            </w:r>
          </w:p>
        </w:tc>
        <w:tc>
          <w:tcPr>
            <w:tcW w:type="dxa" w:w="929"/>
          </w:tcPr>
          <w:p>
            <w:pPr>
              <w:spacing w:after="0" w:line="240" w:lineRule="auto"/>
              <w:jc w:val="right"/>
            </w:pPr>
            <w:r/>
            <w:r>
              <w:rPr>
                <w:b w:val="0"/>
                <w:i w:val="0"/>
                <w:sz w:val="16"/>
              </w:rPr>
              <w:t>72.1</w:t>
            </w:r>
          </w:p>
        </w:tc>
        <w:tc>
          <w:tcPr>
            <w:tcW w:type="dxa" w:w="929"/>
          </w:tcPr>
          <w:p>
            <w:pPr>
              <w:spacing w:after="0" w:line="240" w:lineRule="auto"/>
              <w:jc w:val="right"/>
            </w:pPr>
            <w:r/>
            <w:r>
              <w:rPr>
                <w:b w:val="0"/>
                <w:i w:val="0"/>
                <w:sz w:val="16"/>
              </w:rPr>
              <w:t>72.8</w:t>
            </w:r>
          </w:p>
        </w:tc>
        <w:tc>
          <w:tcPr>
            <w:tcW w:type="dxa" w:w="1143"/>
          </w:tcPr>
          <w:p>
            <w:pPr>
              <w:spacing w:after="0" w:line="240" w:lineRule="auto"/>
              <w:jc w:val="right"/>
            </w:pPr>
            <w:r/>
            <w:r>
              <w:rPr>
                <w:b w:val="0"/>
                <w:i w:val="0"/>
                <w:sz w:val="16"/>
              </w:rPr>
              <w:t>449.5</w:t>
            </w:r>
          </w:p>
        </w:tc>
      </w:tr>
    </w:tbl>
    <w:p>
      <w:pPr>
        <w:spacing w:after="40"/>
      </w:pPr>
    </w:p>
    <w:p>
      <w:pPr>
        <w:pStyle w:val="Heading2"/>
      </w:pPr>
      <w:r>
        <w:t>C. Cluster-robust standard errors (store clusters)</w:t>
      </w:r>
    </w:p>
    <w:p>
      <w:pPr>
        <w:keepNext/>
        <w:spacing w:after="40"/>
      </w:pPr>
      <w:r>
        <w:rPr>
          <w:b/>
          <w:i w:val="0"/>
          <w:sz w:val="19"/>
        </w:rPr>
        <w:t>Table C1. Same coefficients; standard errors robust to within-store correlation. Combined endcap effect with rep: 95% CI 444–465.</w:t>
      </w:r>
    </w:p>
    <w:tbl>
      <w:tblPr>
        <w:tblStyle w:val="TableGrid"/>
        <w:tblW w:type="auto" w:w="0"/>
        <w:jc w:val="center"/>
        <w:tblLayout w:type="fixed"/>
        <w:tblLook w:firstColumn="1" w:firstRow="1" w:lastColumn="0" w:lastRow="0" w:noHBand="0" w:noVBand="1" w:val="04A0"/>
      </w:tblPr>
      <w:tblGrid>
        <w:gridCol w:w="2880"/>
        <w:gridCol w:w="1440"/>
        <w:gridCol w:w="1440"/>
        <w:gridCol w:w="1440"/>
        <w:gridCol w:w="1296"/>
      </w:tblGrid>
      <w:tr>
        <w:trPr>
          <w:cantSplit/>
        </w:trPr>
        <w:tc>
          <w:tcPr>
            <w:tcW w:type="dxa" w:w="2880"/>
            <w:shd w:val="clear" w:color="auto" w:fill="1F4E79"/>
          </w:tcPr>
          <w:p>
            <w:pPr>
              <w:keepNext/>
              <w:spacing w:after="0" w:line="240" w:lineRule="auto"/>
              <w:jc w:val="center"/>
            </w:pPr>
            <w:r>
              <w:rPr>
                <w:color w:val="FFFFFF"/>
              </w:rPr>
            </w:r>
            <w:r>
              <w:rPr>
                <w:b/>
                <w:i w:val="0"/>
                <w:color w:val="FFFFFF"/>
                <w:sz w:val="17"/>
              </w:rPr>
              <w:t>Variable</w:t>
            </w:r>
          </w:p>
        </w:tc>
        <w:tc>
          <w:tcPr>
            <w:tcW w:type="dxa" w:w="1440"/>
            <w:shd w:val="clear" w:color="auto" w:fill="1F4E79"/>
          </w:tcPr>
          <w:p>
            <w:pPr>
              <w:keepNext/>
              <w:spacing w:after="0" w:line="240" w:lineRule="auto"/>
              <w:jc w:val="center"/>
            </w:pPr>
            <w:r>
              <w:rPr>
                <w:color w:val="FFFFFF"/>
              </w:rPr>
            </w:r>
            <w:r>
              <w:rPr>
                <w:b/>
                <w:i w:val="0"/>
                <w:color w:val="FFFFFF"/>
                <w:sz w:val="17"/>
              </w:rPr>
              <w:t>Coefficient</w:t>
            </w:r>
          </w:p>
        </w:tc>
        <w:tc>
          <w:tcPr>
            <w:tcW w:type="dxa" w:w="1440"/>
            <w:shd w:val="clear" w:color="auto" w:fill="1F4E79"/>
          </w:tcPr>
          <w:p>
            <w:pPr>
              <w:keepNext/>
              <w:spacing w:after="0" w:line="240" w:lineRule="auto"/>
              <w:jc w:val="center"/>
            </w:pPr>
            <w:r>
              <w:rPr>
                <w:color w:val="FFFFFF"/>
              </w:rPr>
            </w:r>
            <w:r>
              <w:rPr>
                <w:b/>
                <w:i w:val="0"/>
                <w:color w:val="FFFFFF"/>
                <w:sz w:val="17"/>
              </w:rPr>
              <w:t>Cluster SE</w:t>
            </w:r>
          </w:p>
        </w:tc>
        <w:tc>
          <w:tcPr>
            <w:tcW w:type="dxa" w:w="1440"/>
            <w:shd w:val="clear" w:color="auto" w:fill="1F4E79"/>
          </w:tcPr>
          <w:p>
            <w:pPr>
              <w:keepNext/>
              <w:spacing w:after="0" w:line="240" w:lineRule="auto"/>
              <w:jc w:val="center"/>
            </w:pPr>
            <w:r>
              <w:rPr>
                <w:color w:val="FFFFFF"/>
              </w:rPr>
            </w:r>
            <w:r>
              <w:rPr>
                <w:b/>
                <w:i w:val="0"/>
                <w:color w:val="FFFFFF"/>
                <w:sz w:val="17"/>
              </w:rPr>
              <w:t>OLS SE</w:t>
            </w:r>
          </w:p>
        </w:tc>
        <w:tc>
          <w:tcPr>
            <w:tcW w:type="dxa" w:w="1296"/>
            <w:shd w:val="clear" w:color="auto" w:fill="1F4E79"/>
          </w:tcPr>
          <w:p>
            <w:pPr>
              <w:keepNext/>
              <w:spacing w:after="0" w:line="240" w:lineRule="auto"/>
              <w:jc w:val="center"/>
            </w:pPr>
            <w:r>
              <w:rPr>
                <w:color w:val="FFFFFF"/>
              </w:rPr>
            </w:r>
            <w:r>
              <w:rPr>
                <w:b/>
                <w:i w:val="0"/>
                <w:color w:val="FFFFFF"/>
                <w:sz w:val="17"/>
              </w:rPr>
              <w:t>p-value</w:t>
            </w:r>
          </w:p>
        </w:tc>
      </w:tr>
      <w:tr>
        <w:trPr>
          <w:cantSplit/>
        </w:trPr>
        <w:tc>
          <w:tcPr>
            <w:tcW w:type="dxa" w:w="2880"/>
          </w:tcPr>
          <w:p>
            <w:pPr>
              <w:keepNext/>
              <w:spacing w:after="0" w:line="240" w:lineRule="auto"/>
            </w:pPr>
            <w:r/>
            <w:r>
              <w:rPr>
                <w:b w:val="0"/>
                <w:i w:val="0"/>
                <w:sz w:val="17"/>
              </w:rPr>
              <w:t>Intercept</w:t>
            </w:r>
          </w:p>
        </w:tc>
        <w:tc>
          <w:tcPr>
            <w:tcW w:type="dxa" w:w="1440"/>
          </w:tcPr>
          <w:p>
            <w:pPr>
              <w:keepNext/>
              <w:spacing w:after="0" w:line="240" w:lineRule="auto"/>
              <w:jc w:val="right"/>
            </w:pPr>
            <w:r/>
            <w:r>
              <w:rPr>
                <w:b w:val="0"/>
                <w:i w:val="0"/>
                <w:sz w:val="17"/>
              </w:rPr>
              <w:t>276.57</w:t>
            </w:r>
          </w:p>
        </w:tc>
        <w:tc>
          <w:tcPr>
            <w:tcW w:type="dxa" w:w="1440"/>
          </w:tcPr>
          <w:p>
            <w:pPr>
              <w:keepNext/>
              <w:spacing w:after="0" w:line="240" w:lineRule="auto"/>
              <w:jc w:val="right"/>
            </w:pPr>
            <w:r/>
            <w:r>
              <w:rPr>
                <w:b w:val="0"/>
                <w:i w:val="0"/>
                <w:sz w:val="17"/>
              </w:rPr>
              <w:t>10.35</w:t>
            </w:r>
          </w:p>
        </w:tc>
        <w:tc>
          <w:tcPr>
            <w:tcW w:type="dxa" w:w="1440"/>
          </w:tcPr>
          <w:p>
            <w:pPr>
              <w:keepNext/>
              <w:spacing w:after="0" w:line="240" w:lineRule="auto"/>
              <w:jc w:val="right"/>
            </w:pPr>
            <w:r/>
            <w:r>
              <w:rPr>
                <w:b w:val="0"/>
                <w:i w:val="0"/>
                <w:sz w:val="17"/>
              </w:rPr>
              <w:t>12.17</w:t>
            </w:r>
          </w:p>
        </w:tc>
        <w:tc>
          <w:tcPr>
            <w:tcW w:type="dxa" w:w="1296"/>
          </w:tcPr>
          <w:p>
            <w:pPr>
              <w:keepNext/>
              <w:spacing w:after="0" w:line="240" w:lineRule="auto"/>
              <w:jc w:val="right"/>
            </w:pPr>
            <w:r/>
            <w:r>
              <w:rPr>
                <w:b w:val="0"/>
                <w:i w:val="0"/>
                <w:sz w:val="17"/>
              </w:rPr>
              <w:t>&lt;0.001</w:t>
            </w:r>
          </w:p>
        </w:tc>
      </w:tr>
      <w:tr>
        <w:trPr>
          <w:cantSplit/>
        </w:trPr>
        <w:tc>
          <w:tcPr>
            <w:tcW w:type="dxa" w:w="2880"/>
          </w:tcPr>
          <w:p>
            <w:pPr>
              <w:keepNext/>
              <w:spacing w:after="0" w:line="240" w:lineRule="auto"/>
            </w:pPr>
            <w:r/>
            <w:r>
              <w:rPr>
                <w:b w:val="0"/>
                <w:i w:val="0"/>
                <w:sz w:val="17"/>
              </w:rPr>
              <w:t>Average Retail Price</w:t>
            </w:r>
          </w:p>
        </w:tc>
        <w:tc>
          <w:tcPr>
            <w:tcW w:type="dxa" w:w="1440"/>
          </w:tcPr>
          <w:p>
            <w:pPr>
              <w:keepNext/>
              <w:spacing w:after="0" w:line="240" w:lineRule="auto"/>
              <w:jc w:val="right"/>
            </w:pPr>
            <w:r/>
            <w:r>
              <w:rPr>
                <w:b w:val="0"/>
                <w:i w:val="0"/>
                <w:sz w:val="17"/>
              </w:rPr>
              <w:t>-22.07</w:t>
            </w:r>
          </w:p>
        </w:tc>
        <w:tc>
          <w:tcPr>
            <w:tcW w:type="dxa" w:w="1440"/>
          </w:tcPr>
          <w:p>
            <w:pPr>
              <w:keepNext/>
              <w:spacing w:after="0" w:line="240" w:lineRule="auto"/>
              <w:jc w:val="right"/>
            </w:pPr>
            <w:r/>
            <w:r>
              <w:rPr>
                <w:b w:val="0"/>
                <w:i w:val="0"/>
                <w:sz w:val="17"/>
              </w:rPr>
              <w:t>2.61</w:t>
            </w:r>
          </w:p>
        </w:tc>
        <w:tc>
          <w:tcPr>
            <w:tcW w:type="dxa" w:w="1440"/>
          </w:tcPr>
          <w:p>
            <w:pPr>
              <w:keepNext/>
              <w:spacing w:after="0" w:line="240" w:lineRule="auto"/>
              <w:jc w:val="right"/>
            </w:pPr>
            <w:r/>
            <w:r>
              <w:rPr>
                <w:b w:val="0"/>
                <w:i w:val="0"/>
                <w:sz w:val="17"/>
              </w:rPr>
              <w:t>3.04</w:t>
            </w:r>
          </w:p>
        </w:tc>
        <w:tc>
          <w:tcPr>
            <w:tcW w:type="dxa" w:w="1296"/>
          </w:tcPr>
          <w:p>
            <w:pPr>
              <w:keepNext/>
              <w:spacing w:after="0" w:line="240" w:lineRule="auto"/>
              <w:jc w:val="right"/>
            </w:pPr>
            <w:r/>
            <w:r>
              <w:rPr>
                <w:b w:val="0"/>
                <w:i w:val="0"/>
                <w:sz w:val="17"/>
              </w:rPr>
              <w:t>&lt;0.001</w:t>
            </w:r>
          </w:p>
        </w:tc>
      </w:tr>
      <w:tr>
        <w:trPr>
          <w:cantSplit/>
        </w:trPr>
        <w:tc>
          <w:tcPr>
            <w:tcW w:type="dxa" w:w="2880"/>
          </w:tcPr>
          <w:p>
            <w:pPr>
              <w:keepNext/>
              <w:spacing w:after="0" w:line="240" w:lineRule="auto"/>
            </w:pPr>
            <w:r/>
            <w:r>
              <w:rPr>
                <w:b w:val="0"/>
                <w:i w:val="0"/>
                <w:sz w:val="17"/>
              </w:rPr>
              <w:t>Sales Rep</w:t>
            </w:r>
          </w:p>
        </w:tc>
        <w:tc>
          <w:tcPr>
            <w:tcW w:type="dxa" w:w="1440"/>
          </w:tcPr>
          <w:p>
            <w:pPr>
              <w:keepNext/>
              <w:spacing w:after="0" w:line="240" w:lineRule="auto"/>
              <w:jc w:val="right"/>
            </w:pPr>
            <w:r/>
            <w:r>
              <w:rPr>
                <w:b w:val="0"/>
                <w:i w:val="0"/>
                <w:sz w:val="17"/>
              </w:rPr>
              <w:t>59.46</w:t>
            </w:r>
          </w:p>
        </w:tc>
        <w:tc>
          <w:tcPr>
            <w:tcW w:type="dxa" w:w="1440"/>
          </w:tcPr>
          <w:p>
            <w:pPr>
              <w:keepNext/>
              <w:spacing w:after="0" w:line="240" w:lineRule="auto"/>
              <w:jc w:val="right"/>
            </w:pPr>
            <w:r/>
            <w:r>
              <w:rPr>
                <w:b w:val="0"/>
                <w:i w:val="0"/>
                <w:sz w:val="17"/>
              </w:rPr>
              <w:t>2.98</w:t>
            </w:r>
          </w:p>
        </w:tc>
        <w:tc>
          <w:tcPr>
            <w:tcW w:type="dxa" w:w="1440"/>
          </w:tcPr>
          <w:p>
            <w:pPr>
              <w:keepNext/>
              <w:spacing w:after="0" w:line="240" w:lineRule="auto"/>
              <w:jc w:val="right"/>
            </w:pPr>
            <w:r/>
            <w:r>
              <w:rPr>
                <w:b w:val="0"/>
                <w:i w:val="0"/>
                <w:sz w:val="17"/>
              </w:rPr>
              <w:t>3.01</w:t>
            </w:r>
          </w:p>
        </w:tc>
        <w:tc>
          <w:tcPr>
            <w:tcW w:type="dxa" w:w="1296"/>
          </w:tcPr>
          <w:p>
            <w:pPr>
              <w:keepNext/>
              <w:spacing w:after="0" w:line="240" w:lineRule="auto"/>
              <w:jc w:val="right"/>
            </w:pPr>
            <w:r/>
            <w:r>
              <w:rPr>
                <w:b w:val="0"/>
                <w:i w:val="0"/>
                <w:sz w:val="17"/>
              </w:rPr>
              <w:t>&lt;0.001</w:t>
            </w:r>
          </w:p>
        </w:tc>
      </w:tr>
      <w:tr>
        <w:trPr>
          <w:cantSplit/>
        </w:trPr>
        <w:tc>
          <w:tcPr>
            <w:tcW w:type="dxa" w:w="2880"/>
          </w:tcPr>
          <w:p>
            <w:pPr>
              <w:keepNext/>
              <w:spacing w:after="0" w:line="240" w:lineRule="auto"/>
            </w:pPr>
            <w:r/>
            <w:r>
              <w:rPr>
                <w:b w:val="0"/>
                <w:i w:val="0"/>
                <w:sz w:val="17"/>
              </w:rPr>
              <w:t>Endcap (when Sales Rep = 0)</w:t>
            </w:r>
          </w:p>
        </w:tc>
        <w:tc>
          <w:tcPr>
            <w:tcW w:type="dxa" w:w="1440"/>
          </w:tcPr>
          <w:p>
            <w:pPr>
              <w:keepNext/>
              <w:spacing w:after="0" w:line="240" w:lineRule="auto"/>
              <w:jc w:val="right"/>
            </w:pPr>
            <w:r/>
            <w:r>
              <w:rPr>
                <w:b w:val="0"/>
                <w:i w:val="0"/>
                <w:sz w:val="17"/>
              </w:rPr>
              <w:t>0.62</w:t>
            </w:r>
          </w:p>
        </w:tc>
        <w:tc>
          <w:tcPr>
            <w:tcW w:type="dxa" w:w="1440"/>
          </w:tcPr>
          <w:p>
            <w:pPr>
              <w:keepNext/>
              <w:spacing w:after="0" w:line="240" w:lineRule="auto"/>
              <w:jc w:val="right"/>
            </w:pPr>
            <w:r/>
            <w:r>
              <w:rPr>
                <w:b w:val="0"/>
                <w:i w:val="0"/>
                <w:sz w:val="17"/>
              </w:rPr>
              <w:t>6.94</w:t>
            </w:r>
          </w:p>
        </w:tc>
        <w:tc>
          <w:tcPr>
            <w:tcW w:type="dxa" w:w="1440"/>
          </w:tcPr>
          <w:p>
            <w:pPr>
              <w:keepNext/>
              <w:spacing w:after="0" w:line="240" w:lineRule="auto"/>
              <w:jc w:val="right"/>
            </w:pPr>
            <w:r/>
            <w:r>
              <w:rPr>
                <w:b w:val="0"/>
                <w:i w:val="0"/>
                <w:sz w:val="17"/>
              </w:rPr>
              <w:t>12.08</w:t>
            </w:r>
          </w:p>
        </w:tc>
        <w:tc>
          <w:tcPr>
            <w:tcW w:type="dxa" w:w="1296"/>
          </w:tcPr>
          <w:p>
            <w:pPr>
              <w:keepNext/>
              <w:spacing w:after="0" w:line="240" w:lineRule="auto"/>
              <w:jc w:val="right"/>
            </w:pPr>
            <w:r/>
            <w:r>
              <w:rPr>
                <w:b w:val="0"/>
                <w:i w:val="0"/>
                <w:sz w:val="17"/>
              </w:rPr>
              <w:t>0.929</w:t>
            </w:r>
          </w:p>
        </w:tc>
      </w:tr>
      <w:tr>
        <w:trPr>
          <w:cantSplit/>
        </w:trPr>
        <w:tc>
          <w:tcPr>
            <w:tcW w:type="dxa" w:w="2880"/>
          </w:tcPr>
          <w:p>
            <w:pPr>
              <w:keepNext/>
              <w:spacing w:after="0" w:line="240" w:lineRule="auto"/>
            </w:pPr>
            <w:r/>
            <w:r>
              <w:rPr>
                <w:b w:val="0"/>
                <w:i w:val="0"/>
                <w:sz w:val="17"/>
              </w:rPr>
              <w:t>Demo (this week)</w:t>
            </w:r>
          </w:p>
        </w:tc>
        <w:tc>
          <w:tcPr>
            <w:tcW w:type="dxa" w:w="1440"/>
          </w:tcPr>
          <w:p>
            <w:pPr>
              <w:keepNext/>
              <w:spacing w:after="0" w:line="240" w:lineRule="auto"/>
              <w:jc w:val="right"/>
            </w:pPr>
            <w:r/>
            <w:r>
              <w:rPr>
                <w:b w:val="0"/>
                <w:i w:val="0"/>
                <w:sz w:val="17"/>
              </w:rPr>
              <w:t>106.75</w:t>
            </w:r>
          </w:p>
        </w:tc>
        <w:tc>
          <w:tcPr>
            <w:tcW w:type="dxa" w:w="1440"/>
          </w:tcPr>
          <w:p>
            <w:pPr>
              <w:keepNext/>
              <w:spacing w:after="0" w:line="240" w:lineRule="auto"/>
              <w:jc w:val="right"/>
            </w:pPr>
            <w:r/>
            <w:r>
              <w:rPr>
                <w:b w:val="0"/>
                <w:i w:val="0"/>
                <w:sz w:val="17"/>
              </w:rPr>
              <w:t>6.14</w:t>
            </w:r>
          </w:p>
        </w:tc>
        <w:tc>
          <w:tcPr>
            <w:tcW w:type="dxa" w:w="1440"/>
          </w:tcPr>
          <w:p>
            <w:pPr>
              <w:keepNext/>
              <w:spacing w:after="0" w:line="240" w:lineRule="auto"/>
              <w:jc w:val="right"/>
            </w:pPr>
            <w:r/>
            <w:r>
              <w:rPr>
                <w:b w:val="0"/>
                <w:i w:val="0"/>
                <w:sz w:val="17"/>
              </w:rPr>
              <w:t>5.70</w:t>
            </w:r>
          </w:p>
        </w:tc>
        <w:tc>
          <w:tcPr>
            <w:tcW w:type="dxa" w:w="1296"/>
          </w:tcPr>
          <w:p>
            <w:pPr>
              <w:keepNext/>
              <w:spacing w:after="0" w:line="240" w:lineRule="auto"/>
              <w:jc w:val="right"/>
            </w:pPr>
            <w:r/>
            <w:r>
              <w:rPr>
                <w:b w:val="0"/>
                <w:i w:val="0"/>
                <w:sz w:val="17"/>
              </w:rPr>
              <w:t>&lt;0.001</w:t>
            </w:r>
          </w:p>
        </w:tc>
      </w:tr>
      <w:tr>
        <w:trPr>
          <w:cantSplit/>
        </w:trPr>
        <w:tc>
          <w:tcPr>
            <w:tcW w:type="dxa" w:w="2880"/>
          </w:tcPr>
          <w:p>
            <w:pPr>
              <w:keepNext/>
              <w:spacing w:after="0" w:line="240" w:lineRule="auto"/>
            </w:pPr>
            <w:r/>
            <w:r>
              <w:rPr>
                <w:b w:val="0"/>
                <w:i w:val="0"/>
                <w:sz w:val="17"/>
              </w:rPr>
              <w:t>Demo1-3</w:t>
            </w:r>
          </w:p>
        </w:tc>
        <w:tc>
          <w:tcPr>
            <w:tcW w:type="dxa" w:w="1440"/>
          </w:tcPr>
          <w:p>
            <w:pPr>
              <w:keepNext/>
              <w:spacing w:after="0" w:line="240" w:lineRule="auto"/>
              <w:jc w:val="right"/>
            </w:pPr>
            <w:r/>
            <w:r>
              <w:rPr>
                <w:b w:val="0"/>
                <w:i w:val="0"/>
                <w:sz w:val="17"/>
              </w:rPr>
              <w:t>73.37</w:t>
            </w:r>
          </w:p>
        </w:tc>
        <w:tc>
          <w:tcPr>
            <w:tcW w:type="dxa" w:w="1440"/>
          </w:tcPr>
          <w:p>
            <w:pPr>
              <w:keepNext/>
              <w:spacing w:after="0" w:line="240" w:lineRule="auto"/>
              <w:jc w:val="right"/>
            </w:pPr>
            <w:r/>
            <w:r>
              <w:rPr>
                <w:b w:val="0"/>
                <w:i w:val="0"/>
                <w:sz w:val="17"/>
              </w:rPr>
              <w:t>3.16</w:t>
            </w:r>
          </w:p>
        </w:tc>
        <w:tc>
          <w:tcPr>
            <w:tcW w:type="dxa" w:w="1440"/>
          </w:tcPr>
          <w:p>
            <w:pPr>
              <w:keepNext/>
              <w:spacing w:after="0" w:line="240" w:lineRule="auto"/>
              <w:jc w:val="right"/>
            </w:pPr>
            <w:r/>
            <w:r>
              <w:rPr>
                <w:b w:val="0"/>
                <w:i w:val="0"/>
                <w:sz w:val="17"/>
              </w:rPr>
              <w:t>3.77</w:t>
            </w:r>
          </w:p>
        </w:tc>
        <w:tc>
          <w:tcPr>
            <w:tcW w:type="dxa" w:w="1296"/>
          </w:tcPr>
          <w:p>
            <w:pPr>
              <w:keepNext/>
              <w:spacing w:after="0" w:line="240" w:lineRule="auto"/>
              <w:jc w:val="right"/>
            </w:pPr>
            <w:r/>
            <w:r>
              <w:rPr>
                <w:b w:val="0"/>
                <w:i w:val="0"/>
                <w:sz w:val="17"/>
              </w:rPr>
              <w:t>&lt;0.001</w:t>
            </w:r>
          </w:p>
        </w:tc>
      </w:tr>
      <w:tr>
        <w:trPr>
          <w:cantSplit/>
        </w:trPr>
        <w:tc>
          <w:tcPr>
            <w:tcW w:type="dxa" w:w="2880"/>
          </w:tcPr>
          <w:p>
            <w:pPr>
              <w:keepNext/>
              <w:spacing w:after="0" w:line="240" w:lineRule="auto"/>
            </w:pPr>
            <w:r/>
            <w:r>
              <w:rPr>
                <w:b w:val="0"/>
                <w:i w:val="0"/>
                <w:sz w:val="17"/>
              </w:rPr>
              <w:t>Demo4-5</w:t>
            </w:r>
          </w:p>
        </w:tc>
        <w:tc>
          <w:tcPr>
            <w:tcW w:type="dxa" w:w="1440"/>
          </w:tcPr>
          <w:p>
            <w:pPr>
              <w:keepNext/>
              <w:spacing w:after="0" w:line="240" w:lineRule="auto"/>
              <w:jc w:val="right"/>
            </w:pPr>
            <w:r/>
            <w:r>
              <w:rPr>
                <w:b w:val="0"/>
                <w:i w:val="0"/>
                <w:sz w:val="17"/>
              </w:rPr>
              <w:t>74.55</w:t>
            </w:r>
          </w:p>
        </w:tc>
        <w:tc>
          <w:tcPr>
            <w:tcW w:type="dxa" w:w="1440"/>
          </w:tcPr>
          <w:p>
            <w:pPr>
              <w:keepNext/>
              <w:spacing w:after="0" w:line="240" w:lineRule="auto"/>
              <w:jc w:val="right"/>
            </w:pPr>
            <w:r/>
            <w:r>
              <w:rPr>
                <w:b w:val="0"/>
                <w:i w:val="0"/>
                <w:sz w:val="17"/>
              </w:rPr>
              <w:t>4.72</w:t>
            </w:r>
          </w:p>
        </w:tc>
        <w:tc>
          <w:tcPr>
            <w:tcW w:type="dxa" w:w="1440"/>
          </w:tcPr>
          <w:p>
            <w:pPr>
              <w:keepNext/>
              <w:spacing w:after="0" w:line="240" w:lineRule="auto"/>
              <w:jc w:val="right"/>
            </w:pPr>
            <w:r/>
            <w:r>
              <w:rPr>
                <w:b w:val="0"/>
                <w:i w:val="0"/>
                <w:sz w:val="17"/>
              </w:rPr>
              <w:t>5.04</w:t>
            </w:r>
          </w:p>
        </w:tc>
        <w:tc>
          <w:tcPr>
            <w:tcW w:type="dxa" w:w="1296"/>
          </w:tcPr>
          <w:p>
            <w:pPr>
              <w:keepNext/>
              <w:spacing w:after="0" w:line="240" w:lineRule="auto"/>
              <w:jc w:val="right"/>
            </w:pPr>
            <w:r/>
            <w:r>
              <w:rPr>
                <w:b w:val="0"/>
                <w:i w:val="0"/>
                <w:sz w:val="17"/>
              </w:rPr>
              <w:t>&lt;0.001</w:t>
            </w:r>
          </w:p>
        </w:tc>
      </w:tr>
      <w:tr>
        <w:trPr>
          <w:cantSplit/>
        </w:trPr>
        <w:tc>
          <w:tcPr>
            <w:tcW w:type="dxa" w:w="2880"/>
          </w:tcPr>
          <w:p>
            <w:pPr>
              <w:spacing w:after="0" w:line="240" w:lineRule="auto"/>
            </w:pPr>
            <w:r/>
            <w:r>
              <w:rPr>
                <w:b w:val="0"/>
                <w:i w:val="0"/>
                <w:sz w:val="17"/>
              </w:rPr>
              <w:t>Endcap × Sales Rep</w:t>
            </w:r>
          </w:p>
        </w:tc>
        <w:tc>
          <w:tcPr>
            <w:tcW w:type="dxa" w:w="1440"/>
          </w:tcPr>
          <w:p>
            <w:pPr>
              <w:spacing w:after="0" w:line="240" w:lineRule="auto"/>
              <w:jc w:val="right"/>
            </w:pPr>
            <w:r/>
            <w:r>
              <w:rPr>
                <w:b w:val="0"/>
                <w:i w:val="0"/>
                <w:sz w:val="17"/>
              </w:rPr>
              <w:t>453.80</w:t>
            </w:r>
          </w:p>
        </w:tc>
        <w:tc>
          <w:tcPr>
            <w:tcW w:type="dxa" w:w="1440"/>
          </w:tcPr>
          <w:p>
            <w:pPr>
              <w:spacing w:after="0" w:line="240" w:lineRule="auto"/>
              <w:jc w:val="right"/>
            </w:pPr>
            <w:r/>
            <w:r>
              <w:rPr>
                <w:b w:val="0"/>
                <w:i w:val="0"/>
                <w:sz w:val="17"/>
              </w:rPr>
              <w:t>8.73</w:t>
            </w:r>
          </w:p>
        </w:tc>
        <w:tc>
          <w:tcPr>
            <w:tcW w:type="dxa" w:w="1440"/>
          </w:tcPr>
          <w:p>
            <w:pPr>
              <w:spacing w:after="0" w:line="240" w:lineRule="auto"/>
              <w:jc w:val="right"/>
            </w:pPr>
            <w:r/>
            <w:r>
              <w:rPr>
                <w:b w:val="0"/>
                <w:i w:val="0"/>
                <w:sz w:val="17"/>
              </w:rPr>
              <w:t>14.74</w:t>
            </w:r>
          </w:p>
        </w:tc>
        <w:tc>
          <w:tcPr>
            <w:tcW w:type="dxa" w:w="1296"/>
          </w:tcPr>
          <w:p>
            <w:pPr>
              <w:spacing w:after="0" w:line="240" w:lineRule="auto"/>
              <w:jc w:val="right"/>
            </w:pPr>
            <w:r/>
            <w:r>
              <w:rPr>
                <w:b w:val="0"/>
                <w:i w:val="0"/>
                <w:sz w:val="17"/>
              </w:rPr>
              <w:t>&lt;0.001</w:t>
            </w:r>
          </w:p>
        </w:tc>
      </w:tr>
    </w:tbl>
    <w:p>
      <w:pPr>
        <w:spacing w:after="40"/>
      </w:pPr>
    </w:p>
    <w:p>
      <w:pPr>
        <w:pStyle w:val="Heading2"/>
      </w:pPr>
      <w:r>
        <w:t>D. Ten largest studentized residuals</w:t>
      </w:r>
    </w:p>
    <w:p>
      <w:pPr>
        <w:keepNext/>
        <w:spacing w:after="40"/>
      </w:pPr>
      <w:r>
        <w:rPr>
          <w:b/>
          <w:i w:val="0"/>
          <w:sz w:val="19"/>
        </w:rPr>
        <w:t>Table D1. Largest outliers (no data errors found; all retained)</w:t>
      </w:r>
    </w:p>
    <w:tbl>
      <w:tblPr>
        <w:tblStyle w:val="TableGrid"/>
        <w:tblW w:type="auto" w:w="0"/>
        <w:jc w:val="center"/>
        <w:tblLayout w:type="fixed"/>
        <w:tblLook w:firstColumn="1" w:firstRow="1" w:lastColumn="0" w:lastRow="0" w:noHBand="0" w:noVBand="1" w:val="04A0"/>
      </w:tblPr>
      <w:tblGrid>
        <w:gridCol w:w="2592"/>
        <w:gridCol w:w="1296"/>
        <w:gridCol w:w="864"/>
        <w:gridCol w:w="864"/>
        <w:gridCol w:w="1008"/>
        <w:gridCol w:w="576"/>
        <w:gridCol w:w="864"/>
        <w:gridCol w:w="720"/>
      </w:tblGrid>
      <w:tr>
        <w:trPr>
          <w:cantSplit/>
        </w:trPr>
        <w:tc>
          <w:tcPr>
            <w:tcW w:type="dxa" w:w="2592"/>
            <w:shd w:val="clear" w:color="auto" w:fill="1F4E79"/>
          </w:tcPr>
          <w:p>
            <w:pPr>
              <w:keepNext/>
              <w:spacing w:after="0" w:line="240" w:lineRule="auto"/>
              <w:jc w:val="center"/>
            </w:pPr>
            <w:r>
              <w:rPr>
                <w:color w:val="FFFFFF"/>
              </w:rPr>
            </w:r>
            <w:r>
              <w:rPr>
                <w:b/>
                <w:i w:val="0"/>
                <w:color w:val="FFFFFF"/>
                <w:sz w:val="16"/>
              </w:rPr>
              <w:t>Store</w:t>
            </w:r>
          </w:p>
        </w:tc>
        <w:tc>
          <w:tcPr>
            <w:tcW w:type="dxa" w:w="1296"/>
            <w:shd w:val="clear" w:color="auto" w:fill="1F4E79"/>
          </w:tcPr>
          <w:p>
            <w:pPr>
              <w:keepNext/>
              <w:spacing w:after="0" w:line="240" w:lineRule="auto"/>
              <w:jc w:val="center"/>
            </w:pPr>
            <w:r>
              <w:rPr>
                <w:color w:val="FFFFFF"/>
              </w:rPr>
            </w:r>
            <w:r>
              <w:rPr>
                <w:b/>
                <w:i w:val="0"/>
                <w:color w:val="FFFFFF"/>
                <w:sz w:val="16"/>
              </w:rPr>
              <w:t>Date</w:t>
            </w:r>
          </w:p>
        </w:tc>
        <w:tc>
          <w:tcPr>
            <w:tcW w:type="dxa" w:w="864"/>
            <w:shd w:val="clear" w:color="auto" w:fill="1F4E79"/>
          </w:tcPr>
          <w:p>
            <w:pPr>
              <w:keepNext/>
              <w:spacing w:after="0" w:line="240" w:lineRule="auto"/>
              <w:jc w:val="center"/>
            </w:pPr>
            <w:r>
              <w:rPr>
                <w:color w:val="FFFFFF"/>
              </w:rPr>
            </w:r>
            <w:r>
              <w:rPr>
                <w:b/>
                <w:i w:val="0"/>
                <w:color w:val="FFFFFF"/>
                <w:sz w:val="16"/>
              </w:rPr>
              <w:t>Sales</w:t>
            </w:r>
          </w:p>
        </w:tc>
        <w:tc>
          <w:tcPr>
            <w:tcW w:type="dxa" w:w="864"/>
            <w:shd w:val="clear" w:color="auto" w:fill="1F4E79"/>
          </w:tcPr>
          <w:p>
            <w:pPr>
              <w:keepNext/>
              <w:spacing w:after="0" w:line="240" w:lineRule="auto"/>
              <w:jc w:val="center"/>
            </w:pPr>
            <w:r>
              <w:rPr>
                <w:color w:val="FFFFFF"/>
              </w:rPr>
            </w:r>
            <w:r>
              <w:rPr>
                <w:b/>
                <w:i w:val="0"/>
                <w:color w:val="FFFFFF"/>
                <w:sz w:val="16"/>
              </w:rPr>
              <w:t>Fitted</w:t>
            </w:r>
          </w:p>
        </w:tc>
        <w:tc>
          <w:tcPr>
            <w:tcW w:type="dxa" w:w="1008"/>
            <w:shd w:val="clear" w:color="auto" w:fill="1F4E79"/>
          </w:tcPr>
          <w:p>
            <w:pPr>
              <w:keepNext/>
              <w:spacing w:after="0" w:line="240" w:lineRule="auto"/>
              <w:jc w:val="center"/>
            </w:pPr>
            <w:r>
              <w:rPr>
                <w:color w:val="FFFFFF"/>
              </w:rPr>
            </w:r>
            <w:r>
              <w:rPr>
                <w:b/>
                <w:i w:val="0"/>
                <w:color w:val="FFFFFF"/>
                <w:sz w:val="16"/>
              </w:rPr>
              <w:t>Std. resid</w:t>
            </w:r>
          </w:p>
        </w:tc>
        <w:tc>
          <w:tcPr>
            <w:tcW w:type="dxa" w:w="576"/>
            <w:shd w:val="clear" w:color="auto" w:fill="1F4E79"/>
          </w:tcPr>
          <w:p>
            <w:pPr>
              <w:keepNext/>
              <w:spacing w:after="0" w:line="240" w:lineRule="auto"/>
              <w:jc w:val="center"/>
            </w:pPr>
            <w:r>
              <w:rPr>
                <w:color w:val="FFFFFF"/>
              </w:rPr>
            </w:r>
            <w:r>
              <w:rPr>
                <w:b/>
                <w:i w:val="0"/>
                <w:color w:val="FFFFFF"/>
                <w:sz w:val="16"/>
              </w:rPr>
              <w:t>Rep</w:t>
            </w:r>
          </w:p>
        </w:tc>
        <w:tc>
          <w:tcPr>
            <w:tcW w:type="dxa" w:w="864"/>
            <w:shd w:val="clear" w:color="auto" w:fill="1F4E79"/>
          </w:tcPr>
          <w:p>
            <w:pPr>
              <w:keepNext/>
              <w:spacing w:after="0" w:line="240" w:lineRule="auto"/>
              <w:jc w:val="center"/>
            </w:pPr>
            <w:r>
              <w:rPr>
                <w:color w:val="FFFFFF"/>
              </w:rPr>
            </w:r>
            <w:r>
              <w:rPr>
                <w:b/>
                <w:i w:val="0"/>
                <w:color w:val="FFFFFF"/>
                <w:sz w:val="16"/>
              </w:rPr>
              <w:t>Endcap</w:t>
            </w:r>
          </w:p>
        </w:tc>
        <w:tc>
          <w:tcPr>
            <w:tcW w:type="dxa" w:w="720"/>
            <w:shd w:val="clear" w:color="auto" w:fill="1F4E79"/>
          </w:tcPr>
          <w:p>
            <w:pPr>
              <w:keepNext/>
              <w:spacing w:after="0" w:line="240" w:lineRule="auto"/>
              <w:jc w:val="center"/>
            </w:pPr>
            <w:r>
              <w:rPr>
                <w:color w:val="FFFFFF"/>
              </w:rPr>
            </w:r>
            <w:r>
              <w:rPr>
                <w:b/>
                <w:i w:val="0"/>
                <w:color w:val="FFFFFF"/>
                <w:sz w:val="16"/>
              </w:rPr>
              <w:t>Demo</w:t>
            </w:r>
          </w:p>
        </w:tc>
      </w:tr>
      <w:tr>
        <w:trPr>
          <w:cantSplit/>
        </w:trPr>
        <w:tc>
          <w:tcPr>
            <w:tcW w:type="dxa" w:w="2592"/>
          </w:tcPr>
          <w:p>
            <w:pPr>
              <w:keepNext/>
              <w:spacing w:after="0" w:line="240" w:lineRule="auto"/>
            </w:pPr>
            <w:r/>
            <w:r>
              <w:rPr>
                <w:b w:val="0"/>
                <w:i w:val="0"/>
                <w:sz w:val="16"/>
              </w:rPr>
              <w:t>South Loop</w:t>
            </w:r>
          </w:p>
        </w:tc>
        <w:tc>
          <w:tcPr>
            <w:tcW w:type="dxa" w:w="1296"/>
          </w:tcPr>
          <w:p>
            <w:pPr>
              <w:keepNext/>
              <w:spacing w:after="0" w:line="240" w:lineRule="auto"/>
            </w:pPr>
            <w:r/>
            <w:r>
              <w:rPr>
                <w:b w:val="0"/>
                <w:i w:val="0"/>
                <w:sz w:val="16"/>
              </w:rPr>
              <w:t>2010-06-15</w:t>
            </w:r>
          </w:p>
        </w:tc>
        <w:tc>
          <w:tcPr>
            <w:tcW w:type="dxa" w:w="864"/>
          </w:tcPr>
          <w:p>
            <w:pPr>
              <w:keepNext/>
              <w:spacing w:after="0" w:line="240" w:lineRule="auto"/>
              <w:jc w:val="right"/>
            </w:pPr>
            <w:r/>
            <w:r>
              <w:rPr>
                <w:b w:val="0"/>
                <w:i w:val="0"/>
                <w:sz w:val="16"/>
              </w:rPr>
              <w:t>428</w:t>
            </w:r>
          </w:p>
        </w:tc>
        <w:tc>
          <w:tcPr>
            <w:tcW w:type="dxa" w:w="864"/>
          </w:tcPr>
          <w:p>
            <w:pPr>
              <w:keepNext/>
              <w:spacing w:after="0" w:line="240" w:lineRule="auto"/>
              <w:jc w:val="right"/>
            </w:pPr>
            <w:r/>
            <w:r>
              <w:rPr>
                <w:b w:val="0"/>
                <w:i w:val="0"/>
                <w:sz w:val="16"/>
              </w:rPr>
              <w:t>246</w:t>
            </w:r>
          </w:p>
        </w:tc>
        <w:tc>
          <w:tcPr>
            <w:tcW w:type="dxa" w:w="1008"/>
          </w:tcPr>
          <w:p>
            <w:pPr>
              <w:keepNext/>
              <w:spacing w:after="0" w:line="240" w:lineRule="auto"/>
              <w:jc w:val="right"/>
            </w:pPr>
            <w:r/>
            <w:r>
              <w:rPr>
                <w:b w:val="0"/>
                <w:i w:val="0"/>
                <w:sz w:val="16"/>
              </w:rPr>
              <w:t>3.73</w:t>
            </w:r>
          </w:p>
        </w:tc>
        <w:tc>
          <w:tcPr>
            <w:tcW w:type="dxa" w:w="576"/>
          </w:tcPr>
          <w:p>
            <w:pPr>
              <w:keepNext/>
              <w:spacing w:after="0" w:line="240" w:lineRule="auto"/>
              <w:jc w:val="right"/>
            </w:pPr>
            <w:r/>
            <w:r>
              <w:rPr>
                <w:b w:val="0"/>
                <w:i w:val="0"/>
                <w:sz w:val="16"/>
              </w:rPr>
              <w:t>1</w:t>
            </w:r>
          </w:p>
        </w:tc>
        <w:tc>
          <w:tcPr>
            <w:tcW w:type="dxa" w:w="864"/>
          </w:tcPr>
          <w:p>
            <w:pPr>
              <w:keepNext/>
              <w:spacing w:after="0" w:line="240" w:lineRule="auto"/>
              <w:jc w:val="right"/>
            </w:pPr>
            <w:r/>
            <w:r>
              <w:rPr>
                <w:b w:val="0"/>
                <w:i w:val="0"/>
                <w:sz w:val="16"/>
              </w:rPr>
              <w:t>0</w:t>
            </w:r>
          </w:p>
        </w:tc>
        <w:tc>
          <w:tcPr>
            <w:tcW w:type="dxa" w:w="720"/>
          </w:tcPr>
          <w:p>
            <w:pPr>
              <w:keepNext/>
              <w:spacing w:after="0" w:line="240" w:lineRule="auto"/>
              <w:jc w:val="right"/>
            </w:pPr>
            <w:r/>
            <w:r>
              <w:rPr>
                <w:b w:val="0"/>
                <w:i w:val="0"/>
                <w:sz w:val="16"/>
              </w:rPr>
              <w:t>0</w:t>
            </w:r>
          </w:p>
        </w:tc>
      </w:tr>
      <w:tr>
        <w:trPr>
          <w:cantSplit/>
        </w:trPr>
        <w:tc>
          <w:tcPr>
            <w:tcW w:type="dxa" w:w="2592"/>
          </w:tcPr>
          <w:p>
            <w:pPr>
              <w:keepNext/>
              <w:spacing w:after="0" w:line="240" w:lineRule="auto"/>
            </w:pPr>
            <w:r/>
            <w:r>
              <w:rPr>
                <w:b w:val="0"/>
                <w:i w:val="0"/>
                <w:sz w:val="16"/>
              </w:rPr>
              <w:t>Lakeview</w:t>
            </w:r>
          </w:p>
        </w:tc>
        <w:tc>
          <w:tcPr>
            <w:tcW w:type="dxa" w:w="1296"/>
          </w:tcPr>
          <w:p>
            <w:pPr>
              <w:keepNext/>
              <w:spacing w:after="0" w:line="240" w:lineRule="auto"/>
            </w:pPr>
            <w:r/>
            <w:r>
              <w:rPr>
                <w:b w:val="0"/>
                <w:i w:val="0"/>
                <w:sz w:val="16"/>
              </w:rPr>
              <w:t>2010-05-04</w:t>
            </w:r>
          </w:p>
        </w:tc>
        <w:tc>
          <w:tcPr>
            <w:tcW w:type="dxa" w:w="864"/>
          </w:tcPr>
          <w:p>
            <w:pPr>
              <w:keepNext/>
              <w:spacing w:after="0" w:line="240" w:lineRule="auto"/>
              <w:jc w:val="right"/>
            </w:pPr>
            <w:r/>
            <w:r>
              <w:rPr>
                <w:b w:val="0"/>
                <w:i w:val="0"/>
                <w:sz w:val="16"/>
              </w:rPr>
              <w:t>66</w:t>
            </w:r>
          </w:p>
        </w:tc>
        <w:tc>
          <w:tcPr>
            <w:tcW w:type="dxa" w:w="864"/>
          </w:tcPr>
          <w:p>
            <w:pPr>
              <w:keepNext/>
              <w:spacing w:after="0" w:line="240" w:lineRule="auto"/>
              <w:jc w:val="right"/>
            </w:pPr>
            <w:r/>
            <w:r>
              <w:rPr>
                <w:b w:val="0"/>
                <w:i w:val="0"/>
                <w:sz w:val="16"/>
              </w:rPr>
              <w:t>234</w:t>
            </w:r>
          </w:p>
        </w:tc>
        <w:tc>
          <w:tcPr>
            <w:tcW w:type="dxa" w:w="1008"/>
          </w:tcPr>
          <w:p>
            <w:pPr>
              <w:keepNext/>
              <w:spacing w:after="0" w:line="240" w:lineRule="auto"/>
              <w:jc w:val="right"/>
            </w:pPr>
            <w:r/>
            <w:r>
              <w:rPr>
                <w:b w:val="0"/>
                <w:i w:val="0"/>
                <w:sz w:val="16"/>
              </w:rPr>
              <w:t>-3.43</w:t>
            </w:r>
          </w:p>
        </w:tc>
        <w:tc>
          <w:tcPr>
            <w:tcW w:type="dxa" w:w="576"/>
          </w:tcPr>
          <w:p>
            <w:pPr>
              <w:keepNext/>
              <w:spacing w:after="0" w:line="240" w:lineRule="auto"/>
              <w:jc w:val="right"/>
            </w:pPr>
            <w:r/>
            <w:r>
              <w:rPr>
                <w:b w:val="0"/>
                <w:i w:val="0"/>
                <w:sz w:val="16"/>
              </w:rPr>
              <w:t>1</w:t>
            </w:r>
          </w:p>
        </w:tc>
        <w:tc>
          <w:tcPr>
            <w:tcW w:type="dxa" w:w="864"/>
          </w:tcPr>
          <w:p>
            <w:pPr>
              <w:keepNext/>
              <w:spacing w:after="0" w:line="240" w:lineRule="auto"/>
              <w:jc w:val="right"/>
            </w:pPr>
            <w:r/>
            <w:r>
              <w:rPr>
                <w:b w:val="0"/>
                <w:i w:val="0"/>
                <w:sz w:val="16"/>
              </w:rPr>
              <w:t>0</w:t>
            </w:r>
          </w:p>
        </w:tc>
        <w:tc>
          <w:tcPr>
            <w:tcW w:type="dxa" w:w="720"/>
          </w:tcPr>
          <w:p>
            <w:pPr>
              <w:keepNext/>
              <w:spacing w:after="0" w:line="240" w:lineRule="auto"/>
              <w:jc w:val="right"/>
            </w:pPr>
            <w:r/>
            <w:r>
              <w:rPr>
                <w:b w:val="0"/>
                <w:i w:val="0"/>
                <w:sz w:val="16"/>
              </w:rPr>
              <w:t>0</w:t>
            </w:r>
          </w:p>
        </w:tc>
      </w:tr>
      <w:tr>
        <w:trPr>
          <w:cantSplit/>
        </w:trPr>
        <w:tc>
          <w:tcPr>
            <w:tcW w:type="dxa" w:w="2592"/>
          </w:tcPr>
          <w:p>
            <w:pPr>
              <w:keepNext/>
              <w:spacing w:after="0" w:line="240" w:lineRule="auto"/>
            </w:pPr>
            <w:r/>
            <w:r>
              <w:rPr>
                <w:b w:val="0"/>
                <w:i w:val="0"/>
                <w:sz w:val="16"/>
              </w:rPr>
              <w:t>Mill Plain</w:t>
            </w:r>
          </w:p>
        </w:tc>
        <w:tc>
          <w:tcPr>
            <w:tcW w:type="dxa" w:w="1296"/>
          </w:tcPr>
          <w:p>
            <w:pPr>
              <w:keepNext/>
              <w:spacing w:after="0" w:line="240" w:lineRule="auto"/>
            </w:pPr>
            <w:r/>
            <w:r>
              <w:rPr>
                <w:b w:val="0"/>
                <w:i w:val="0"/>
                <w:sz w:val="16"/>
              </w:rPr>
              <w:t>2010-05-18</w:t>
            </w:r>
          </w:p>
        </w:tc>
        <w:tc>
          <w:tcPr>
            <w:tcW w:type="dxa" w:w="864"/>
          </w:tcPr>
          <w:p>
            <w:pPr>
              <w:keepNext/>
              <w:spacing w:after="0" w:line="240" w:lineRule="auto"/>
              <w:jc w:val="right"/>
            </w:pPr>
            <w:r/>
            <w:r>
              <w:rPr>
                <w:b w:val="0"/>
                <w:i w:val="0"/>
                <w:sz w:val="16"/>
              </w:rPr>
              <w:t>470</w:t>
            </w:r>
          </w:p>
        </w:tc>
        <w:tc>
          <w:tcPr>
            <w:tcW w:type="dxa" w:w="864"/>
          </w:tcPr>
          <w:p>
            <w:pPr>
              <w:keepNext/>
              <w:spacing w:after="0" w:line="240" w:lineRule="auto"/>
              <w:jc w:val="right"/>
            </w:pPr>
            <w:r/>
            <w:r>
              <w:rPr>
                <w:b w:val="0"/>
                <w:i w:val="0"/>
                <w:sz w:val="16"/>
              </w:rPr>
              <w:t>314</w:t>
            </w:r>
          </w:p>
        </w:tc>
        <w:tc>
          <w:tcPr>
            <w:tcW w:type="dxa" w:w="1008"/>
          </w:tcPr>
          <w:p>
            <w:pPr>
              <w:keepNext/>
              <w:spacing w:after="0" w:line="240" w:lineRule="auto"/>
              <w:jc w:val="right"/>
            </w:pPr>
            <w:r/>
            <w:r>
              <w:rPr>
                <w:b w:val="0"/>
                <w:i w:val="0"/>
                <w:sz w:val="16"/>
              </w:rPr>
              <w:t>3.20</w:t>
            </w:r>
          </w:p>
        </w:tc>
        <w:tc>
          <w:tcPr>
            <w:tcW w:type="dxa" w:w="576"/>
          </w:tcPr>
          <w:p>
            <w:pPr>
              <w:keepNext/>
              <w:spacing w:after="0" w:line="240" w:lineRule="auto"/>
              <w:jc w:val="right"/>
            </w:pPr>
            <w:r/>
            <w:r>
              <w:rPr>
                <w:b w:val="0"/>
                <w:i w:val="0"/>
                <w:sz w:val="16"/>
              </w:rPr>
              <w:t>1</w:t>
            </w:r>
          </w:p>
        </w:tc>
        <w:tc>
          <w:tcPr>
            <w:tcW w:type="dxa" w:w="864"/>
          </w:tcPr>
          <w:p>
            <w:pPr>
              <w:keepNext/>
              <w:spacing w:after="0" w:line="240" w:lineRule="auto"/>
              <w:jc w:val="right"/>
            </w:pPr>
            <w:r/>
            <w:r>
              <w:rPr>
                <w:b w:val="0"/>
                <w:i w:val="0"/>
                <w:sz w:val="16"/>
              </w:rPr>
              <w:t>0</w:t>
            </w:r>
          </w:p>
        </w:tc>
        <w:tc>
          <w:tcPr>
            <w:tcW w:type="dxa" w:w="720"/>
          </w:tcPr>
          <w:p>
            <w:pPr>
              <w:keepNext/>
              <w:spacing w:after="0" w:line="240" w:lineRule="auto"/>
              <w:jc w:val="right"/>
            </w:pPr>
            <w:r/>
            <w:r>
              <w:rPr>
                <w:b w:val="0"/>
                <w:i w:val="0"/>
                <w:sz w:val="16"/>
              </w:rPr>
              <w:t>0</w:t>
            </w:r>
          </w:p>
        </w:tc>
      </w:tr>
      <w:tr>
        <w:trPr>
          <w:cantSplit/>
        </w:trPr>
        <w:tc>
          <w:tcPr>
            <w:tcW w:type="dxa" w:w="2592"/>
          </w:tcPr>
          <w:p>
            <w:pPr>
              <w:keepNext/>
              <w:spacing w:after="0" w:line="240" w:lineRule="auto"/>
            </w:pPr>
            <w:r/>
            <w:r>
              <w:rPr>
                <w:b w:val="0"/>
                <w:i w:val="0"/>
                <w:sz w:val="16"/>
              </w:rPr>
              <w:t>Wheaton</w:t>
            </w:r>
          </w:p>
        </w:tc>
        <w:tc>
          <w:tcPr>
            <w:tcW w:type="dxa" w:w="1296"/>
          </w:tcPr>
          <w:p>
            <w:pPr>
              <w:keepNext/>
              <w:spacing w:after="0" w:line="240" w:lineRule="auto"/>
            </w:pPr>
            <w:r/>
            <w:r>
              <w:rPr>
                <w:b w:val="0"/>
                <w:i w:val="0"/>
                <w:sz w:val="16"/>
              </w:rPr>
              <w:t>2010-06-15</w:t>
            </w:r>
          </w:p>
        </w:tc>
        <w:tc>
          <w:tcPr>
            <w:tcW w:type="dxa" w:w="864"/>
          </w:tcPr>
          <w:p>
            <w:pPr>
              <w:keepNext/>
              <w:spacing w:after="0" w:line="240" w:lineRule="auto"/>
              <w:jc w:val="right"/>
            </w:pPr>
            <w:r/>
            <w:r>
              <w:rPr>
                <w:b w:val="0"/>
                <w:i w:val="0"/>
                <w:sz w:val="16"/>
              </w:rPr>
              <w:t>196</w:t>
            </w:r>
          </w:p>
        </w:tc>
        <w:tc>
          <w:tcPr>
            <w:tcW w:type="dxa" w:w="864"/>
          </w:tcPr>
          <w:p>
            <w:pPr>
              <w:keepNext/>
              <w:spacing w:after="0" w:line="240" w:lineRule="auto"/>
              <w:jc w:val="right"/>
            </w:pPr>
            <w:r/>
            <w:r>
              <w:rPr>
                <w:b w:val="0"/>
                <w:i w:val="0"/>
                <w:sz w:val="16"/>
              </w:rPr>
              <w:t>346</w:t>
            </w:r>
          </w:p>
        </w:tc>
        <w:tc>
          <w:tcPr>
            <w:tcW w:type="dxa" w:w="1008"/>
          </w:tcPr>
          <w:p>
            <w:pPr>
              <w:keepNext/>
              <w:spacing w:after="0" w:line="240" w:lineRule="auto"/>
              <w:jc w:val="right"/>
            </w:pPr>
            <w:r/>
            <w:r>
              <w:rPr>
                <w:b w:val="0"/>
                <w:i w:val="0"/>
                <w:sz w:val="16"/>
              </w:rPr>
              <w:t>-3.07</w:t>
            </w:r>
          </w:p>
        </w:tc>
        <w:tc>
          <w:tcPr>
            <w:tcW w:type="dxa" w:w="576"/>
          </w:tcPr>
          <w:p>
            <w:pPr>
              <w:keepNext/>
              <w:spacing w:after="0" w:line="240" w:lineRule="auto"/>
              <w:jc w:val="right"/>
            </w:pPr>
            <w:r/>
            <w:r>
              <w:rPr>
                <w:b w:val="0"/>
                <w:i w:val="0"/>
                <w:sz w:val="16"/>
              </w:rPr>
              <w:t>1</w:t>
            </w:r>
          </w:p>
        </w:tc>
        <w:tc>
          <w:tcPr>
            <w:tcW w:type="dxa" w:w="864"/>
          </w:tcPr>
          <w:p>
            <w:pPr>
              <w:keepNext/>
              <w:spacing w:after="0" w:line="240" w:lineRule="auto"/>
              <w:jc w:val="right"/>
            </w:pPr>
            <w:r/>
            <w:r>
              <w:rPr>
                <w:b w:val="0"/>
                <w:i w:val="0"/>
                <w:sz w:val="16"/>
              </w:rPr>
              <w:t>0</w:t>
            </w:r>
          </w:p>
        </w:tc>
        <w:tc>
          <w:tcPr>
            <w:tcW w:type="dxa" w:w="720"/>
          </w:tcPr>
          <w:p>
            <w:pPr>
              <w:keepNext/>
              <w:spacing w:after="0" w:line="240" w:lineRule="auto"/>
              <w:jc w:val="right"/>
            </w:pPr>
            <w:r/>
            <w:r>
              <w:rPr>
                <w:b w:val="0"/>
                <w:i w:val="0"/>
                <w:sz w:val="16"/>
              </w:rPr>
              <w:t>1</w:t>
            </w:r>
          </w:p>
        </w:tc>
      </w:tr>
      <w:tr>
        <w:trPr>
          <w:cantSplit/>
        </w:trPr>
        <w:tc>
          <w:tcPr>
            <w:tcW w:type="dxa" w:w="2592"/>
          </w:tcPr>
          <w:p>
            <w:pPr>
              <w:keepNext/>
              <w:spacing w:after="0" w:line="240" w:lineRule="auto"/>
            </w:pPr>
            <w:r/>
            <w:r>
              <w:rPr>
                <w:b w:val="0"/>
                <w:i w:val="0"/>
                <w:sz w:val="16"/>
              </w:rPr>
              <w:t>Stevens Creek (aka Cupertino)</w:t>
            </w:r>
          </w:p>
        </w:tc>
        <w:tc>
          <w:tcPr>
            <w:tcW w:type="dxa" w:w="1296"/>
          </w:tcPr>
          <w:p>
            <w:pPr>
              <w:keepNext/>
              <w:spacing w:after="0" w:line="240" w:lineRule="auto"/>
            </w:pPr>
            <w:r/>
            <w:r>
              <w:rPr>
                <w:b w:val="0"/>
                <w:i w:val="0"/>
                <w:sz w:val="16"/>
              </w:rPr>
              <w:t>2010-05-18</w:t>
            </w:r>
          </w:p>
        </w:tc>
        <w:tc>
          <w:tcPr>
            <w:tcW w:type="dxa" w:w="864"/>
          </w:tcPr>
          <w:p>
            <w:pPr>
              <w:keepNext/>
              <w:spacing w:after="0" w:line="240" w:lineRule="auto"/>
              <w:jc w:val="right"/>
            </w:pPr>
            <w:r/>
            <w:r>
              <w:rPr>
                <w:b w:val="0"/>
                <w:i w:val="0"/>
                <w:sz w:val="16"/>
              </w:rPr>
              <w:t>238</w:t>
            </w:r>
          </w:p>
        </w:tc>
        <w:tc>
          <w:tcPr>
            <w:tcW w:type="dxa" w:w="864"/>
          </w:tcPr>
          <w:p>
            <w:pPr>
              <w:keepNext/>
              <w:spacing w:after="0" w:line="240" w:lineRule="auto"/>
              <w:jc w:val="right"/>
            </w:pPr>
            <w:r/>
            <w:r>
              <w:rPr>
                <w:b w:val="0"/>
                <w:i w:val="0"/>
                <w:sz w:val="16"/>
              </w:rPr>
              <w:t>385</w:t>
            </w:r>
          </w:p>
        </w:tc>
        <w:tc>
          <w:tcPr>
            <w:tcW w:type="dxa" w:w="1008"/>
          </w:tcPr>
          <w:p>
            <w:pPr>
              <w:keepNext/>
              <w:spacing w:after="0" w:line="240" w:lineRule="auto"/>
              <w:jc w:val="right"/>
            </w:pPr>
            <w:r/>
            <w:r>
              <w:rPr>
                <w:b w:val="0"/>
                <w:i w:val="0"/>
                <w:sz w:val="16"/>
              </w:rPr>
              <w:t>-3.02</w:t>
            </w:r>
          </w:p>
        </w:tc>
        <w:tc>
          <w:tcPr>
            <w:tcW w:type="dxa" w:w="576"/>
          </w:tcPr>
          <w:p>
            <w:pPr>
              <w:keepNext/>
              <w:spacing w:after="0" w:line="240" w:lineRule="auto"/>
              <w:jc w:val="right"/>
            </w:pPr>
            <w:r/>
            <w:r>
              <w:rPr>
                <w:b w:val="0"/>
                <w:i w:val="0"/>
                <w:sz w:val="16"/>
              </w:rPr>
              <w:t>1</w:t>
            </w:r>
          </w:p>
        </w:tc>
        <w:tc>
          <w:tcPr>
            <w:tcW w:type="dxa" w:w="864"/>
          </w:tcPr>
          <w:p>
            <w:pPr>
              <w:keepNext/>
              <w:spacing w:after="0" w:line="240" w:lineRule="auto"/>
              <w:jc w:val="right"/>
            </w:pPr>
            <w:r/>
            <w:r>
              <w:rPr>
                <w:b w:val="0"/>
                <w:i w:val="0"/>
                <w:sz w:val="16"/>
              </w:rPr>
              <w:t>0</w:t>
            </w:r>
          </w:p>
        </w:tc>
        <w:tc>
          <w:tcPr>
            <w:tcW w:type="dxa" w:w="720"/>
          </w:tcPr>
          <w:p>
            <w:pPr>
              <w:keepNext/>
              <w:spacing w:after="0" w:line="240" w:lineRule="auto"/>
              <w:jc w:val="right"/>
            </w:pPr>
            <w:r/>
            <w:r>
              <w:rPr>
                <w:b w:val="0"/>
                <w:i w:val="0"/>
                <w:sz w:val="16"/>
              </w:rPr>
              <w:t>0</w:t>
            </w:r>
          </w:p>
        </w:tc>
      </w:tr>
      <w:tr>
        <w:trPr>
          <w:cantSplit/>
        </w:trPr>
        <w:tc>
          <w:tcPr>
            <w:tcW w:type="dxa" w:w="2592"/>
          </w:tcPr>
          <w:p>
            <w:pPr>
              <w:keepNext/>
              <w:spacing w:after="0" w:line="240" w:lineRule="auto"/>
            </w:pPr>
            <w:r/>
            <w:r>
              <w:rPr>
                <w:b w:val="0"/>
                <w:i w:val="0"/>
                <w:sz w:val="16"/>
              </w:rPr>
              <w:t>Galleria</w:t>
            </w:r>
          </w:p>
        </w:tc>
        <w:tc>
          <w:tcPr>
            <w:tcW w:type="dxa" w:w="1296"/>
          </w:tcPr>
          <w:p>
            <w:pPr>
              <w:keepNext/>
              <w:spacing w:after="0" w:line="240" w:lineRule="auto"/>
            </w:pPr>
            <w:r/>
            <w:r>
              <w:rPr>
                <w:b w:val="0"/>
                <w:i w:val="0"/>
                <w:sz w:val="16"/>
              </w:rPr>
              <w:t>2010-06-08</w:t>
            </w:r>
          </w:p>
        </w:tc>
        <w:tc>
          <w:tcPr>
            <w:tcW w:type="dxa" w:w="864"/>
          </w:tcPr>
          <w:p>
            <w:pPr>
              <w:keepNext/>
              <w:spacing w:after="0" w:line="240" w:lineRule="auto"/>
              <w:jc w:val="right"/>
            </w:pPr>
            <w:r/>
            <w:r>
              <w:rPr>
                <w:b w:val="0"/>
                <w:i w:val="0"/>
                <w:sz w:val="16"/>
              </w:rPr>
              <w:t>112</w:t>
            </w:r>
          </w:p>
        </w:tc>
        <w:tc>
          <w:tcPr>
            <w:tcW w:type="dxa" w:w="864"/>
          </w:tcPr>
          <w:p>
            <w:pPr>
              <w:keepNext/>
              <w:spacing w:after="0" w:line="240" w:lineRule="auto"/>
              <w:jc w:val="right"/>
            </w:pPr>
            <w:r/>
            <w:r>
              <w:rPr>
                <w:b w:val="0"/>
                <w:i w:val="0"/>
                <w:sz w:val="16"/>
              </w:rPr>
              <w:t>253</w:t>
            </w:r>
          </w:p>
        </w:tc>
        <w:tc>
          <w:tcPr>
            <w:tcW w:type="dxa" w:w="1008"/>
          </w:tcPr>
          <w:p>
            <w:pPr>
              <w:keepNext/>
              <w:spacing w:after="0" w:line="240" w:lineRule="auto"/>
              <w:jc w:val="right"/>
            </w:pPr>
            <w:r/>
            <w:r>
              <w:rPr>
                <w:b w:val="0"/>
                <w:i w:val="0"/>
                <w:sz w:val="16"/>
              </w:rPr>
              <w:t>-2.87</w:t>
            </w:r>
          </w:p>
        </w:tc>
        <w:tc>
          <w:tcPr>
            <w:tcW w:type="dxa" w:w="576"/>
          </w:tcPr>
          <w:p>
            <w:pPr>
              <w:keepNext/>
              <w:spacing w:after="0" w:line="240" w:lineRule="auto"/>
              <w:jc w:val="right"/>
            </w:pPr>
            <w:r/>
            <w:r>
              <w:rPr>
                <w:b w:val="0"/>
                <w:i w:val="0"/>
                <w:sz w:val="16"/>
              </w:rPr>
              <w:t>1</w:t>
            </w:r>
          </w:p>
        </w:tc>
        <w:tc>
          <w:tcPr>
            <w:tcW w:type="dxa" w:w="864"/>
          </w:tcPr>
          <w:p>
            <w:pPr>
              <w:keepNext/>
              <w:spacing w:after="0" w:line="240" w:lineRule="auto"/>
              <w:jc w:val="right"/>
            </w:pPr>
            <w:r/>
            <w:r>
              <w:rPr>
                <w:b w:val="0"/>
                <w:i w:val="0"/>
                <w:sz w:val="16"/>
              </w:rPr>
              <w:t>0</w:t>
            </w:r>
          </w:p>
        </w:tc>
        <w:tc>
          <w:tcPr>
            <w:tcW w:type="dxa" w:w="720"/>
          </w:tcPr>
          <w:p>
            <w:pPr>
              <w:keepNext/>
              <w:spacing w:after="0" w:line="240" w:lineRule="auto"/>
              <w:jc w:val="right"/>
            </w:pPr>
            <w:r/>
            <w:r>
              <w:rPr>
                <w:b w:val="0"/>
                <w:i w:val="0"/>
                <w:sz w:val="16"/>
              </w:rPr>
              <w:t>0</w:t>
            </w:r>
          </w:p>
        </w:tc>
      </w:tr>
      <w:tr>
        <w:trPr>
          <w:cantSplit/>
        </w:trPr>
        <w:tc>
          <w:tcPr>
            <w:tcW w:type="dxa" w:w="2592"/>
          </w:tcPr>
          <w:p>
            <w:pPr>
              <w:keepNext/>
              <w:spacing w:after="0" w:line="240" w:lineRule="auto"/>
            </w:pPr>
            <w:r/>
            <w:r>
              <w:rPr>
                <w:b w:val="0"/>
                <w:i w:val="0"/>
                <w:sz w:val="16"/>
              </w:rPr>
              <w:t>SoMa</w:t>
            </w:r>
          </w:p>
        </w:tc>
        <w:tc>
          <w:tcPr>
            <w:tcW w:type="dxa" w:w="1296"/>
          </w:tcPr>
          <w:p>
            <w:pPr>
              <w:keepNext/>
              <w:spacing w:after="0" w:line="240" w:lineRule="auto"/>
            </w:pPr>
            <w:r/>
            <w:r>
              <w:rPr>
                <w:b w:val="0"/>
                <w:i w:val="0"/>
                <w:sz w:val="16"/>
              </w:rPr>
              <w:t>2010-05-18</w:t>
            </w:r>
          </w:p>
        </w:tc>
        <w:tc>
          <w:tcPr>
            <w:tcW w:type="dxa" w:w="864"/>
          </w:tcPr>
          <w:p>
            <w:pPr>
              <w:keepNext/>
              <w:spacing w:after="0" w:line="240" w:lineRule="auto"/>
              <w:jc w:val="right"/>
            </w:pPr>
            <w:r/>
            <w:r>
              <w:rPr>
                <w:b w:val="0"/>
                <w:i w:val="0"/>
                <w:sz w:val="16"/>
              </w:rPr>
              <w:t>247</w:t>
            </w:r>
          </w:p>
        </w:tc>
        <w:tc>
          <w:tcPr>
            <w:tcW w:type="dxa" w:w="864"/>
          </w:tcPr>
          <w:p>
            <w:pPr>
              <w:keepNext/>
              <w:spacing w:after="0" w:line="240" w:lineRule="auto"/>
              <w:jc w:val="right"/>
            </w:pPr>
            <w:r/>
            <w:r>
              <w:rPr>
                <w:b w:val="0"/>
                <w:i w:val="0"/>
                <w:sz w:val="16"/>
              </w:rPr>
              <w:t>386</w:t>
            </w:r>
          </w:p>
        </w:tc>
        <w:tc>
          <w:tcPr>
            <w:tcW w:type="dxa" w:w="1008"/>
          </w:tcPr>
          <w:p>
            <w:pPr>
              <w:keepNext/>
              <w:spacing w:after="0" w:line="240" w:lineRule="auto"/>
              <w:jc w:val="right"/>
            </w:pPr>
            <w:r/>
            <w:r>
              <w:rPr>
                <w:b w:val="0"/>
                <w:i w:val="0"/>
                <w:sz w:val="16"/>
              </w:rPr>
              <w:t>-2.85</w:t>
            </w:r>
          </w:p>
        </w:tc>
        <w:tc>
          <w:tcPr>
            <w:tcW w:type="dxa" w:w="576"/>
          </w:tcPr>
          <w:p>
            <w:pPr>
              <w:keepNext/>
              <w:spacing w:after="0" w:line="240" w:lineRule="auto"/>
              <w:jc w:val="right"/>
            </w:pPr>
            <w:r/>
            <w:r>
              <w:rPr>
                <w:b w:val="0"/>
                <w:i w:val="0"/>
                <w:sz w:val="16"/>
              </w:rPr>
              <w:t>1</w:t>
            </w:r>
          </w:p>
        </w:tc>
        <w:tc>
          <w:tcPr>
            <w:tcW w:type="dxa" w:w="864"/>
          </w:tcPr>
          <w:p>
            <w:pPr>
              <w:keepNext/>
              <w:spacing w:after="0" w:line="240" w:lineRule="auto"/>
              <w:jc w:val="right"/>
            </w:pPr>
            <w:r/>
            <w:r>
              <w:rPr>
                <w:b w:val="0"/>
                <w:i w:val="0"/>
                <w:sz w:val="16"/>
              </w:rPr>
              <w:t>0</w:t>
            </w:r>
          </w:p>
        </w:tc>
        <w:tc>
          <w:tcPr>
            <w:tcW w:type="dxa" w:w="720"/>
          </w:tcPr>
          <w:p>
            <w:pPr>
              <w:keepNext/>
              <w:spacing w:after="0" w:line="240" w:lineRule="auto"/>
              <w:jc w:val="right"/>
            </w:pPr>
            <w:r/>
            <w:r>
              <w:rPr>
                <w:b w:val="0"/>
                <w:i w:val="0"/>
                <w:sz w:val="16"/>
              </w:rPr>
              <w:t>0</w:t>
            </w:r>
          </w:p>
        </w:tc>
      </w:tr>
      <w:tr>
        <w:trPr>
          <w:cantSplit/>
        </w:trPr>
        <w:tc>
          <w:tcPr>
            <w:tcW w:type="dxa" w:w="2592"/>
          </w:tcPr>
          <w:p>
            <w:pPr>
              <w:keepNext/>
              <w:spacing w:after="0" w:line="240" w:lineRule="auto"/>
            </w:pPr>
            <w:r/>
            <w:r>
              <w:rPr>
                <w:b w:val="0"/>
                <w:i w:val="0"/>
                <w:sz w:val="16"/>
              </w:rPr>
              <w:t>White Plains</w:t>
            </w:r>
          </w:p>
        </w:tc>
        <w:tc>
          <w:tcPr>
            <w:tcW w:type="dxa" w:w="1296"/>
          </w:tcPr>
          <w:p>
            <w:pPr>
              <w:keepNext/>
              <w:spacing w:after="0" w:line="240" w:lineRule="auto"/>
            </w:pPr>
            <w:r/>
            <w:r>
              <w:rPr>
                <w:b w:val="0"/>
                <w:i w:val="0"/>
                <w:sz w:val="16"/>
              </w:rPr>
              <w:t>2010-05-04</w:t>
            </w:r>
          </w:p>
        </w:tc>
        <w:tc>
          <w:tcPr>
            <w:tcW w:type="dxa" w:w="864"/>
          </w:tcPr>
          <w:p>
            <w:pPr>
              <w:keepNext/>
              <w:spacing w:after="0" w:line="240" w:lineRule="auto"/>
              <w:jc w:val="right"/>
            </w:pPr>
            <w:r/>
            <w:r>
              <w:rPr>
                <w:b w:val="0"/>
                <w:i w:val="0"/>
                <w:sz w:val="16"/>
              </w:rPr>
              <w:t>121</w:t>
            </w:r>
          </w:p>
        </w:tc>
        <w:tc>
          <w:tcPr>
            <w:tcW w:type="dxa" w:w="864"/>
          </w:tcPr>
          <w:p>
            <w:pPr>
              <w:keepNext/>
              <w:spacing w:after="0" w:line="240" w:lineRule="auto"/>
              <w:jc w:val="right"/>
            </w:pPr>
            <w:r/>
            <w:r>
              <w:rPr>
                <w:b w:val="0"/>
                <w:i w:val="0"/>
                <w:sz w:val="16"/>
              </w:rPr>
              <w:t>259</w:t>
            </w:r>
          </w:p>
        </w:tc>
        <w:tc>
          <w:tcPr>
            <w:tcW w:type="dxa" w:w="1008"/>
          </w:tcPr>
          <w:p>
            <w:pPr>
              <w:keepNext/>
              <w:spacing w:after="0" w:line="240" w:lineRule="auto"/>
              <w:jc w:val="right"/>
            </w:pPr>
            <w:r/>
            <w:r>
              <w:rPr>
                <w:b w:val="0"/>
                <w:i w:val="0"/>
                <w:sz w:val="16"/>
              </w:rPr>
              <w:t>-2.85</w:t>
            </w:r>
          </w:p>
        </w:tc>
        <w:tc>
          <w:tcPr>
            <w:tcW w:type="dxa" w:w="576"/>
          </w:tcPr>
          <w:p>
            <w:pPr>
              <w:keepNext/>
              <w:spacing w:after="0" w:line="240" w:lineRule="auto"/>
              <w:jc w:val="right"/>
            </w:pPr>
            <w:r/>
            <w:r>
              <w:rPr>
                <w:b w:val="0"/>
                <w:i w:val="0"/>
                <w:sz w:val="16"/>
              </w:rPr>
              <w:t>0</w:t>
            </w:r>
          </w:p>
        </w:tc>
        <w:tc>
          <w:tcPr>
            <w:tcW w:type="dxa" w:w="864"/>
          </w:tcPr>
          <w:p>
            <w:pPr>
              <w:keepNext/>
              <w:spacing w:after="0" w:line="240" w:lineRule="auto"/>
              <w:jc w:val="right"/>
            </w:pPr>
            <w:r/>
            <w:r>
              <w:rPr>
                <w:b w:val="0"/>
                <w:i w:val="0"/>
                <w:sz w:val="16"/>
              </w:rPr>
              <w:t>0</w:t>
            </w:r>
          </w:p>
        </w:tc>
        <w:tc>
          <w:tcPr>
            <w:tcW w:type="dxa" w:w="720"/>
          </w:tcPr>
          <w:p>
            <w:pPr>
              <w:keepNext/>
              <w:spacing w:after="0" w:line="240" w:lineRule="auto"/>
              <w:jc w:val="right"/>
            </w:pPr>
            <w:r/>
            <w:r>
              <w:rPr>
                <w:b w:val="0"/>
                <w:i w:val="0"/>
                <w:sz w:val="16"/>
              </w:rPr>
              <w:t>0</w:t>
            </w:r>
          </w:p>
        </w:tc>
      </w:tr>
      <w:tr>
        <w:trPr>
          <w:cantSplit/>
        </w:trPr>
        <w:tc>
          <w:tcPr>
            <w:tcW w:type="dxa" w:w="2592"/>
          </w:tcPr>
          <w:p>
            <w:pPr>
              <w:keepNext/>
              <w:spacing w:after="0" w:line="240" w:lineRule="auto"/>
            </w:pPr>
            <w:r/>
            <w:r>
              <w:rPr>
                <w:b w:val="0"/>
                <w:i w:val="0"/>
                <w:sz w:val="16"/>
              </w:rPr>
              <w:t>Short Pump</w:t>
            </w:r>
          </w:p>
        </w:tc>
        <w:tc>
          <w:tcPr>
            <w:tcW w:type="dxa" w:w="1296"/>
          </w:tcPr>
          <w:p>
            <w:pPr>
              <w:keepNext/>
              <w:spacing w:after="0" w:line="240" w:lineRule="auto"/>
            </w:pPr>
            <w:r/>
            <w:r>
              <w:rPr>
                <w:b w:val="0"/>
                <w:i w:val="0"/>
                <w:sz w:val="16"/>
              </w:rPr>
              <w:t>2010-06-08</w:t>
            </w:r>
          </w:p>
        </w:tc>
        <w:tc>
          <w:tcPr>
            <w:tcW w:type="dxa" w:w="864"/>
          </w:tcPr>
          <w:p>
            <w:pPr>
              <w:keepNext/>
              <w:spacing w:after="0" w:line="240" w:lineRule="auto"/>
              <w:jc w:val="right"/>
            </w:pPr>
            <w:r/>
            <w:r>
              <w:rPr>
                <w:b w:val="0"/>
                <w:i w:val="0"/>
                <w:sz w:val="16"/>
              </w:rPr>
              <w:t>52</w:t>
            </w:r>
          </w:p>
        </w:tc>
        <w:tc>
          <w:tcPr>
            <w:tcW w:type="dxa" w:w="864"/>
          </w:tcPr>
          <w:p>
            <w:pPr>
              <w:keepNext/>
              <w:spacing w:after="0" w:line="240" w:lineRule="auto"/>
              <w:jc w:val="right"/>
            </w:pPr>
            <w:r/>
            <w:r>
              <w:rPr>
                <w:b w:val="0"/>
                <w:i w:val="0"/>
                <w:sz w:val="16"/>
              </w:rPr>
              <w:t>189</w:t>
            </w:r>
          </w:p>
        </w:tc>
        <w:tc>
          <w:tcPr>
            <w:tcW w:type="dxa" w:w="1008"/>
          </w:tcPr>
          <w:p>
            <w:pPr>
              <w:keepNext/>
              <w:spacing w:after="0" w:line="240" w:lineRule="auto"/>
              <w:jc w:val="right"/>
            </w:pPr>
            <w:r/>
            <w:r>
              <w:rPr>
                <w:b w:val="0"/>
                <w:i w:val="0"/>
                <w:sz w:val="16"/>
              </w:rPr>
              <w:t>-2.80</w:t>
            </w:r>
          </w:p>
        </w:tc>
        <w:tc>
          <w:tcPr>
            <w:tcW w:type="dxa" w:w="576"/>
          </w:tcPr>
          <w:p>
            <w:pPr>
              <w:keepNext/>
              <w:spacing w:after="0" w:line="240" w:lineRule="auto"/>
              <w:jc w:val="right"/>
            </w:pPr>
            <w:r/>
            <w:r>
              <w:rPr>
                <w:b w:val="0"/>
                <w:i w:val="0"/>
                <w:sz w:val="16"/>
              </w:rPr>
              <w:t>0</w:t>
            </w:r>
          </w:p>
        </w:tc>
        <w:tc>
          <w:tcPr>
            <w:tcW w:type="dxa" w:w="864"/>
          </w:tcPr>
          <w:p>
            <w:pPr>
              <w:keepNext/>
              <w:spacing w:after="0" w:line="240" w:lineRule="auto"/>
              <w:jc w:val="right"/>
            </w:pPr>
            <w:r/>
            <w:r>
              <w:rPr>
                <w:b w:val="0"/>
                <w:i w:val="0"/>
                <w:sz w:val="16"/>
              </w:rPr>
              <w:t>0</w:t>
            </w:r>
          </w:p>
        </w:tc>
        <w:tc>
          <w:tcPr>
            <w:tcW w:type="dxa" w:w="720"/>
          </w:tcPr>
          <w:p>
            <w:pPr>
              <w:keepNext/>
              <w:spacing w:after="0" w:line="240" w:lineRule="auto"/>
              <w:jc w:val="right"/>
            </w:pPr>
            <w:r/>
            <w:r>
              <w:rPr>
                <w:b w:val="0"/>
                <w:i w:val="0"/>
                <w:sz w:val="16"/>
              </w:rPr>
              <w:t>0</w:t>
            </w:r>
          </w:p>
        </w:tc>
      </w:tr>
      <w:tr>
        <w:trPr>
          <w:cantSplit/>
        </w:trPr>
        <w:tc>
          <w:tcPr>
            <w:tcW w:type="dxa" w:w="2592"/>
          </w:tcPr>
          <w:p>
            <w:pPr>
              <w:spacing w:after="0" w:line="240" w:lineRule="auto"/>
            </w:pPr>
            <w:r/>
            <w:r>
              <w:rPr>
                <w:b w:val="0"/>
                <w:i w:val="0"/>
                <w:sz w:val="16"/>
              </w:rPr>
              <w:t>Newtonville</w:t>
            </w:r>
          </w:p>
        </w:tc>
        <w:tc>
          <w:tcPr>
            <w:tcW w:type="dxa" w:w="1296"/>
          </w:tcPr>
          <w:p>
            <w:pPr>
              <w:spacing w:after="0" w:line="240" w:lineRule="auto"/>
            </w:pPr>
            <w:r/>
            <w:r>
              <w:rPr>
                <w:b w:val="0"/>
                <w:i w:val="0"/>
                <w:sz w:val="16"/>
              </w:rPr>
              <w:t>2010-07-06</w:t>
            </w:r>
          </w:p>
        </w:tc>
        <w:tc>
          <w:tcPr>
            <w:tcW w:type="dxa" w:w="864"/>
          </w:tcPr>
          <w:p>
            <w:pPr>
              <w:spacing w:after="0" w:line="240" w:lineRule="auto"/>
              <w:jc w:val="right"/>
            </w:pPr>
            <w:r/>
            <w:r>
              <w:rPr>
                <w:b w:val="0"/>
                <w:i w:val="0"/>
                <w:sz w:val="16"/>
              </w:rPr>
              <w:t>48</w:t>
            </w:r>
          </w:p>
        </w:tc>
        <w:tc>
          <w:tcPr>
            <w:tcW w:type="dxa" w:w="864"/>
          </w:tcPr>
          <w:p>
            <w:pPr>
              <w:spacing w:after="0" w:line="240" w:lineRule="auto"/>
              <w:jc w:val="right"/>
            </w:pPr>
            <w:r/>
            <w:r>
              <w:rPr>
                <w:b w:val="0"/>
                <w:i w:val="0"/>
                <w:sz w:val="16"/>
              </w:rPr>
              <w:t>182</w:t>
            </w:r>
          </w:p>
        </w:tc>
        <w:tc>
          <w:tcPr>
            <w:tcW w:type="dxa" w:w="1008"/>
          </w:tcPr>
          <w:p>
            <w:pPr>
              <w:spacing w:after="0" w:line="240" w:lineRule="auto"/>
              <w:jc w:val="right"/>
            </w:pPr>
            <w:r/>
            <w:r>
              <w:rPr>
                <w:b w:val="0"/>
                <w:i w:val="0"/>
                <w:sz w:val="16"/>
              </w:rPr>
              <w:t>-2.74</w:t>
            </w:r>
          </w:p>
        </w:tc>
        <w:tc>
          <w:tcPr>
            <w:tcW w:type="dxa" w:w="576"/>
          </w:tcPr>
          <w:p>
            <w:pPr>
              <w:spacing w:after="0" w:line="240" w:lineRule="auto"/>
              <w:jc w:val="right"/>
            </w:pPr>
            <w:r/>
            <w:r>
              <w:rPr>
                <w:b w:val="0"/>
                <w:i w:val="0"/>
                <w:sz w:val="16"/>
              </w:rPr>
              <w:t>0</w:t>
            </w:r>
          </w:p>
        </w:tc>
        <w:tc>
          <w:tcPr>
            <w:tcW w:type="dxa" w:w="864"/>
          </w:tcPr>
          <w:p>
            <w:pPr>
              <w:spacing w:after="0" w:line="240" w:lineRule="auto"/>
              <w:jc w:val="right"/>
            </w:pPr>
            <w:r/>
            <w:r>
              <w:rPr>
                <w:b w:val="0"/>
                <w:i w:val="0"/>
                <w:sz w:val="16"/>
              </w:rPr>
              <w:t>0</w:t>
            </w:r>
          </w:p>
        </w:tc>
        <w:tc>
          <w:tcPr>
            <w:tcW w:type="dxa" w:w="720"/>
          </w:tcPr>
          <w:p>
            <w:pPr>
              <w:spacing w:after="0" w:line="240" w:lineRule="auto"/>
              <w:jc w:val="right"/>
            </w:pPr>
            <w:r/>
            <w:r>
              <w:rPr>
                <w:b w:val="0"/>
                <w:i w:val="0"/>
                <w:sz w:val="16"/>
              </w:rPr>
              <w:t>0</w:t>
            </w:r>
          </w:p>
        </w:tc>
      </w:tr>
    </w:tbl>
    <w:p>
      <w:pPr>
        <w:spacing w:after="40"/>
      </w:pPr>
    </w:p>
    <w:p>
      <w:pPr>
        <w:pStyle w:val="Heading2"/>
      </w:pPr>
      <w:r>
        <w:t>E. Weekly sales and promotion exposure</w:t>
      </w:r>
    </w:p>
    <w:p>
      <w:pPr>
        <w:keepNext/>
        <w:spacing w:after="40"/>
        <w:jc w:val="center"/>
      </w:pPr>
      <w:r>
        <w:drawing>
          <wp:inline xmlns:a="http://schemas.openxmlformats.org/drawingml/2006/main" xmlns:pic="http://schemas.openxmlformats.org/drawingml/2006/picture">
            <wp:extent cx="4389120" cy="2336145"/>
            <wp:docPr id="7" name="Picture 7"/>
            <wp:cNvGraphicFramePr>
              <a:graphicFrameLocks noChangeAspect="1"/>
            </wp:cNvGraphicFramePr>
            <a:graphic>
              <a:graphicData uri="http://schemas.openxmlformats.org/drawingml/2006/picture">
                <pic:pic>
                  <pic:nvPicPr>
                    <pic:cNvPr id="0" name="F7_weekly.png"/>
                    <pic:cNvPicPr/>
                  </pic:nvPicPr>
                  <pic:blipFill>
                    <a:blip r:embed="rId15"/>
                    <a:stretch>
                      <a:fillRect/>
                    </a:stretch>
                  </pic:blipFill>
                  <pic:spPr>
                    <a:xfrm>
                      <a:off x="0" y="0"/>
                      <a:ext cx="4389120" cy="2336145"/>
                    </a:xfrm>
                    <a:prstGeom prst="rect"/>
                  </pic:spPr>
                </pic:pic>
              </a:graphicData>
            </a:graphic>
          </wp:inline>
        </w:drawing>
      </w:r>
    </w:p>
    <w:p>
      <w:pPr>
        <w:spacing w:after="120"/>
        <w:jc w:val="center"/>
      </w:pPr>
      <w:r>
        <w:rPr>
          <w:b w:val="0"/>
          <w:i/>
          <w:sz w:val="18"/>
        </w:rPr>
        <w:t>Figure 7. Mean weekly sales and the share of stores with demo, Demo1-3 and endcap exposure. Sales rise as demo and endcap exposure rise in June; week dummies confirm the demo coefficients do not depend on this common timing (Table B1).</w:t>
      </w:r>
    </w:p>
    <w:p>
      <w:pPr>
        <w:pStyle w:val="Heading2"/>
      </w:pPr>
      <w:r>
        <w:t>F. Reproducibility and software note</w:t>
      </w:r>
    </w:p>
    <w:p>
      <w:r>
        <w:rPr>
          <w:b w:val="0"/>
          <w:i w:val="0"/>
          <w:sz w:val="19"/>
        </w:rPr>
        <w:t>The accompanying workbook GoodBelly_Final_Excel_Analysis.xlsx reproduces every number with formulas (LINEST regressions, partial F-tests, VIF, leverage, Cook's D, Durbin-Watson, Breusch-Pagan, P-P plot); its “Excel vs JASP” sheet reconciles 20 statistics to an independent Python fit (all match to six decimals). JASP was not run, and no JASP result appears in this report; a JASP-ready dataset and specification are in the supplementary folder. Derived variable: Endcap × Sales Rep = Endcap × Rep (to test whether the endcap effect depends on regional rep coverage). Dummy coding: all dummies 0/1 with reference category 0.</w:t>
      </w:r>
    </w:p>
    <w:sectPr w:rsidR="00FC693F" w:rsidRPr="0006063C" w:rsidSect="00034616">
      <w:pgSz w:w="11906" w:h="16838"/>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eastAsia="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Calibri" w:hAnsi="Calibri" w:eastAsia="Calibr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