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D67F8B" w14:textId="77777777" w:rsidR="000560E9" w:rsidRDefault="000560E9" w:rsidP="000560E9">
      <w:pPr>
        <w:pStyle w:val="NormalWeb"/>
        <w:spacing w:before="0" w:beforeAutospacing="0" w:after="0" w:afterAutospacing="0"/>
        <w:jc w:val="center"/>
        <w:rPr>
          <w:rFonts w:ascii="Arial" w:hAnsi="Arial" w:cs="Arial"/>
          <w:sz w:val="21"/>
          <w:szCs w:val="21"/>
        </w:rPr>
      </w:pPr>
      <w:proofErr w:type="spellStart"/>
      <w:r>
        <w:rPr>
          <w:rFonts w:ascii="Cambria" w:hAnsi="Cambria" w:cs="Arial"/>
          <w:b/>
          <w:bCs/>
          <w:sz w:val="48"/>
          <w:szCs w:val="48"/>
        </w:rPr>
        <w:t>BizInsight</w:t>
      </w:r>
      <w:proofErr w:type="spellEnd"/>
      <w:r>
        <w:rPr>
          <w:rFonts w:ascii="Cambria" w:hAnsi="Cambria" w:cs="Arial"/>
          <w:b/>
          <w:bCs/>
          <w:sz w:val="48"/>
          <w:szCs w:val="48"/>
        </w:rPr>
        <w:t>-AI</w:t>
      </w:r>
    </w:p>
    <w:p w14:paraId="68E7D946" w14:textId="77777777" w:rsidR="000560E9" w:rsidRDefault="000560E9" w:rsidP="000560E9">
      <w:pPr>
        <w:pStyle w:val="NormalWeb"/>
        <w:spacing w:before="0" w:beforeAutospacing="0" w:after="0" w:afterAutospacing="0"/>
        <w:jc w:val="center"/>
        <w:rPr>
          <w:rFonts w:ascii="Arial" w:hAnsi="Arial" w:cs="Arial"/>
          <w:sz w:val="21"/>
          <w:szCs w:val="21"/>
        </w:rPr>
      </w:pPr>
      <w:r>
        <w:rPr>
          <w:rFonts w:ascii="Cambria" w:hAnsi="Cambria" w:cs="Arial"/>
          <w:b/>
          <w:bCs/>
          <w:sz w:val="36"/>
          <w:szCs w:val="36"/>
        </w:rPr>
        <w:t>Final Week – Evaluation and Comprehensive Business Reporting</w:t>
      </w:r>
    </w:p>
    <w:p w14:paraId="21875435" w14:textId="77777777" w:rsidR="000560E9" w:rsidRDefault="000560E9" w:rsidP="000560E9">
      <w:pPr>
        <w:pStyle w:val="NormalWeb"/>
        <w:spacing w:before="0" w:beforeAutospacing="0" w:after="0" w:afterAutospacing="0"/>
        <w:jc w:val="center"/>
        <w:rPr>
          <w:rFonts w:ascii="Arial" w:hAnsi="Arial" w:cs="Arial"/>
          <w:sz w:val="21"/>
          <w:szCs w:val="21"/>
        </w:rPr>
      </w:pPr>
      <w:r>
        <w:rPr>
          <w:rFonts w:ascii="Cambria" w:hAnsi="Cambria" w:cs="Arial"/>
        </w:rPr>
        <w:br/>
        <w:t>Summer Training / Internship Project</w:t>
      </w:r>
      <w:r>
        <w:rPr>
          <w:rFonts w:ascii="Cambria" w:hAnsi="Cambria" w:cs="Arial"/>
        </w:rPr>
        <w:br/>
      </w:r>
      <w:r>
        <w:rPr>
          <w:rFonts w:ascii="Cambria" w:hAnsi="Cambria" w:cs="Arial"/>
          <w:sz w:val="22"/>
          <w:szCs w:val="22"/>
        </w:rPr>
        <w:t>Business Analytics for Small and Medium Enterprises (SMEs)</w:t>
      </w:r>
    </w:p>
    <w:p w14:paraId="5FB63FCE" w14:textId="77777777" w:rsidR="000560E9" w:rsidRDefault="000560E9" w:rsidP="000560E9">
      <w:pPr>
        <w:pStyle w:val="artifact-docx-previewfooter"/>
        <w:spacing w:before="0" w:beforeAutospacing="0" w:after="0" w:afterAutospacing="0"/>
        <w:jc w:val="center"/>
        <w:rPr>
          <w:rFonts w:ascii="Arial" w:hAnsi="Arial" w:cs="Arial"/>
          <w:sz w:val="21"/>
          <w:szCs w:val="21"/>
        </w:rPr>
      </w:pPr>
      <w:proofErr w:type="spellStart"/>
      <w:r>
        <w:rPr>
          <w:rFonts w:ascii="Arial" w:hAnsi="Arial" w:cs="Arial"/>
          <w:sz w:val="21"/>
          <w:szCs w:val="21"/>
        </w:rPr>
        <w:t>BizInsight</w:t>
      </w:r>
      <w:proofErr w:type="spellEnd"/>
      <w:r>
        <w:rPr>
          <w:rFonts w:ascii="Arial" w:hAnsi="Arial" w:cs="Arial"/>
          <w:sz w:val="21"/>
          <w:szCs w:val="21"/>
        </w:rPr>
        <w:t>-AI | Final Week – Evaluation and Comprehensive Business Reporting</w:t>
      </w:r>
    </w:p>
    <w:p w14:paraId="6DBAB7C5" w14:textId="77777777" w:rsidR="000560E9" w:rsidRDefault="000560E9" w:rsidP="000560E9">
      <w:pPr>
        <w:pStyle w:val="artifact-docx-previewheading1"/>
        <w:spacing w:before="0" w:beforeAutospacing="0" w:after="0" w:afterAutospacing="0"/>
        <w:rPr>
          <w:rFonts w:ascii="Arial" w:hAnsi="Arial" w:cs="Arial"/>
          <w:sz w:val="21"/>
          <w:szCs w:val="21"/>
        </w:rPr>
      </w:pPr>
      <w:r>
        <w:rPr>
          <w:rFonts w:ascii="Calibri" w:hAnsi="Calibri" w:cs="Calibri"/>
          <w:b/>
          <w:bCs/>
          <w:color w:val="365F91"/>
          <w:sz w:val="28"/>
          <w:szCs w:val="28"/>
        </w:rPr>
        <w:t>1. Framework for Evaluation</w:t>
      </w:r>
    </w:p>
    <w:p w14:paraId="2F28FD06" w14:textId="77777777" w:rsidR="000560E9" w:rsidRDefault="000560E9" w:rsidP="000560E9">
      <w:pPr>
        <w:pStyle w:val="NormalWeb"/>
        <w:spacing w:before="0" w:beforeAutospacing="0" w:after="0" w:afterAutospacing="0"/>
        <w:rPr>
          <w:rFonts w:ascii="Arial" w:hAnsi="Arial" w:cs="Arial"/>
          <w:sz w:val="21"/>
          <w:szCs w:val="21"/>
        </w:rPr>
      </w:pPr>
      <w:r>
        <w:rPr>
          <w:rFonts w:ascii="Cambria" w:hAnsi="Cambria" w:cs="Arial"/>
          <w:sz w:val="22"/>
          <w:szCs w:val="22"/>
        </w:rPr>
        <w:t xml:space="preserve">A comprehensive evaluation framework is required to determine whether the analytical outputs produced by </w:t>
      </w:r>
      <w:proofErr w:type="spellStart"/>
      <w:r>
        <w:rPr>
          <w:rFonts w:ascii="Cambria" w:hAnsi="Cambria" w:cs="Arial"/>
          <w:sz w:val="22"/>
          <w:szCs w:val="22"/>
        </w:rPr>
        <w:t>BizInsight</w:t>
      </w:r>
      <w:proofErr w:type="spellEnd"/>
      <w:r>
        <w:rPr>
          <w:rFonts w:ascii="Cambria" w:hAnsi="Cambria" w:cs="Arial"/>
          <w:sz w:val="22"/>
          <w:szCs w:val="22"/>
        </w:rPr>
        <w:t>-AI are reliable, understandable, and useful for business decision-making. The evaluation covers both predictive models and visual analytics developed during the previous weeks.</w:t>
      </w:r>
      <w:r>
        <w:rPr>
          <w:rFonts w:ascii="Cambria" w:hAnsi="Cambria" w:cs="Arial"/>
          <w:sz w:val="22"/>
          <w:szCs w:val="22"/>
        </w:rPr>
        <w:br/>
      </w:r>
      <w:r>
        <w:rPr>
          <w:rFonts w:ascii="Cambria" w:hAnsi="Cambria" w:cs="Arial"/>
          <w:sz w:val="22"/>
          <w:szCs w:val="22"/>
        </w:rPr>
        <w:br/>
        <w:t>For predictive models, evaluation should consider performance on unseen data, consistency of results, and suitability of the selected metrics. Regression problems can be evaluated using R-squared and error-based measures, while classification problems such as customer churn can use accuracy, precision, recall, and F1-score.</w:t>
      </w:r>
      <w:r>
        <w:rPr>
          <w:rFonts w:ascii="Cambria" w:hAnsi="Cambria" w:cs="Arial"/>
          <w:sz w:val="22"/>
          <w:szCs w:val="22"/>
        </w:rPr>
        <w:br/>
      </w:r>
      <w:r>
        <w:rPr>
          <w:rFonts w:ascii="Cambria" w:hAnsi="Cambria" w:cs="Arial"/>
          <w:sz w:val="22"/>
          <w:szCs w:val="22"/>
        </w:rPr>
        <w:br/>
        <w:t>Visual analytics should be evaluated for correctness, readability, relevance, and clarity. Charts should have appropriate titles, labels, scales, and comparisons, and their conclusions should be supported by the underlying data.</w:t>
      </w:r>
      <w:r>
        <w:rPr>
          <w:rFonts w:ascii="Cambria" w:hAnsi="Cambria" w:cs="Arial"/>
          <w:sz w:val="22"/>
          <w:szCs w:val="22"/>
        </w:rPr>
        <w:br/>
      </w:r>
      <w:r>
        <w:rPr>
          <w:rFonts w:ascii="Cambria" w:hAnsi="Cambria" w:cs="Arial"/>
          <w:sz w:val="22"/>
          <w:szCs w:val="22"/>
        </w:rPr>
        <w:br/>
        <w:t>The final evaluation must connect technical performance with business usefulness. A model can have acceptable statistical performance but limited business value if its results are difficult to interpret or do not support a practical decision. Similarly, a visually attractive dashboard is not effective if it communicates misleading or irrelevant information.</w:t>
      </w:r>
    </w:p>
    <w:p w14:paraId="527F9DC7" w14:textId="77777777" w:rsidR="000560E9" w:rsidRDefault="000560E9" w:rsidP="000560E9">
      <w:pPr>
        <w:pStyle w:val="artifact-docx-previewheading1"/>
        <w:spacing w:before="0" w:beforeAutospacing="0" w:after="0" w:afterAutospacing="0"/>
        <w:rPr>
          <w:rFonts w:ascii="Arial" w:hAnsi="Arial" w:cs="Arial"/>
          <w:sz w:val="21"/>
          <w:szCs w:val="21"/>
        </w:rPr>
      </w:pPr>
      <w:r>
        <w:rPr>
          <w:rFonts w:ascii="Calibri" w:hAnsi="Calibri" w:cs="Calibri"/>
          <w:b/>
          <w:bCs/>
          <w:color w:val="365F91"/>
          <w:sz w:val="28"/>
          <w:szCs w:val="28"/>
        </w:rPr>
        <w:t>2. Evaluation Metrics</w:t>
      </w:r>
    </w:p>
    <w:p w14:paraId="04D4C9E4" w14:textId="77777777" w:rsidR="000560E9" w:rsidRDefault="000560E9" w:rsidP="000560E9">
      <w:pPr>
        <w:pStyle w:val="NormalWeb"/>
        <w:spacing w:before="0" w:beforeAutospacing="0" w:after="0" w:afterAutospacing="0"/>
        <w:rPr>
          <w:rFonts w:ascii="Arial" w:hAnsi="Arial" w:cs="Arial"/>
          <w:sz w:val="21"/>
          <w:szCs w:val="21"/>
        </w:rPr>
      </w:pPr>
      <w:r>
        <w:rPr>
          <w:rFonts w:ascii="Cambria" w:hAnsi="Cambria" w:cs="Arial"/>
          <w:sz w:val="22"/>
          <w:szCs w:val="22"/>
        </w:rPr>
        <w:t>Different metrics are useful for different predictive problems. The metric selected should match the target variable and business objective. Using multiple measures gives stakeholders a more balanced view of performance.</w:t>
      </w:r>
    </w:p>
    <w:p w14:paraId="7251E733" w14:textId="77777777" w:rsidR="000560E9" w:rsidRDefault="000560E9" w:rsidP="000560E9">
      <w:pPr>
        <w:pStyle w:val="artifact-docx-previewheading1"/>
        <w:spacing w:before="0" w:beforeAutospacing="0" w:after="0" w:afterAutospacing="0"/>
        <w:rPr>
          <w:rFonts w:ascii="Arial" w:hAnsi="Arial" w:cs="Arial"/>
          <w:sz w:val="21"/>
          <w:szCs w:val="21"/>
        </w:rPr>
      </w:pPr>
      <w:r>
        <w:rPr>
          <w:rFonts w:ascii="Calibri" w:hAnsi="Calibri" w:cs="Calibri"/>
          <w:b/>
          <w:bCs/>
          <w:color w:val="365F91"/>
          <w:sz w:val="28"/>
          <w:szCs w:val="28"/>
        </w:rPr>
        <w:t>3. Insight Synthesis</w:t>
      </w:r>
    </w:p>
    <w:p w14:paraId="4B1F7248" w14:textId="77777777" w:rsidR="000560E9" w:rsidRDefault="000560E9" w:rsidP="000560E9">
      <w:pPr>
        <w:pStyle w:val="NormalWeb"/>
        <w:spacing w:before="0" w:beforeAutospacing="0" w:after="0" w:afterAutospacing="0"/>
        <w:rPr>
          <w:rFonts w:ascii="Arial" w:hAnsi="Arial" w:cs="Arial"/>
          <w:sz w:val="21"/>
          <w:szCs w:val="21"/>
        </w:rPr>
      </w:pPr>
      <w:r>
        <w:rPr>
          <w:rFonts w:ascii="Cambria" w:hAnsi="Cambria" w:cs="Arial"/>
          <w:sz w:val="22"/>
          <w:szCs w:val="22"/>
        </w:rPr>
        <w:t>The purpose of business analytics is not simply to produce numbers, charts, or model scores. Analytical results must be converted into meaningful business insights and practical recommendations. Insight synthesis connects quantitative findings with business questions and possible actions.</w:t>
      </w:r>
      <w:r>
        <w:rPr>
          <w:rFonts w:ascii="Cambria" w:hAnsi="Cambria" w:cs="Arial"/>
          <w:sz w:val="22"/>
          <w:szCs w:val="22"/>
        </w:rPr>
        <w:br/>
      </w:r>
      <w:r>
        <w:rPr>
          <w:rFonts w:ascii="Cambria" w:hAnsi="Cambria" w:cs="Arial"/>
          <w:sz w:val="22"/>
          <w:szCs w:val="22"/>
        </w:rPr>
        <w:br/>
        <w:t>The first step is to identify what the analysis shows. Revenue trends may indicate growth, decline, or fluctuations. Product analysis may show that some products generate high revenue while others provide stronger profit margins. Customer analysis may reveal inactive or potentially churn-prone customers. Inventory analysis may identify products with high demand and comparatively low stock.</w:t>
      </w:r>
      <w:r>
        <w:rPr>
          <w:rFonts w:ascii="Cambria" w:hAnsi="Cambria" w:cs="Arial"/>
          <w:sz w:val="22"/>
          <w:szCs w:val="22"/>
        </w:rPr>
        <w:br/>
      </w:r>
      <w:r>
        <w:rPr>
          <w:rFonts w:ascii="Cambria" w:hAnsi="Cambria" w:cs="Arial"/>
          <w:sz w:val="22"/>
          <w:szCs w:val="22"/>
        </w:rPr>
        <w:br/>
        <w:t xml:space="preserve">The next step is to investigate why a pattern may be occurring by comparing related measures such as revenue, cost, quantity, discount, profit, customer </w:t>
      </w:r>
      <w:proofErr w:type="spellStart"/>
      <w:r>
        <w:rPr>
          <w:rFonts w:ascii="Cambria" w:hAnsi="Cambria" w:cs="Arial"/>
          <w:sz w:val="22"/>
          <w:szCs w:val="22"/>
        </w:rPr>
        <w:t>behavior</w:t>
      </w:r>
      <w:proofErr w:type="spellEnd"/>
      <w:r>
        <w:rPr>
          <w:rFonts w:ascii="Cambria" w:hAnsi="Cambria" w:cs="Arial"/>
          <w:sz w:val="22"/>
          <w:szCs w:val="22"/>
        </w:rPr>
        <w:t>, and inventory. Finally, the insight should be translated into an action, such as increasing stock for high-demand products, reviewing pricing for low-margin products, or targeting at-risk customers.</w:t>
      </w:r>
      <w:r>
        <w:rPr>
          <w:rFonts w:ascii="Cambria" w:hAnsi="Cambria" w:cs="Arial"/>
          <w:sz w:val="22"/>
          <w:szCs w:val="22"/>
        </w:rPr>
        <w:br/>
      </w:r>
      <w:r>
        <w:rPr>
          <w:rFonts w:ascii="Cambria" w:hAnsi="Cambria" w:cs="Arial"/>
          <w:sz w:val="22"/>
          <w:szCs w:val="22"/>
        </w:rPr>
        <w:br/>
        <w:t>Recommendations should be specific, realistic, and connected to measurable business outcomes. Analytical relationships should not automatically be treated as causes without considering business context.</w:t>
      </w:r>
    </w:p>
    <w:p w14:paraId="10701D95" w14:textId="77777777" w:rsidR="000560E9" w:rsidRDefault="000560E9" w:rsidP="000560E9">
      <w:pPr>
        <w:pStyle w:val="artifact-docx-previewheading1"/>
        <w:spacing w:before="0" w:beforeAutospacing="0" w:after="0" w:afterAutospacing="0"/>
        <w:rPr>
          <w:rFonts w:ascii="Arial" w:hAnsi="Arial" w:cs="Arial"/>
          <w:sz w:val="21"/>
          <w:szCs w:val="21"/>
        </w:rPr>
      </w:pPr>
      <w:r>
        <w:rPr>
          <w:rFonts w:ascii="Calibri" w:hAnsi="Calibri" w:cs="Calibri"/>
          <w:b/>
          <w:bCs/>
          <w:color w:val="365F91"/>
          <w:sz w:val="28"/>
          <w:szCs w:val="28"/>
        </w:rPr>
        <w:lastRenderedPageBreak/>
        <w:t xml:space="preserve">4. Summary of </w:t>
      </w:r>
      <w:proofErr w:type="spellStart"/>
      <w:r>
        <w:rPr>
          <w:rFonts w:ascii="Calibri" w:hAnsi="Calibri" w:cs="Calibri"/>
          <w:b/>
          <w:bCs/>
          <w:color w:val="365F91"/>
          <w:sz w:val="28"/>
          <w:szCs w:val="28"/>
        </w:rPr>
        <w:t>BizInsight</w:t>
      </w:r>
      <w:proofErr w:type="spellEnd"/>
      <w:r>
        <w:rPr>
          <w:rFonts w:ascii="Calibri" w:hAnsi="Calibri" w:cs="Calibri"/>
          <w:b/>
          <w:bCs/>
          <w:color w:val="365F91"/>
          <w:sz w:val="28"/>
          <w:szCs w:val="28"/>
        </w:rPr>
        <w:t>-AI Insights</w:t>
      </w:r>
    </w:p>
    <w:p w14:paraId="382BA669" w14:textId="77777777" w:rsidR="000560E9" w:rsidRDefault="000560E9" w:rsidP="000560E9">
      <w:pPr>
        <w:pStyle w:val="NormalWeb"/>
        <w:spacing w:before="0" w:beforeAutospacing="0" w:after="0" w:afterAutospacing="0"/>
        <w:rPr>
          <w:rFonts w:ascii="Arial" w:hAnsi="Arial" w:cs="Arial"/>
          <w:sz w:val="21"/>
          <w:szCs w:val="21"/>
        </w:rPr>
      </w:pPr>
      <w:r>
        <w:rPr>
          <w:rFonts w:ascii="Cambria" w:hAnsi="Cambria" w:cs="Arial"/>
          <w:sz w:val="22"/>
          <w:szCs w:val="22"/>
        </w:rPr>
        <w:t>The previous analysis stages provide several useful areas for business interpretation. Sales and revenue visualizations help identify high-performing periods and changes in performance. Product-level analysis can distinguish products that generate strong revenue from those that contribute stronger profit.</w:t>
      </w:r>
      <w:r>
        <w:rPr>
          <w:rFonts w:ascii="Cambria" w:hAnsi="Cambria" w:cs="Arial"/>
          <w:sz w:val="22"/>
          <w:szCs w:val="22"/>
        </w:rPr>
        <w:br/>
      </w:r>
      <w:r>
        <w:rPr>
          <w:rFonts w:ascii="Cambria" w:hAnsi="Cambria" w:cs="Arial"/>
          <w:sz w:val="22"/>
          <w:szCs w:val="22"/>
        </w:rPr>
        <w:br/>
        <w:t xml:space="preserve">Customer analysis provides information about spending </w:t>
      </w:r>
      <w:proofErr w:type="spellStart"/>
      <w:r>
        <w:rPr>
          <w:rFonts w:ascii="Cambria" w:hAnsi="Cambria" w:cs="Arial"/>
          <w:sz w:val="22"/>
          <w:szCs w:val="22"/>
        </w:rPr>
        <w:t>behavior</w:t>
      </w:r>
      <w:proofErr w:type="spellEnd"/>
      <w:r>
        <w:rPr>
          <w:rFonts w:ascii="Cambria" w:hAnsi="Cambria" w:cs="Arial"/>
          <w:sz w:val="22"/>
          <w:szCs w:val="22"/>
        </w:rPr>
        <w:t xml:space="preserve"> and churn status, supporting customer retention strategies. Inventory analysis can highlight products with lower stock levels and support replenishment decisions.</w:t>
      </w:r>
      <w:r>
        <w:rPr>
          <w:rFonts w:ascii="Cambria" w:hAnsi="Cambria" w:cs="Arial"/>
          <w:sz w:val="22"/>
          <w:szCs w:val="22"/>
        </w:rPr>
        <w:br/>
      </w:r>
      <w:r>
        <w:rPr>
          <w:rFonts w:ascii="Cambria" w:hAnsi="Cambria" w:cs="Arial"/>
          <w:sz w:val="22"/>
          <w:szCs w:val="22"/>
        </w:rPr>
        <w:br/>
        <w:t xml:space="preserve">Time-series analysis adds a temporal dimension by identifying trends, possible seasonal </w:t>
      </w:r>
      <w:proofErr w:type="spellStart"/>
      <w:r>
        <w:rPr>
          <w:rFonts w:ascii="Cambria" w:hAnsi="Cambria" w:cs="Arial"/>
          <w:sz w:val="22"/>
          <w:szCs w:val="22"/>
        </w:rPr>
        <w:t>behavior</w:t>
      </w:r>
      <w:proofErr w:type="spellEnd"/>
      <w:r>
        <w:rPr>
          <w:rFonts w:ascii="Cambria" w:hAnsi="Cambria" w:cs="Arial"/>
          <w:sz w:val="22"/>
          <w:szCs w:val="22"/>
        </w:rPr>
        <w:t>, and unusual revenue movements. Forecasting can provide estimates of future revenue for sales targets, resource planning, and inventory preparation.</w:t>
      </w:r>
      <w:r>
        <w:rPr>
          <w:rFonts w:ascii="Cambria" w:hAnsi="Cambria" w:cs="Arial"/>
          <w:sz w:val="22"/>
          <w:szCs w:val="22"/>
        </w:rPr>
        <w:br/>
      </w:r>
      <w:r>
        <w:rPr>
          <w:rFonts w:ascii="Cambria" w:hAnsi="Cambria" w:cs="Arial"/>
          <w:sz w:val="22"/>
          <w:szCs w:val="22"/>
        </w:rPr>
        <w:br/>
        <w:t xml:space="preserve">Predictive </w:t>
      </w:r>
      <w:proofErr w:type="spellStart"/>
      <w:r>
        <w:rPr>
          <w:rFonts w:ascii="Cambria" w:hAnsi="Cambria" w:cs="Arial"/>
          <w:sz w:val="22"/>
          <w:szCs w:val="22"/>
        </w:rPr>
        <w:t>modeling</w:t>
      </w:r>
      <w:proofErr w:type="spellEnd"/>
      <w:r>
        <w:rPr>
          <w:rFonts w:ascii="Cambria" w:hAnsi="Cambria" w:cs="Arial"/>
          <w:sz w:val="22"/>
          <w:szCs w:val="22"/>
        </w:rPr>
        <w:t xml:space="preserve"> should be interpreted carefully. The Week 4 regression analysis demonstrated the importance of validation rather than assuming that a complex model will perform well. The results indicated that additional historical and business features may be required to improve forecasting performance. This is useful because it identifies a direction for future development rather than presenting an unreliable prediction as a final answer.</w:t>
      </w:r>
    </w:p>
    <w:p w14:paraId="7D9BD658" w14:textId="77777777" w:rsidR="000560E9" w:rsidRDefault="000560E9" w:rsidP="000560E9">
      <w:pPr>
        <w:pStyle w:val="artifact-docx-previewheading1"/>
        <w:spacing w:before="0" w:beforeAutospacing="0" w:after="0" w:afterAutospacing="0"/>
        <w:rPr>
          <w:rFonts w:ascii="Arial" w:hAnsi="Arial" w:cs="Arial"/>
          <w:sz w:val="21"/>
          <w:szCs w:val="21"/>
        </w:rPr>
      </w:pPr>
      <w:r>
        <w:rPr>
          <w:rFonts w:ascii="Calibri" w:hAnsi="Calibri" w:cs="Calibri"/>
          <w:b/>
          <w:bCs/>
          <w:color w:val="365F91"/>
          <w:sz w:val="28"/>
          <w:szCs w:val="28"/>
        </w:rPr>
        <w:t>5. Actionable Business Recommendations</w:t>
      </w:r>
    </w:p>
    <w:p w14:paraId="5E7AE3C1" w14:textId="77777777" w:rsidR="000560E9" w:rsidRDefault="000560E9" w:rsidP="000560E9">
      <w:pPr>
        <w:pStyle w:val="NormalWeb"/>
        <w:spacing w:before="0" w:beforeAutospacing="0" w:after="0" w:afterAutospacing="0"/>
        <w:rPr>
          <w:rFonts w:ascii="Arial" w:hAnsi="Arial" w:cs="Arial"/>
          <w:sz w:val="21"/>
          <w:szCs w:val="21"/>
        </w:rPr>
      </w:pPr>
      <w:r>
        <w:rPr>
          <w:rFonts w:ascii="Cambria" w:hAnsi="Cambria" w:cs="Arial"/>
          <w:sz w:val="22"/>
          <w:szCs w:val="22"/>
        </w:rPr>
        <w:t xml:space="preserve">Based on the combined analytical framework, </w:t>
      </w:r>
      <w:proofErr w:type="spellStart"/>
      <w:r>
        <w:rPr>
          <w:rFonts w:ascii="Cambria" w:hAnsi="Cambria" w:cs="Arial"/>
          <w:sz w:val="22"/>
          <w:szCs w:val="22"/>
        </w:rPr>
        <w:t>BizInsight</w:t>
      </w:r>
      <w:proofErr w:type="spellEnd"/>
      <w:r>
        <w:rPr>
          <w:rFonts w:ascii="Cambria" w:hAnsi="Cambria" w:cs="Arial"/>
          <w:sz w:val="22"/>
          <w:szCs w:val="22"/>
        </w:rPr>
        <w:t>-AI can provide several practical recommendations for SME stakeholders:</w:t>
      </w:r>
      <w:r>
        <w:rPr>
          <w:rFonts w:ascii="Cambria" w:hAnsi="Cambria" w:cs="Arial"/>
          <w:sz w:val="22"/>
          <w:szCs w:val="22"/>
        </w:rPr>
        <w:br/>
      </w:r>
      <w:r>
        <w:rPr>
          <w:rFonts w:ascii="Cambria" w:hAnsi="Cambria" w:cs="Arial"/>
          <w:sz w:val="22"/>
          <w:szCs w:val="22"/>
        </w:rPr>
        <w:br/>
        <w:t>1. Use revenue and sales trends for periodic target setting and performance monitoring.</w:t>
      </w:r>
      <w:r>
        <w:rPr>
          <w:rFonts w:ascii="Cambria" w:hAnsi="Cambria" w:cs="Arial"/>
          <w:sz w:val="22"/>
          <w:szCs w:val="22"/>
        </w:rPr>
        <w:br/>
        <w:t>2. Review high-revenue but low-margin products to identify pricing, discount, or cost-related improvement opportunities.</w:t>
      </w:r>
      <w:r>
        <w:rPr>
          <w:rFonts w:ascii="Cambria" w:hAnsi="Cambria" w:cs="Arial"/>
          <w:sz w:val="22"/>
          <w:szCs w:val="22"/>
        </w:rPr>
        <w:br/>
        <w:t>3. Maintain sufficient inventory for products showing strong demand or lower stock levels.</w:t>
      </w:r>
      <w:r>
        <w:rPr>
          <w:rFonts w:ascii="Cambria" w:hAnsi="Cambria" w:cs="Arial"/>
          <w:sz w:val="22"/>
          <w:szCs w:val="22"/>
        </w:rPr>
        <w:br/>
        <w:t>4. Use customer spending and churn information to design targeted retention activities.</w:t>
      </w:r>
      <w:r>
        <w:rPr>
          <w:rFonts w:ascii="Cambria" w:hAnsi="Cambria" w:cs="Arial"/>
          <w:sz w:val="22"/>
          <w:szCs w:val="22"/>
        </w:rPr>
        <w:br/>
        <w:t>5. Investigate unusual revenue spikes or declines before making operational decisions.</w:t>
      </w:r>
      <w:r>
        <w:rPr>
          <w:rFonts w:ascii="Cambria" w:hAnsi="Cambria" w:cs="Arial"/>
          <w:sz w:val="22"/>
          <w:szCs w:val="22"/>
        </w:rPr>
        <w:br/>
        <w:t>6. Use time-series forecasts as planning inputs for inventory, staffing, sales targets, and resource allocation.</w:t>
      </w:r>
      <w:r>
        <w:rPr>
          <w:rFonts w:ascii="Cambria" w:hAnsi="Cambria" w:cs="Arial"/>
          <w:sz w:val="22"/>
          <w:szCs w:val="22"/>
        </w:rPr>
        <w:br/>
        <w:t>7. Improve predictive models by adding relevant historical, seasonal, customer, product, and marketing variables.</w:t>
      </w:r>
      <w:r>
        <w:rPr>
          <w:rFonts w:ascii="Cambria" w:hAnsi="Cambria" w:cs="Arial"/>
          <w:sz w:val="22"/>
          <w:szCs w:val="22"/>
        </w:rPr>
        <w:br/>
        <w:t>8. Combine analytical recommendations with current market conditions and management experience before taking major decisions.</w:t>
      </w:r>
    </w:p>
    <w:p w14:paraId="2B8051A2" w14:textId="77777777" w:rsidR="000560E9" w:rsidRDefault="000560E9" w:rsidP="000560E9">
      <w:pPr>
        <w:pStyle w:val="artifact-docx-previewheading1"/>
        <w:spacing w:before="0" w:beforeAutospacing="0" w:after="0" w:afterAutospacing="0"/>
        <w:rPr>
          <w:rFonts w:ascii="Arial" w:hAnsi="Arial" w:cs="Arial"/>
          <w:sz w:val="21"/>
          <w:szCs w:val="21"/>
        </w:rPr>
      </w:pPr>
      <w:r>
        <w:rPr>
          <w:rFonts w:ascii="Calibri" w:hAnsi="Calibri" w:cs="Calibri"/>
          <w:b/>
          <w:bCs/>
          <w:color w:val="365F91"/>
          <w:sz w:val="28"/>
          <w:szCs w:val="28"/>
        </w:rPr>
        <w:t>6. Mock Executive Summary</w:t>
      </w:r>
    </w:p>
    <w:p w14:paraId="74C88A9E" w14:textId="77777777" w:rsidR="000560E9" w:rsidRDefault="000560E9" w:rsidP="000560E9">
      <w:pPr>
        <w:pStyle w:val="NormalWeb"/>
        <w:spacing w:before="0" w:beforeAutospacing="0" w:after="0" w:afterAutospacing="0"/>
        <w:rPr>
          <w:rFonts w:ascii="Arial" w:hAnsi="Arial" w:cs="Arial"/>
          <w:sz w:val="21"/>
          <w:szCs w:val="21"/>
        </w:rPr>
      </w:pPr>
      <w:proofErr w:type="spellStart"/>
      <w:r>
        <w:rPr>
          <w:rFonts w:ascii="Cambria" w:hAnsi="Cambria" w:cs="Arial"/>
          <w:sz w:val="22"/>
          <w:szCs w:val="22"/>
        </w:rPr>
        <w:t>BizInsight</w:t>
      </w:r>
      <w:proofErr w:type="spellEnd"/>
      <w:r>
        <w:rPr>
          <w:rFonts w:ascii="Cambria" w:hAnsi="Cambria" w:cs="Arial"/>
          <w:sz w:val="22"/>
          <w:szCs w:val="22"/>
        </w:rPr>
        <w:t xml:space="preserve">-AI is designed to help Small and Medium Enterprises understand their business data and make better decisions without requiring a dedicated analytics team. The platform combines data cleaning, visualization, predictive </w:t>
      </w:r>
      <w:proofErr w:type="spellStart"/>
      <w:r>
        <w:rPr>
          <w:rFonts w:ascii="Cambria" w:hAnsi="Cambria" w:cs="Arial"/>
          <w:sz w:val="22"/>
          <w:szCs w:val="22"/>
        </w:rPr>
        <w:t>modeling</w:t>
      </w:r>
      <w:proofErr w:type="spellEnd"/>
      <w:r>
        <w:rPr>
          <w:rFonts w:ascii="Cambria" w:hAnsi="Cambria" w:cs="Arial"/>
          <w:sz w:val="22"/>
          <w:szCs w:val="22"/>
        </w:rPr>
        <w:t>, and time-series analysis to transform raw business information into understandable insights.</w:t>
      </w:r>
      <w:r>
        <w:rPr>
          <w:rFonts w:ascii="Cambria" w:hAnsi="Cambria" w:cs="Arial"/>
          <w:sz w:val="22"/>
          <w:szCs w:val="22"/>
        </w:rPr>
        <w:br/>
      </w:r>
      <w:r>
        <w:rPr>
          <w:rFonts w:ascii="Cambria" w:hAnsi="Cambria" w:cs="Arial"/>
          <w:sz w:val="22"/>
          <w:szCs w:val="22"/>
        </w:rPr>
        <w:br/>
        <w:t>The analysis shows that business performance can vary across products, customers, inventory levels, and time periods. Revenue and profit trends help identify areas of strong and weak performance, while customer and inventory analysis provide opportunities for retention and operational improvement. Time-series analysis further helps identify changes over time and provides a basis for future revenue forecasting.</w:t>
      </w:r>
      <w:r>
        <w:rPr>
          <w:rFonts w:ascii="Cambria" w:hAnsi="Cambria" w:cs="Arial"/>
          <w:sz w:val="22"/>
          <w:szCs w:val="22"/>
        </w:rPr>
        <w:br/>
      </w:r>
      <w:r>
        <w:rPr>
          <w:rFonts w:ascii="Cambria" w:hAnsi="Cambria" w:cs="Arial"/>
          <w:sz w:val="22"/>
          <w:szCs w:val="22"/>
        </w:rPr>
        <w:br/>
        <w:t xml:space="preserve">The predictive </w:t>
      </w:r>
      <w:proofErr w:type="spellStart"/>
      <w:r>
        <w:rPr>
          <w:rFonts w:ascii="Cambria" w:hAnsi="Cambria" w:cs="Arial"/>
          <w:sz w:val="22"/>
          <w:szCs w:val="22"/>
        </w:rPr>
        <w:t>modeling</w:t>
      </w:r>
      <w:proofErr w:type="spellEnd"/>
      <w:r>
        <w:rPr>
          <w:rFonts w:ascii="Cambria" w:hAnsi="Cambria" w:cs="Arial"/>
          <w:sz w:val="22"/>
          <w:szCs w:val="22"/>
        </w:rPr>
        <w:t xml:space="preserve"> results should be treated as decision-support information rather than guaranteed future outcomes. The evaluation also shows that forecasting quality can be improved by incorporating additional business factors and more historical information.</w:t>
      </w:r>
      <w:r>
        <w:rPr>
          <w:rFonts w:ascii="Cambria" w:hAnsi="Cambria" w:cs="Arial"/>
          <w:sz w:val="22"/>
          <w:szCs w:val="22"/>
        </w:rPr>
        <w:br/>
      </w:r>
      <w:r>
        <w:rPr>
          <w:rFonts w:ascii="Cambria" w:hAnsi="Cambria" w:cs="Arial"/>
          <w:sz w:val="22"/>
          <w:szCs w:val="22"/>
        </w:rPr>
        <w:br/>
        <w:t xml:space="preserve">For management, the key recommendation is to use </w:t>
      </w:r>
      <w:proofErr w:type="spellStart"/>
      <w:r>
        <w:rPr>
          <w:rFonts w:ascii="Cambria" w:hAnsi="Cambria" w:cs="Arial"/>
          <w:sz w:val="22"/>
          <w:szCs w:val="22"/>
        </w:rPr>
        <w:t>BizInsight</w:t>
      </w:r>
      <w:proofErr w:type="spellEnd"/>
      <w:r>
        <w:rPr>
          <w:rFonts w:ascii="Cambria" w:hAnsi="Cambria" w:cs="Arial"/>
          <w:sz w:val="22"/>
          <w:szCs w:val="22"/>
        </w:rPr>
        <w:t xml:space="preserve">-AI as a centralized decision-support platform. Business owners can monitor performance, identify areas requiring attention, </w:t>
      </w:r>
      <w:r>
        <w:rPr>
          <w:rFonts w:ascii="Cambria" w:hAnsi="Cambria" w:cs="Arial"/>
          <w:sz w:val="22"/>
          <w:szCs w:val="22"/>
        </w:rPr>
        <w:lastRenderedPageBreak/>
        <w:t>plan inventory and sales activities, and use analytical evidence to support strategic decisions. The platform's main value is not simply showing data, but converting business data into clear actions that can contribute to growth, efficiency, and loss reduction.</w:t>
      </w:r>
    </w:p>
    <w:p w14:paraId="4C7AB646" w14:textId="77777777" w:rsidR="000560E9" w:rsidRDefault="000560E9" w:rsidP="000560E9">
      <w:pPr>
        <w:pStyle w:val="artifact-docx-previewheading1"/>
        <w:spacing w:before="0" w:beforeAutospacing="0" w:after="0" w:afterAutospacing="0"/>
        <w:rPr>
          <w:rFonts w:ascii="Arial" w:hAnsi="Arial" w:cs="Arial"/>
          <w:sz w:val="21"/>
          <w:szCs w:val="21"/>
        </w:rPr>
      </w:pPr>
      <w:r>
        <w:rPr>
          <w:rFonts w:ascii="Calibri" w:hAnsi="Calibri" w:cs="Calibri"/>
          <w:b/>
          <w:bCs/>
          <w:color w:val="365F91"/>
          <w:sz w:val="28"/>
          <w:szCs w:val="28"/>
        </w:rPr>
        <w:t>7. Reporting Guidelines</w:t>
      </w:r>
    </w:p>
    <w:p w14:paraId="1AAF8468" w14:textId="77777777" w:rsidR="000560E9" w:rsidRDefault="000560E9" w:rsidP="000560E9">
      <w:pPr>
        <w:pStyle w:val="NormalWeb"/>
        <w:spacing w:before="0" w:beforeAutospacing="0" w:after="0" w:afterAutospacing="0"/>
        <w:rPr>
          <w:rFonts w:ascii="Arial" w:hAnsi="Arial" w:cs="Arial"/>
          <w:sz w:val="21"/>
          <w:szCs w:val="21"/>
        </w:rPr>
      </w:pPr>
      <w:r>
        <w:rPr>
          <w:rFonts w:ascii="Cambria" w:hAnsi="Cambria" w:cs="Arial"/>
          <w:sz w:val="22"/>
          <w:szCs w:val="22"/>
        </w:rPr>
        <w:t>Effective business reporting should communicate important findings clearly and avoid unnecessary technical complexity. Reports should begin with the business objective and then present the most relevant findings, evidence, implications, and recommended actions.</w:t>
      </w:r>
      <w:r>
        <w:rPr>
          <w:rFonts w:ascii="Cambria" w:hAnsi="Cambria" w:cs="Arial"/>
          <w:sz w:val="22"/>
          <w:szCs w:val="22"/>
        </w:rPr>
        <w:br/>
      </w:r>
      <w:r>
        <w:rPr>
          <w:rFonts w:ascii="Cambria" w:hAnsi="Cambria" w:cs="Arial"/>
          <w:sz w:val="22"/>
          <w:szCs w:val="22"/>
        </w:rPr>
        <w:br/>
        <w:t xml:space="preserve">Visualizations should be simple, correctly </w:t>
      </w:r>
      <w:proofErr w:type="spellStart"/>
      <w:r>
        <w:rPr>
          <w:rFonts w:ascii="Cambria" w:hAnsi="Cambria" w:cs="Arial"/>
          <w:sz w:val="22"/>
          <w:szCs w:val="22"/>
        </w:rPr>
        <w:t>labeled</w:t>
      </w:r>
      <w:proofErr w:type="spellEnd"/>
      <w:r>
        <w:rPr>
          <w:rFonts w:ascii="Cambria" w:hAnsi="Cambria" w:cs="Arial"/>
          <w:sz w:val="22"/>
          <w:szCs w:val="22"/>
        </w:rPr>
        <w:t>, and selected according to the question being answered. Each important chart should communicate one main message. Technical metrics should be included when they help stakeholders understand the evidence, but excessive technical detail should be avoided in executive-level reporting.</w:t>
      </w:r>
      <w:r>
        <w:rPr>
          <w:rFonts w:ascii="Cambria" w:hAnsi="Cambria" w:cs="Arial"/>
          <w:sz w:val="22"/>
          <w:szCs w:val="22"/>
        </w:rPr>
        <w:br/>
      </w:r>
      <w:r>
        <w:rPr>
          <w:rFonts w:ascii="Cambria" w:hAnsi="Cambria" w:cs="Arial"/>
          <w:sz w:val="22"/>
          <w:szCs w:val="22"/>
        </w:rPr>
        <w:br/>
        <w:t>Model performance should be presented honestly. Metrics should be explained in plain language and interpreted according to the business problem. Weak or uncertain model performance should not be hidden because it provides useful information about where improvement is needed.</w:t>
      </w:r>
      <w:r>
        <w:rPr>
          <w:rFonts w:ascii="Cambria" w:hAnsi="Cambria" w:cs="Arial"/>
          <w:sz w:val="22"/>
          <w:szCs w:val="22"/>
        </w:rPr>
        <w:br/>
      </w:r>
      <w:r>
        <w:rPr>
          <w:rFonts w:ascii="Cambria" w:hAnsi="Cambria" w:cs="Arial"/>
          <w:sz w:val="22"/>
          <w:szCs w:val="22"/>
        </w:rPr>
        <w:br/>
        <w:t>A strong report should distinguish between an observed fact, an analytical interpretation, and a recommendation. Recommendations should ideally include a responsible business area, an expected objective, and a way to monitor the outcome. Reports should be consistent, concise, and focused on decision-making so that a non-technical stakeholder can understand what happened, why it matters, what may happen next, and what action should be considered.</w:t>
      </w:r>
    </w:p>
    <w:p w14:paraId="5A774F9D" w14:textId="77777777" w:rsidR="000560E9" w:rsidRDefault="000560E9" w:rsidP="000560E9">
      <w:pPr>
        <w:pStyle w:val="artifact-docx-previewheading1"/>
        <w:spacing w:before="0" w:beforeAutospacing="0" w:after="0" w:afterAutospacing="0"/>
        <w:rPr>
          <w:rFonts w:ascii="Arial" w:hAnsi="Arial" w:cs="Arial"/>
          <w:sz w:val="21"/>
          <w:szCs w:val="21"/>
        </w:rPr>
      </w:pPr>
      <w:r>
        <w:rPr>
          <w:rFonts w:ascii="Calibri" w:hAnsi="Calibri" w:cs="Calibri"/>
          <w:b/>
          <w:bCs/>
          <w:color w:val="365F91"/>
          <w:sz w:val="28"/>
          <w:szCs w:val="28"/>
        </w:rPr>
        <w:t>8. Conclusion</w:t>
      </w:r>
    </w:p>
    <w:p w14:paraId="2E361EF7" w14:textId="77777777" w:rsidR="000560E9" w:rsidRDefault="000560E9" w:rsidP="000560E9">
      <w:pPr>
        <w:pStyle w:val="NormalWeb"/>
        <w:spacing w:before="0" w:beforeAutospacing="0" w:after="0" w:afterAutospacing="0"/>
        <w:rPr>
          <w:rFonts w:ascii="Arial" w:hAnsi="Arial" w:cs="Arial"/>
          <w:sz w:val="21"/>
          <w:szCs w:val="21"/>
        </w:rPr>
      </w:pPr>
      <w:r>
        <w:rPr>
          <w:rFonts w:ascii="Cambria" w:hAnsi="Cambria" w:cs="Arial"/>
          <w:sz w:val="22"/>
          <w:szCs w:val="22"/>
        </w:rPr>
        <w:t xml:space="preserve">The final evaluation and reporting stage </w:t>
      </w:r>
      <w:proofErr w:type="gramStart"/>
      <w:r>
        <w:rPr>
          <w:rFonts w:ascii="Cambria" w:hAnsi="Cambria" w:cs="Arial"/>
          <w:sz w:val="22"/>
          <w:szCs w:val="22"/>
        </w:rPr>
        <w:t>brings</w:t>
      </w:r>
      <w:proofErr w:type="gramEnd"/>
      <w:r>
        <w:rPr>
          <w:rFonts w:ascii="Cambria" w:hAnsi="Cambria" w:cs="Arial"/>
          <w:sz w:val="22"/>
          <w:szCs w:val="22"/>
        </w:rPr>
        <w:t xml:space="preserve"> together the analytical work completed throughout the </w:t>
      </w:r>
      <w:proofErr w:type="spellStart"/>
      <w:r>
        <w:rPr>
          <w:rFonts w:ascii="Cambria" w:hAnsi="Cambria" w:cs="Arial"/>
          <w:sz w:val="22"/>
          <w:szCs w:val="22"/>
        </w:rPr>
        <w:t>BizInsight</w:t>
      </w:r>
      <w:proofErr w:type="spellEnd"/>
      <w:r>
        <w:rPr>
          <w:rFonts w:ascii="Cambria" w:hAnsi="Cambria" w:cs="Arial"/>
          <w:sz w:val="22"/>
          <w:szCs w:val="22"/>
        </w:rPr>
        <w:t>-AI project. A comprehensive evaluation framework assesses predictive models and visual analytics based not only on technical performance but also on reliability, clarity, and business usefulness.</w:t>
      </w:r>
      <w:r>
        <w:rPr>
          <w:rFonts w:ascii="Cambria" w:hAnsi="Cambria" w:cs="Arial"/>
          <w:sz w:val="22"/>
          <w:szCs w:val="22"/>
        </w:rPr>
        <w:br/>
      </w:r>
      <w:r>
        <w:rPr>
          <w:rFonts w:ascii="Cambria" w:hAnsi="Cambria" w:cs="Arial"/>
          <w:sz w:val="22"/>
          <w:szCs w:val="22"/>
        </w:rPr>
        <w:br/>
        <w:t>Metrics such as accuracy, precision, recall, F1-score, R-squared, MAE, and RMSE provide quantitative evidence when applied to the appropriate type of problem. Insight synthesis then converts these results, together with visualization and time-series findings, into practical recommendations.</w:t>
      </w:r>
      <w:r>
        <w:rPr>
          <w:rFonts w:ascii="Cambria" w:hAnsi="Cambria" w:cs="Arial"/>
          <w:sz w:val="22"/>
          <w:szCs w:val="22"/>
        </w:rPr>
        <w:br/>
      </w:r>
      <w:r>
        <w:rPr>
          <w:rFonts w:ascii="Cambria" w:hAnsi="Cambria" w:cs="Arial"/>
          <w:sz w:val="22"/>
          <w:szCs w:val="22"/>
        </w:rPr>
        <w:br/>
        <w:t xml:space="preserve">The executive reporting approach ensures that complex analytical outputs can be communicated to non-technical stakeholders in a clear and useful manner. Overall, </w:t>
      </w:r>
      <w:proofErr w:type="spellStart"/>
      <w:r>
        <w:rPr>
          <w:rFonts w:ascii="Cambria" w:hAnsi="Cambria" w:cs="Arial"/>
          <w:sz w:val="22"/>
          <w:szCs w:val="22"/>
        </w:rPr>
        <w:t>BizInsight</w:t>
      </w:r>
      <w:proofErr w:type="spellEnd"/>
      <w:r>
        <w:rPr>
          <w:rFonts w:ascii="Cambria" w:hAnsi="Cambria" w:cs="Arial"/>
          <w:sz w:val="22"/>
          <w:szCs w:val="22"/>
        </w:rPr>
        <w:t>-AI aims to function as a personal business analyst for SMEs by connecting data, analysis, insights, and actions in a single decision-support workflow.</w:t>
      </w:r>
    </w:p>
    <w:p w14:paraId="6D4EB6E7" w14:textId="77777777" w:rsidR="000560E9" w:rsidRDefault="000560E9" w:rsidP="000560E9">
      <w:pPr>
        <w:pStyle w:val="artifact-docx-previewheading2"/>
        <w:spacing w:before="0" w:beforeAutospacing="0" w:after="0" w:afterAutospacing="0"/>
        <w:rPr>
          <w:rFonts w:ascii="Arial" w:hAnsi="Arial" w:cs="Arial"/>
          <w:sz w:val="21"/>
          <w:szCs w:val="21"/>
        </w:rPr>
      </w:pPr>
      <w:r>
        <w:rPr>
          <w:rFonts w:ascii="Calibri" w:hAnsi="Calibri" w:cs="Calibri"/>
          <w:b/>
          <w:bCs/>
          <w:color w:val="4F81BD"/>
          <w:sz w:val="26"/>
          <w:szCs w:val="26"/>
        </w:rPr>
        <w:t>2.1 Accuracy</w:t>
      </w:r>
    </w:p>
    <w:p w14:paraId="7FCBBF90" w14:textId="77777777" w:rsidR="000560E9" w:rsidRDefault="000560E9" w:rsidP="000560E9">
      <w:pPr>
        <w:pStyle w:val="NormalWeb"/>
        <w:spacing w:before="0" w:beforeAutospacing="0" w:after="0" w:afterAutospacing="0"/>
        <w:rPr>
          <w:rFonts w:ascii="Arial" w:hAnsi="Arial" w:cs="Arial"/>
          <w:sz w:val="21"/>
          <w:szCs w:val="21"/>
        </w:rPr>
      </w:pPr>
      <w:r>
        <w:rPr>
          <w:rFonts w:ascii="Cambria" w:hAnsi="Cambria" w:cs="Arial"/>
          <w:sz w:val="22"/>
          <w:szCs w:val="22"/>
        </w:rPr>
        <w:t>Accuracy is the proportion of correctly classified observations among all observations. It is useful for classification problems when classes are reasonably balanced, but can be misleading when one class dominates.</w:t>
      </w:r>
    </w:p>
    <w:p w14:paraId="4680FD0F" w14:textId="77777777" w:rsidR="000560E9" w:rsidRDefault="000560E9" w:rsidP="000560E9">
      <w:pPr>
        <w:pStyle w:val="artifact-docx-previewheading2"/>
        <w:spacing w:before="0" w:beforeAutospacing="0" w:after="0" w:afterAutospacing="0"/>
        <w:rPr>
          <w:rFonts w:ascii="Arial" w:hAnsi="Arial" w:cs="Arial"/>
          <w:sz w:val="21"/>
          <w:szCs w:val="21"/>
        </w:rPr>
      </w:pPr>
      <w:r>
        <w:rPr>
          <w:rFonts w:ascii="Calibri" w:hAnsi="Calibri" w:cs="Calibri"/>
          <w:b/>
          <w:bCs/>
          <w:color w:val="4F81BD"/>
          <w:sz w:val="26"/>
          <w:szCs w:val="26"/>
        </w:rPr>
        <w:t>2.2 Precision</w:t>
      </w:r>
    </w:p>
    <w:p w14:paraId="5D790B21" w14:textId="77777777" w:rsidR="000560E9" w:rsidRDefault="000560E9" w:rsidP="000560E9">
      <w:pPr>
        <w:pStyle w:val="NormalWeb"/>
        <w:spacing w:before="0" w:beforeAutospacing="0" w:after="0" w:afterAutospacing="0"/>
        <w:rPr>
          <w:rFonts w:ascii="Arial" w:hAnsi="Arial" w:cs="Arial"/>
          <w:sz w:val="21"/>
          <w:szCs w:val="21"/>
        </w:rPr>
      </w:pPr>
      <w:r>
        <w:rPr>
          <w:rFonts w:ascii="Cambria" w:hAnsi="Cambria" w:cs="Arial"/>
          <w:sz w:val="22"/>
          <w:szCs w:val="22"/>
        </w:rPr>
        <w:t>Precision measures how many observations predicted as positive are actually positive. In churn analysis, it indicates how reliable the model is when it identifies a customer as likely to churn.</w:t>
      </w:r>
    </w:p>
    <w:p w14:paraId="07ACD34C" w14:textId="77777777" w:rsidR="000560E9" w:rsidRDefault="000560E9" w:rsidP="000560E9">
      <w:pPr>
        <w:pStyle w:val="artifact-docx-previewheading2"/>
        <w:spacing w:before="0" w:beforeAutospacing="0" w:after="0" w:afterAutospacing="0"/>
        <w:rPr>
          <w:rFonts w:ascii="Arial" w:hAnsi="Arial" w:cs="Arial"/>
          <w:sz w:val="21"/>
          <w:szCs w:val="21"/>
        </w:rPr>
      </w:pPr>
      <w:r>
        <w:rPr>
          <w:rFonts w:ascii="Calibri" w:hAnsi="Calibri" w:cs="Calibri"/>
          <w:b/>
          <w:bCs/>
          <w:color w:val="4F81BD"/>
          <w:sz w:val="26"/>
          <w:szCs w:val="26"/>
        </w:rPr>
        <w:t>2.3 Recall</w:t>
      </w:r>
    </w:p>
    <w:p w14:paraId="0C32CA14" w14:textId="77777777" w:rsidR="000560E9" w:rsidRDefault="000560E9" w:rsidP="000560E9">
      <w:pPr>
        <w:pStyle w:val="NormalWeb"/>
        <w:spacing w:before="0" w:beforeAutospacing="0" w:after="0" w:afterAutospacing="0"/>
        <w:rPr>
          <w:rFonts w:ascii="Arial" w:hAnsi="Arial" w:cs="Arial"/>
          <w:sz w:val="21"/>
          <w:szCs w:val="21"/>
        </w:rPr>
      </w:pPr>
      <w:r>
        <w:rPr>
          <w:rFonts w:ascii="Cambria" w:hAnsi="Cambria" w:cs="Arial"/>
          <w:sz w:val="22"/>
          <w:szCs w:val="22"/>
        </w:rPr>
        <w:t>Recall measures how many actual positive cases are correctly identified. For churn prediction, high recall means the model identifies a larger proportion of customers who are actually likely to churn.</w:t>
      </w:r>
    </w:p>
    <w:p w14:paraId="137F0EFA" w14:textId="77777777" w:rsidR="000560E9" w:rsidRDefault="000560E9" w:rsidP="000560E9">
      <w:pPr>
        <w:pStyle w:val="artifact-docx-previewheading2"/>
        <w:spacing w:before="0" w:beforeAutospacing="0" w:after="0" w:afterAutospacing="0"/>
        <w:rPr>
          <w:rFonts w:ascii="Arial" w:hAnsi="Arial" w:cs="Arial"/>
          <w:sz w:val="21"/>
          <w:szCs w:val="21"/>
        </w:rPr>
      </w:pPr>
      <w:r>
        <w:rPr>
          <w:rFonts w:ascii="Calibri" w:hAnsi="Calibri" w:cs="Calibri"/>
          <w:b/>
          <w:bCs/>
          <w:color w:val="4F81BD"/>
          <w:sz w:val="26"/>
          <w:szCs w:val="26"/>
        </w:rPr>
        <w:t>2.4 F1-Score</w:t>
      </w:r>
    </w:p>
    <w:p w14:paraId="0C6E38A8" w14:textId="77777777" w:rsidR="000560E9" w:rsidRDefault="000560E9" w:rsidP="000560E9">
      <w:pPr>
        <w:pStyle w:val="NormalWeb"/>
        <w:spacing w:before="0" w:beforeAutospacing="0" w:after="0" w:afterAutospacing="0"/>
        <w:rPr>
          <w:rFonts w:ascii="Arial" w:hAnsi="Arial" w:cs="Arial"/>
          <w:sz w:val="21"/>
          <w:szCs w:val="21"/>
        </w:rPr>
      </w:pPr>
      <w:r>
        <w:rPr>
          <w:rFonts w:ascii="Cambria" w:hAnsi="Cambria" w:cs="Arial"/>
          <w:sz w:val="22"/>
          <w:szCs w:val="22"/>
        </w:rPr>
        <w:t>F1-score combines precision and recall into a single measure. It is useful when a balance between identifying positive cases and avoiding unnecessary positive predictions is important.</w:t>
      </w:r>
    </w:p>
    <w:p w14:paraId="7B804278" w14:textId="77777777" w:rsidR="000560E9" w:rsidRDefault="000560E9" w:rsidP="000560E9">
      <w:pPr>
        <w:pStyle w:val="artifact-docx-previewheading2"/>
        <w:spacing w:before="0" w:beforeAutospacing="0" w:after="0" w:afterAutospacing="0"/>
        <w:rPr>
          <w:rFonts w:ascii="Arial" w:hAnsi="Arial" w:cs="Arial"/>
          <w:sz w:val="21"/>
          <w:szCs w:val="21"/>
        </w:rPr>
      </w:pPr>
      <w:r>
        <w:rPr>
          <w:rFonts w:ascii="Calibri" w:hAnsi="Calibri" w:cs="Calibri"/>
          <w:b/>
          <w:bCs/>
          <w:color w:val="4F81BD"/>
          <w:sz w:val="26"/>
          <w:szCs w:val="26"/>
        </w:rPr>
        <w:lastRenderedPageBreak/>
        <w:t>2.5 R-squared (R²)</w:t>
      </w:r>
    </w:p>
    <w:p w14:paraId="0282F3B4" w14:textId="77777777" w:rsidR="000560E9" w:rsidRDefault="000560E9" w:rsidP="000560E9">
      <w:pPr>
        <w:pStyle w:val="NormalWeb"/>
        <w:spacing w:before="0" w:beforeAutospacing="0" w:after="0" w:afterAutospacing="0"/>
        <w:rPr>
          <w:rFonts w:ascii="Arial" w:hAnsi="Arial" w:cs="Arial"/>
          <w:sz w:val="21"/>
          <w:szCs w:val="21"/>
        </w:rPr>
      </w:pPr>
      <w:r>
        <w:rPr>
          <w:rFonts w:ascii="Cambria" w:hAnsi="Cambria" w:cs="Arial"/>
          <w:sz w:val="22"/>
          <w:szCs w:val="22"/>
        </w:rPr>
        <w:t>R-squared is mainly used for regression and indicates how much variation in the target is explained by the model. A higher value generally indicates stronger explanatory performance, but it should be considered with validation and error measures.</w:t>
      </w:r>
    </w:p>
    <w:p w14:paraId="74CBE879" w14:textId="77777777" w:rsidR="000560E9" w:rsidRDefault="000560E9" w:rsidP="000560E9">
      <w:pPr>
        <w:pStyle w:val="artifact-docx-previewheading2"/>
        <w:spacing w:before="0" w:beforeAutospacing="0" w:after="0" w:afterAutospacing="0"/>
        <w:rPr>
          <w:rFonts w:ascii="Arial" w:hAnsi="Arial" w:cs="Arial"/>
          <w:sz w:val="21"/>
          <w:szCs w:val="21"/>
        </w:rPr>
      </w:pPr>
      <w:r>
        <w:rPr>
          <w:rFonts w:ascii="Calibri" w:hAnsi="Calibri" w:cs="Calibri"/>
          <w:b/>
          <w:bCs/>
          <w:color w:val="4F81BD"/>
          <w:sz w:val="26"/>
          <w:szCs w:val="26"/>
        </w:rPr>
        <w:t>2.6 MAE and RMSE</w:t>
      </w:r>
    </w:p>
    <w:p w14:paraId="4DA270FB" w14:textId="77777777" w:rsidR="000560E9" w:rsidRDefault="000560E9" w:rsidP="000560E9">
      <w:pPr>
        <w:pStyle w:val="NormalWeb"/>
        <w:spacing w:before="0" w:beforeAutospacing="0" w:after="0" w:afterAutospacing="0"/>
        <w:rPr>
          <w:rFonts w:ascii="Arial" w:hAnsi="Arial" w:cs="Arial"/>
          <w:sz w:val="21"/>
          <w:szCs w:val="21"/>
        </w:rPr>
      </w:pPr>
      <w:r>
        <w:rPr>
          <w:rFonts w:ascii="Cambria" w:hAnsi="Cambria" w:cs="Arial"/>
          <w:sz w:val="22"/>
          <w:szCs w:val="22"/>
        </w:rPr>
        <w:t>MAE and RMSE measure prediction error for regression and forecasting tasks. They help stakeholders understand how far predictions may be from actual values. Lower error generally indicates better predictive performance.</w:t>
      </w:r>
    </w:p>
    <w:p w14:paraId="6BD523E0" w14:textId="77777777" w:rsidR="00DB4AB1" w:rsidRDefault="00DB4AB1">
      <w:bookmarkStart w:id="0" w:name="_GoBack"/>
      <w:bookmarkEnd w:id="0"/>
    </w:p>
    <w:sectPr w:rsidR="00DB4A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0E9"/>
    <w:rsid w:val="000560E9"/>
    <w:rsid w:val="00DB4AB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6FEC6"/>
  <w15:chartTrackingRefBased/>
  <w15:docId w15:val="{9FCF63E8-BD37-4B13-BF25-2378AC7CF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560E9"/>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artifact-docx-previewfooter">
    <w:name w:val="artifact-docx-preview_footer"/>
    <w:basedOn w:val="Normal"/>
    <w:rsid w:val="000560E9"/>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artifact-docx-previewheading1">
    <w:name w:val="artifact-docx-preview_heading1"/>
    <w:basedOn w:val="Normal"/>
    <w:rsid w:val="000560E9"/>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artifact-docx-previewheading2">
    <w:name w:val="artifact-docx-preview_heading2"/>
    <w:basedOn w:val="Normal"/>
    <w:rsid w:val="000560E9"/>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73457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1551</Words>
  <Characters>8842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Shipra Mishra</dc:creator>
  <cp:keywords/>
  <dc:description/>
  <cp:lastModifiedBy>Shipra Mishra</cp:lastModifiedBy>
  <cp:revision>1</cp:revision>
  <dcterms:created xsi:type="dcterms:W3CDTF">2026-09-05T14:19:00Z</dcterms:created>
  <dcterms:modified xsi:type="dcterms:W3CDTF">2026-09-05T14:21:00Z</dcterms:modified>
</cp:coreProperties>
</file>