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项目信息</w:t>
      </w:r>
    </w:p>
    <w:p>
      <w:pPr>
        <w:rPr>
          <w:rFonts w:hint="eastAsia"/>
        </w:rPr>
      </w:pPr>
      <w:r>
        <w:rPr>
          <w:rFonts w:hint="eastAsia"/>
        </w:rPr>
        <w:t>项目选题题目：基金直销系统</w:t>
      </w:r>
    </w:p>
    <w:p>
      <w:pPr>
        <w:rPr>
          <w:rFonts w:hint="eastAsia"/>
        </w:rPr>
      </w:pPr>
      <w:r>
        <w:rPr>
          <w:rFonts w:hint="eastAsia"/>
        </w:rPr>
        <w:t>组长：2154309 林越野</w:t>
      </w:r>
    </w:p>
    <w:p>
      <w:pPr>
        <w:rPr>
          <w:rFonts w:hint="eastAsia"/>
        </w:rPr>
      </w:pPr>
      <w:r>
        <w:rPr>
          <w:rFonts w:hint="eastAsia"/>
        </w:rPr>
        <w:t>组员：2154072 李沐恺，2150268 薛琮霖，2151269 刘启航 ，2154308 高嘉颖</w:t>
      </w:r>
    </w:p>
    <w:p>
      <w:pPr>
        <w:rPr>
          <w:rFonts w:hint="eastAsia"/>
        </w:rPr>
      </w:pPr>
      <w:r>
        <w:rPr>
          <w:rFonts w:hint="eastAsia"/>
        </w:rPr>
        <w:t>项目简介：本项目旨在实现一个基金交易管理分析的一站式平台，为散户、机构等多方用户提供基金管理、交易、看板、投资工具、智能推荐服务。</w:t>
      </w:r>
    </w:p>
    <w:p>
      <w:pPr>
        <w:rPr>
          <w:rFonts w:hint="eastAsia"/>
        </w:rPr>
      </w:pPr>
      <w:r>
        <w:rPr>
          <w:rFonts w:hint="eastAsia"/>
        </w:rPr>
        <w:t xml:space="preserve">       本小组通过微服务的拆分和独立部署，从而实现系统的模块化和可扩展性，使得不同微服务的功能能够独立开发、部署和运行。功能方面部分参考现有的基金平台（例如：天天基金），在实现其中核心部分功能的基础上，侧重基金交易与基金分析，并引入AI为平台赋能，为用户提供更便捷全面的基金分析服务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全球经济的发展和资本市场的改革中国金融市场发展迅速，政策支持力度加大，投资者对资产配置的需求越来越强烈，基金作为一种多元化投资工具，具有分散风险、灵活性高、专业管理等优势。基金交易主体广泛增加，需要便捷、可靠、集成的基金交易管理分析工具。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-357505</wp:posOffset>
            </wp:positionH>
            <wp:positionV relativeFrom="paragraph">
              <wp:posOffset>0</wp:posOffset>
            </wp:positionV>
            <wp:extent cx="6150610" cy="2091055"/>
            <wp:effectExtent l="0" t="0" r="6350" b="12065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</w:p>
    <w:p>
      <w:r>
        <w:drawing>
          <wp:inline distT="0" distB="0" distL="114300" distR="114300">
            <wp:extent cx="6557645" cy="5972810"/>
            <wp:effectExtent l="0" t="0" r="10795" b="1270"/>
            <wp:docPr id="1" name="图片 1" descr="1a64d944f0579cf93ad1e52235345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64d944f0579cf93ad1e52235345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活动图（以申购为例）：</w:t>
      </w:r>
    </w:p>
    <w:p>
      <w:r>
        <w:drawing>
          <wp:inline distT="0" distB="0" distL="114300" distR="114300">
            <wp:extent cx="5269230" cy="690626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交易板块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1.申购：投资者可正常购买基金份额，若首次在相应基金公司购买其产品，会创建对应基金账户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2.赎回：投资者可赎回对应订单的份额，按照赎回日收盘价赎回相应资金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3.撤销：当日闭市前可以对今日发出的申购/赎回订单撤销，撤销后订单不再被处理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4.定投：用户可以选择对某基金进行定投操作，即系统定期自动下单申购订单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用户板块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注册：用户可以凭个人信息注册开放其交易账户（对应唯一销售平台）和基金账户（对应唯一基金管理公司）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登录：用户凭账号密码登录，登录交易账户后可以在本平台使用包括交易分析在内的更多功能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基金交易历史：查看用户当前交易账户的记录，包括：订单处理、资金存入、支出、复核、调整日志。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查看基金持仓：查看用户当前交易账户关联的所有基金账户持仓，便于用户明确已有份额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大盘板块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智能推荐（AI）：根据用户偏好推荐风险等级不同、收益率不同的基金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基金信息：基金类型、经理人、发布日期等基础信息展示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基金走势（AI）：据已有数据进行走势可视化，引入AI预测走势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业绩评价：基金详情，含收益率、稳定性、抗风险、管理规模等维度综合评价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基金排行：综合排行、单指标优先级排行并展示榜单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投资</w:t>
      </w:r>
      <w:r>
        <w:rPr>
          <w:rFonts w:hint="eastAsia"/>
          <w:lang w:val="en-US" w:eastAsia="zh-CN"/>
        </w:rPr>
        <w:t>工具</w:t>
      </w:r>
      <w:r>
        <w:rPr>
          <w:rFonts w:hint="default"/>
          <w:lang w:val="en-US" w:eastAsia="zh-CN"/>
        </w:rPr>
        <w:t>板块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收益计算：用户可选择已完成订单，根据用户的本金、收回金额、期限，帮助用户计算收益，分析订单收益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费率计算：帮助用户在投资前、及赎回前计算费率，可选择已有订单计算当前赎回费率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基金比较：用户自选一个或多个基金绘图比较走势，便于用户在投资过程中对比偏好基金走势情况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项目架构方案</w:t>
      </w:r>
    </w:p>
    <w:p>
      <w:r>
        <w:drawing>
          <wp:inline distT="0" distB="0" distL="114300" distR="114300">
            <wp:extent cx="5268595" cy="2232025"/>
            <wp:effectExtent l="0" t="0" r="444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33655</wp:posOffset>
            </wp:positionV>
            <wp:extent cx="5598795" cy="3154680"/>
            <wp:effectExtent l="0" t="0" r="9525" b="0"/>
            <wp:wrapTopAndBottom/>
            <wp:docPr id="7" name="图片 1" descr="9b14d265bc12ab271595016b088a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9b14d265bc12ab271595016b088ab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用户信息微服务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对一个用户，开放其交易账户（对应唯一销售平台）和基金账户（对应唯一基金管理公司），具备登录注册功能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订单及资金管理微服务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交易订单处理、资金存入、支出、复核、调整。涉及平台和银行、平台和移动支付的接口，体现微服务交互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交易管理微服务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基础交易：认购、申购、赎回、指定赎回、交易撤销、定投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特殊交易：基金转换、分红方式设置、定期申购。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信息维护微服务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交易环境的一部分。包括工作日设置（工作休息日限制，开闭市时间限制）、设置交易限制（交易量限制，最低额度限制）、费率折扣设置（费率参数流向控制）、基金信息维护、银行帐户信息维护、平台基本信息维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消息通知微服务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对用户的每个交易行为反馈，通知用户、记录日志、监控行为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基金大盘微服务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向用户展示基金大盘的信息，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投资工具微服务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便于用户计算收益的工具，包括1.收益计算2.费率计算3.基金比较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信息安全微服务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确保对敏感信息的保护，尤其是涉及到用户账户和交易，考虑采用合适的身份验证和授权机制。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团队分工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前端开发</w:t>
      </w:r>
      <w:r>
        <w:rPr>
          <w:rFonts w:hint="eastAsia"/>
          <w:lang w:val="en-US" w:eastAsia="zh-CN"/>
        </w:rPr>
        <w:t>：高嘉颖、薛琮霖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设计和实现用户界面，以提供良好的用户体验。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处理用户输入，并与后端服务进行交互以获取和展示数据。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实施前端逻辑，包括用户交互、页面导航等。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后端开发</w:t>
      </w:r>
      <w:r>
        <w:rPr>
          <w:rFonts w:hint="default"/>
          <w:lang w:val="en-US" w:eastAsia="zh-CN"/>
        </w:rPr>
        <w:t>：刘启航、林越野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设计和实现后端服务，处理前端请求并与数据库交互。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管理系统的业务逻辑、数据持久性和安全性。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提供API供前端调用，确保数据的有效传输。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AI开发</w:t>
      </w:r>
      <w:r>
        <w:rPr>
          <w:rFonts w:hint="eastAsia"/>
          <w:lang w:val="en-US" w:eastAsia="zh-CN"/>
        </w:rPr>
        <w:t>：林越野、李沐恺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研究和实施智能算法，以支持系统中的智能推荐等功能。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与前后端团队合作，将AI技术整合到系统中。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89D5D"/>
    <w:multiLevelType w:val="singleLevel"/>
    <w:tmpl w:val="12389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CD325"/>
    <w:multiLevelType w:val="singleLevel"/>
    <w:tmpl w:val="3FACD3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4106ED"/>
    <w:multiLevelType w:val="singleLevel"/>
    <w:tmpl w:val="534106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2YmJjMjA5ZDEwYmE0YjI5NWFjZjdkOTA5MzllMjQifQ=="/>
  </w:docVars>
  <w:rsids>
    <w:rsidRoot w:val="00000000"/>
    <w:rsid w:val="0B525849"/>
    <w:rsid w:val="11B07B29"/>
    <w:rsid w:val="1DB01DBE"/>
    <w:rsid w:val="25642E99"/>
    <w:rsid w:val="31E0281A"/>
    <w:rsid w:val="3D73359F"/>
    <w:rsid w:val="425D3A13"/>
    <w:rsid w:val="71535E5D"/>
    <w:rsid w:val="7E6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2024-03-02T10:03:00Z</dcterms:created>
  <dc:creator>linyueye</dc:creator>
  <cp:lastModifiedBy>WPS_1624955885</cp:lastModifiedBy>
  <dcterms:modified xsi:type="dcterms:W3CDTF">2024-03-13T13:06:02Z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F92D4B25EFC14F0DB0766871C5ECED76_12</vt:lpwstr>
  </property>
</Properties>
</file>