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3378" w14:textId="77777777" w:rsidR="0034200E" w:rsidRPr="0034200E" w:rsidRDefault="0034200E" w:rsidP="003B0088">
      <w:pPr>
        <w:pStyle w:val="a3"/>
      </w:pPr>
      <w:r w:rsidRPr="0034200E">
        <w:t>Emerging Trends in Cloud-Native Computing Based on CNCF Landscape Analysis</w:t>
      </w:r>
    </w:p>
    <w:p w14:paraId="458E27C2" w14:textId="77777777" w:rsidR="0034200E" w:rsidRPr="0034200E" w:rsidRDefault="0034200E" w:rsidP="0034200E">
      <w:r w:rsidRPr="0034200E">
        <w:rPr>
          <w:b/>
          <w:bCs/>
        </w:rPr>
        <w:t>Paper Template</w:t>
      </w:r>
    </w:p>
    <w:p w14:paraId="79981AE9" w14:textId="77777777" w:rsidR="0034200E" w:rsidRPr="0034200E" w:rsidRDefault="0034200E" w:rsidP="0034200E">
      <w:r w:rsidRPr="0034200E">
        <w:pict w14:anchorId="504562B7">
          <v:rect id="_x0000_i1085" style="width:0;height:1.5pt" o:hralign="center" o:hrstd="t" o:hrnoshade="t" o:hr="t" fillcolor="#1f2329" stroked="f"/>
        </w:pict>
      </w:r>
    </w:p>
    <w:p w14:paraId="5B4D49E3" w14:textId="77777777" w:rsidR="0034200E" w:rsidRPr="0034200E" w:rsidRDefault="0034200E" w:rsidP="0034200E">
      <w:r w:rsidRPr="0034200E">
        <w:t>Abstract</w:t>
      </w:r>
    </w:p>
    <w:p w14:paraId="3F188360" w14:textId="77777777" w:rsidR="0034200E" w:rsidRPr="0034200E" w:rsidRDefault="0034200E" w:rsidP="003B0088">
      <w:pPr>
        <w:ind w:firstLineChars="200" w:firstLine="420"/>
      </w:pPr>
      <w:r w:rsidRPr="0034200E">
        <w:t>This report provides an in-depth exploration of the latest advancements and emerging trends in cloud-native computing, with a particular focus on the technological ecosystem evolution presented in the Cloud Native Computing Foundation (CNCF) Landscape. Through analysis of CNCF project development over the past three years, we identify a clear progression from container orchestration toward edge computing, service mesh, observability, and sustainable computing. The report details four key technical trends: the evolution of edge-native cloud architecture, service mesh and API gateway convergence, AI-enhanced observability platforms, and sustainable green cloud-native practices. Our findings indicate that cloud-native technologies are expanding from centralized data centers to distributed edge environments, with intelligence and sustainability becoming new focal points of development. These trends collectively drive cloud computing toward greater efficiency, intelligence, and environmental friendliness.</w:t>
      </w:r>
    </w:p>
    <w:p w14:paraId="2A74C1A8" w14:textId="77777777" w:rsidR="0034200E" w:rsidRPr="0034200E" w:rsidRDefault="0034200E" w:rsidP="0034200E">
      <w:r w:rsidRPr="0034200E">
        <w:rPr>
          <w:b/>
          <w:bCs/>
        </w:rPr>
        <w:t>Keywords</w:t>
      </w:r>
      <w:r w:rsidRPr="0034200E">
        <w:t>: Cloud-Native Computing; CNCF Landscape; Service Mesh; Edge Computing; Observability; Sustainable Computing</w:t>
      </w:r>
    </w:p>
    <w:p w14:paraId="5C362452" w14:textId="77777777" w:rsidR="0034200E" w:rsidRPr="0034200E" w:rsidRDefault="0034200E" w:rsidP="0034200E">
      <w:r w:rsidRPr="0034200E">
        <w:pict w14:anchorId="10E8DEE6">
          <v:rect id="_x0000_i1086" style="width:0;height:1.5pt" o:hralign="center" o:hrstd="t" o:hrnoshade="t" o:hr="t" fillcolor="#1f2329" stroked="f"/>
        </w:pict>
      </w:r>
    </w:p>
    <w:p w14:paraId="241C32E9" w14:textId="77777777" w:rsidR="0034200E" w:rsidRPr="0034200E" w:rsidRDefault="0034200E" w:rsidP="0034200E">
      <w:pPr>
        <w:pStyle w:val="2"/>
      </w:pPr>
      <w:r w:rsidRPr="0034200E">
        <w:t>1 Introduction</w:t>
      </w:r>
    </w:p>
    <w:p w14:paraId="68D9D54E" w14:textId="77777777" w:rsidR="0034200E" w:rsidRPr="0034200E" w:rsidRDefault="0034200E" w:rsidP="0034200E">
      <w:pPr>
        <w:pStyle w:val="3"/>
      </w:pPr>
      <w:r w:rsidRPr="0034200E">
        <w:t>1.1 Research Background</w:t>
      </w:r>
    </w:p>
    <w:p w14:paraId="07D9082D" w14:textId="77777777" w:rsidR="0034200E" w:rsidRPr="0034200E" w:rsidRDefault="0034200E" w:rsidP="003B0088">
      <w:pPr>
        <w:ind w:firstLineChars="200" w:firstLine="420"/>
      </w:pPr>
      <w:r w:rsidRPr="0034200E">
        <w:t xml:space="preserve">Cloud-native computing has become a </w:t>
      </w:r>
      <w:r w:rsidRPr="0034200E">
        <w:rPr>
          <w:b/>
          <w:bCs/>
        </w:rPr>
        <w:t>paradigm shift</w:t>
      </w:r>
      <w:r w:rsidRPr="0034200E">
        <w:t xml:space="preserve"> in modern software development and deployment, representing not merely a collection of technologies but a new architectural philosophy and application-building approach. As the central organization in this field, the Cloud Native Computing Foundation (CNCF) maintains a comprehensive Technical Landscape that systematically categorizes and showcases various tools, platforms, and services within the cloud-native ecosystem. This landscape covers the complete lifecycle from application definition and development to runtime operations, including critical areas such as </w:t>
      </w:r>
      <w:r w:rsidRPr="0034200E">
        <w:rPr>
          <w:b/>
          <w:bCs/>
        </w:rPr>
        <w:t>orchestration and management</w:t>
      </w:r>
      <w:r w:rsidRPr="0034200E">
        <w:t xml:space="preserve">, </w:t>
      </w:r>
      <w:r w:rsidRPr="0034200E">
        <w:rPr>
          <w:b/>
          <w:bCs/>
        </w:rPr>
        <w:t>observability</w:t>
      </w:r>
      <w:r w:rsidRPr="0034200E">
        <w:t xml:space="preserve">, and </w:t>
      </w:r>
      <w:r w:rsidRPr="0034200E">
        <w:rPr>
          <w:b/>
          <w:bCs/>
        </w:rPr>
        <w:t>security and compliance</w:t>
      </w:r>
      <w:r w:rsidRPr="0034200E">
        <w:t>.</w:t>
      </w:r>
    </w:p>
    <w:p w14:paraId="2C1B5CF9" w14:textId="77777777" w:rsidR="0034200E" w:rsidRPr="0034200E" w:rsidRDefault="0034200E" w:rsidP="003B0088">
      <w:pPr>
        <w:ind w:leftChars="200" w:left="420"/>
      </w:pPr>
      <w:r w:rsidRPr="0034200E">
        <w:t xml:space="preserve">With the acceleration of digital transformation and the rise of edge computing, cloud-native technologies are undergoing </w:t>
      </w:r>
      <w:r w:rsidRPr="0034200E">
        <w:rPr>
          <w:b/>
          <w:bCs/>
        </w:rPr>
        <w:t>a new phase of evolution</w:t>
      </w:r>
      <w:r w:rsidRPr="0034200E">
        <w:t xml:space="preserve">. Traditional cloud-native architectures centered around containers and Kubernetes are expanding to broader scenarios, including hybrid multi-cloud environments, edge devices, and IoT applications. </w:t>
      </w:r>
      <w:r w:rsidRPr="0034200E">
        <w:lastRenderedPageBreak/>
        <w:t>Based on systematic analysis of the CNCF Landscape, this report identifies and deeply investigates four key emerging trends in the current cloud-native domain, which represent the primary directions for future development in this field.</w:t>
      </w:r>
    </w:p>
    <w:p w14:paraId="30CA7FE5" w14:textId="77777777" w:rsidR="0034200E" w:rsidRPr="0034200E" w:rsidRDefault="0034200E" w:rsidP="0034200E">
      <w:pPr>
        <w:pStyle w:val="3"/>
      </w:pPr>
      <w:r w:rsidRPr="0034200E">
        <w:t>1.2 Research Motivation</w:t>
      </w:r>
    </w:p>
    <w:p w14:paraId="639939F3" w14:textId="77777777" w:rsidR="0034200E" w:rsidRPr="0034200E" w:rsidRDefault="0034200E" w:rsidP="003B0088">
      <w:pPr>
        <w:ind w:firstLineChars="200" w:firstLine="420"/>
      </w:pPr>
      <w:r w:rsidRPr="0034200E">
        <w:t xml:space="preserve">Although cloud-native concepts are widely recognized, systematic research on their latest development trends remains relatively scarce. Existing course materials primarily focus on foundational technologies like containers and Kubernetes, with insufficient coverage of cutting-edge areas such as </w:t>
      </w:r>
      <w:r w:rsidRPr="0034200E">
        <w:rPr>
          <w:b/>
          <w:bCs/>
        </w:rPr>
        <w:t>edge-native cloud</w:t>
      </w:r>
      <w:r w:rsidRPr="0034200E">
        <w:t xml:space="preserve">, </w:t>
      </w:r>
      <w:r w:rsidRPr="0034200E">
        <w:rPr>
          <w:b/>
          <w:bCs/>
        </w:rPr>
        <w:t>service mesh convergence</w:t>
      </w:r>
      <w:r w:rsidRPr="0034200E">
        <w:t xml:space="preserve">, </w:t>
      </w:r>
      <w:r w:rsidRPr="0034200E">
        <w:rPr>
          <w:b/>
          <w:bCs/>
        </w:rPr>
        <w:t>AI-enhanced observability</w:t>
      </w:r>
      <w:r w:rsidRPr="0034200E">
        <w:t xml:space="preserve">, and </w:t>
      </w:r>
      <w:r w:rsidRPr="0034200E">
        <w:rPr>
          <w:b/>
          <w:bCs/>
        </w:rPr>
        <w:t>sustainable cloud-native</w:t>
      </w:r>
      <w:r w:rsidRPr="0034200E">
        <w:t xml:space="preserve"> practices. These emerging areas significantly impact future cloud computing practices and merit in-depth exploration.</w:t>
      </w:r>
    </w:p>
    <w:p w14:paraId="0850FD3E" w14:textId="77777777" w:rsidR="0034200E" w:rsidRPr="0034200E" w:rsidRDefault="0034200E" w:rsidP="0034200E">
      <w:r w:rsidRPr="0034200E">
        <w:t xml:space="preserve">This research aims to fill this knowledge gap by providing comprehensive understanding of the latest developments in cloud-native computing for both academic and industrial communities. Through classification, status analysis, and evolution tracking of projects in the CNCF Landscape, we can gain insights into the </w:t>
      </w:r>
      <w:r w:rsidRPr="0034200E">
        <w:rPr>
          <w:b/>
          <w:bCs/>
        </w:rPr>
        <w:t>inherent logic</w:t>
      </w:r>
      <w:r w:rsidRPr="0034200E">
        <w:t xml:space="preserve"> and </w:t>
      </w:r>
      <w:r w:rsidRPr="0034200E">
        <w:rPr>
          <w:b/>
          <w:bCs/>
        </w:rPr>
        <w:t>future directions</w:t>
      </w:r>
      <w:r w:rsidRPr="0034200E">
        <w:t xml:space="preserve"> of technological development.</w:t>
      </w:r>
    </w:p>
    <w:p w14:paraId="260FDE76" w14:textId="77777777" w:rsidR="0034200E" w:rsidRPr="0034200E" w:rsidRDefault="0034200E" w:rsidP="0034200E">
      <w:pPr>
        <w:pStyle w:val="3"/>
      </w:pPr>
      <w:r w:rsidRPr="0034200E">
        <w:t>1.3 Research Contributions</w:t>
      </w:r>
    </w:p>
    <w:p w14:paraId="49D60B6A" w14:textId="77777777" w:rsidR="0034200E" w:rsidRPr="0034200E" w:rsidRDefault="0034200E" w:rsidP="0034200E">
      <w:r w:rsidRPr="0034200E">
        <w:t>The main contributions of this report include:</w:t>
      </w:r>
    </w:p>
    <w:p w14:paraId="3380C457" w14:textId="77777777" w:rsidR="0034200E" w:rsidRPr="0034200E" w:rsidRDefault="0034200E" w:rsidP="0034200E">
      <w:pPr>
        <w:numPr>
          <w:ilvl w:val="0"/>
          <w:numId w:val="1"/>
        </w:numPr>
      </w:pPr>
      <w:r w:rsidRPr="0034200E">
        <w:rPr>
          <w:b/>
          <w:bCs/>
        </w:rPr>
        <w:t>Systematic Analysis</w:t>
      </w:r>
      <w:r w:rsidRPr="0034200E">
        <w:t>: Comprehensive analysis of evolution trends in the cloud-native ecosystem based on the CNCF Landscape.</w:t>
      </w:r>
    </w:p>
    <w:p w14:paraId="6DF9077B" w14:textId="77777777" w:rsidR="0034200E" w:rsidRPr="0034200E" w:rsidRDefault="0034200E" w:rsidP="0034200E">
      <w:pPr>
        <w:numPr>
          <w:ilvl w:val="0"/>
          <w:numId w:val="1"/>
        </w:numPr>
      </w:pPr>
      <w:r w:rsidRPr="0034200E">
        <w:rPr>
          <w:b/>
          <w:bCs/>
        </w:rPr>
        <w:t>Trend Identification</w:t>
      </w:r>
      <w:r w:rsidRPr="0034200E">
        <w:t>: Identification and detailed elaboration of four key emerging trends and their technical implementations.</w:t>
      </w:r>
    </w:p>
    <w:p w14:paraId="05A0FDA3" w14:textId="77777777" w:rsidR="0034200E" w:rsidRPr="0034200E" w:rsidRDefault="0034200E" w:rsidP="0034200E">
      <w:pPr>
        <w:numPr>
          <w:ilvl w:val="0"/>
          <w:numId w:val="1"/>
        </w:numPr>
      </w:pPr>
      <w:r w:rsidRPr="0034200E">
        <w:rPr>
          <w:b/>
          <w:bCs/>
        </w:rPr>
        <w:t>Architecture Design</w:t>
      </w:r>
      <w:r w:rsidRPr="0034200E">
        <w:t>: Reference architecture designs for edge-native cloud and intelligent observability.</w:t>
      </w:r>
    </w:p>
    <w:p w14:paraId="0C2F04C0" w14:textId="77777777" w:rsidR="0034200E" w:rsidRPr="0034200E" w:rsidRDefault="0034200E" w:rsidP="0034200E">
      <w:pPr>
        <w:numPr>
          <w:ilvl w:val="0"/>
          <w:numId w:val="1"/>
        </w:numPr>
      </w:pPr>
      <w:r w:rsidRPr="0034200E">
        <w:rPr>
          <w:b/>
          <w:bCs/>
        </w:rPr>
        <w:t>Practical Guidelines</w:t>
      </w:r>
      <w:r w:rsidRPr="0034200E">
        <w:t>: Implementation frameworks and assessment methods for sustainable cloud-native computing.</w:t>
      </w:r>
    </w:p>
    <w:p w14:paraId="02D5E583" w14:textId="77777777" w:rsidR="0034200E" w:rsidRPr="0034200E" w:rsidRDefault="0034200E" w:rsidP="0034200E">
      <w:pPr>
        <w:numPr>
          <w:ilvl w:val="0"/>
          <w:numId w:val="1"/>
        </w:numPr>
      </w:pPr>
      <w:r w:rsidRPr="0034200E">
        <w:rPr>
          <w:b/>
          <w:bCs/>
        </w:rPr>
        <w:t>Future Outlook</w:t>
      </w:r>
      <w:r w:rsidRPr="0034200E">
        <w:t>: Future development paths and research directions for cloud-native computing based on current trends.</w:t>
      </w:r>
    </w:p>
    <w:p w14:paraId="62D28910" w14:textId="77777777" w:rsidR="0034200E" w:rsidRPr="0034200E" w:rsidRDefault="0034200E" w:rsidP="0034200E">
      <w:r w:rsidRPr="0034200E">
        <w:pict w14:anchorId="50BBDDEB">
          <v:rect id="_x0000_i1087" style="width:0;height:1.5pt" o:hralign="center" o:hrstd="t" o:hrnoshade="t" o:hr="t" fillcolor="#1f2329" stroked="f"/>
        </w:pict>
      </w:r>
    </w:p>
    <w:p w14:paraId="41E106AD" w14:textId="77777777" w:rsidR="0034200E" w:rsidRPr="0034200E" w:rsidRDefault="0034200E" w:rsidP="0034200E">
      <w:pPr>
        <w:pStyle w:val="2"/>
      </w:pPr>
      <w:r w:rsidRPr="0034200E">
        <w:t>2 Literature Review and Related Work</w:t>
      </w:r>
    </w:p>
    <w:p w14:paraId="70C9FFD9" w14:textId="77777777" w:rsidR="0034200E" w:rsidRPr="0034200E" w:rsidRDefault="0034200E" w:rsidP="0034200E">
      <w:pPr>
        <w:pStyle w:val="3"/>
      </w:pPr>
      <w:r w:rsidRPr="0034200E">
        <w:t>2.1 Fundamentals of Cloud-Native Computing</w:t>
      </w:r>
    </w:p>
    <w:p w14:paraId="10692258" w14:textId="77777777" w:rsidR="0034200E" w:rsidRPr="0034200E" w:rsidRDefault="0034200E" w:rsidP="003B0088">
      <w:pPr>
        <w:ind w:firstLineChars="200" w:firstLine="420"/>
      </w:pPr>
      <w:r w:rsidRPr="0034200E">
        <w:t xml:space="preserve">The concept of cloud-native computing was first introduced by Matt Stine of Pivotal (now VMware Tanzu) in 2013, emphasizing the use of cloud computing advantages to build and run applications. Its core principles include </w:t>
      </w:r>
      <w:r w:rsidRPr="0034200E">
        <w:rPr>
          <w:b/>
          <w:bCs/>
        </w:rPr>
        <w:t>containerization</w:t>
      </w:r>
      <w:r w:rsidRPr="0034200E">
        <w:t xml:space="preserve">, </w:t>
      </w:r>
      <w:r w:rsidRPr="0034200E">
        <w:rPr>
          <w:b/>
          <w:bCs/>
        </w:rPr>
        <w:t>dynamic management</w:t>
      </w:r>
      <w:r w:rsidRPr="0034200E">
        <w:t xml:space="preserve">, </w:t>
      </w:r>
      <w:r w:rsidRPr="0034200E">
        <w:rPr>
          <w:b/>
          <w:bCs/>
        </w:rPr>
        <w:t>microservices orientation</w:t>
      </w:r>
      <w:r w:rsidRPr="0034200E">
        <w:t xml:space="preserve">, and </w:t>
      </w:r>
      <w:r w:rsidRPr="0034200E">
        <w:rPr>
          <w:b/>
          <w:bCs/>
        </w:rPr>
        <w:t>declarative APIs</w:t>
      </w:r>
      <w:r w:rsidRPr="0034200E">
        <w:t>. Burns et al. [1] proposed the twelve-factor methodology for cloud-native applications in 2016, which has become the theoretical foundation of this field.</w:t>
      </w:r>
    </w:p>
    <w:p w14:paraId="2C573CD9" w14:textId="77777777" w:rsidR="0034200E" w:rsidRPr="0034200E" w:rsidRDefault="0034200E" w:rsidP="0034200E">
      <w:r w:rsidRPr="0034200E">
        <w:t xml:space="preserve">At the technology stack level, Kubernetes has become the de facto standard for container </w:t>
      </w:r>
      <w:r w:rsidRPr="0034200E">
        <w:lastRenderedPageBreak/>
        <w:t xml:space="preserve">orchestration. It was open-sourced by Google in 2014 and donated to CNCF in 2015. Docker container technology introduced by Merkel [2] provided an ideal runtime environment for microservices architecture. As technologies matured, the cloud-native ecosystem gradually expanded to areas including </w:t>
      </w:r>
      <w:r w:rsidRPr="0034200E">
        <w:rPr>
          <w:b/>
          <w:bCs/>
        </w:rPr>
        <w:t>service mesh</w:t>
      </w:r>
      <w:r w:rsidRPr="0034200E">
        <w:t xml:space="preserve">, </w:t>
      </w:r>
      <w:r w:rsidRPr="0034200E">
        <w:rPr>
          <w:b/>
          <w:bCs/>
        </w:rPr>
        <w:t>serverless computing</w:t>
      </w:r>
      <w:r w:rsidRPr="0034200E">
        <w:t xml:space="preserve">, and </w:t>
      </w:r>
      <w:proofErr w:type="spellStart"/>
      <w:r w:rsidRPr="0034200E">
        <w:rPr>
          <w:b/>
          <w:bCs/>
        </w:rPr>
        <w:t>GitOps</w:t>
      </w:r>
      <w:proofErr w:type="spellEnd"/>
      <w:r w:rsidRPr="0034200E">
        <w:t>.</w:t>
      </w:r>
    </w:p>
    <w:p w14:paraId="29C6111F" w14:textId="77777777" w:rsidR="0034200E" w:rsidRPr="0034200E" w:rsidRDefault="0034200E" w:rsidP="003B0088">
      <w:pPr>
        <w:pStyle w:val="3"/>
      </w:pPr>
      <w:r w:rsidRPr="0034200E">
        <w:t>2.2 CNCF Technological Ecosystem Research</w:t>
      </w:r>
    </w:p>
    <w:p w14:paraId="2E8BA642" w14:textId="77777777" w:rsidR="0034200E" w:rsidRPr="0034200E" w:rsidRDefault="0034200E" w:rsidP="003B0088">
      <w:pPr>
        <w:ind w:firstLineChars="200" w:firstLine="420"/>
      </w:pPr>
      <w:r w:rsidRPr="0034200E">
        <w:t>Established in 2015, CNCF currently manages over 100 open-source projects categorized into three maturity levels: Graduated, Incubating, and Sandbox. Several studies have focused on specific parts of the CNCF ecosystem: Bernstein [3] analyzed the evolution of cloud-native microservices architecture, while Barr [4] explored the standardization process of service mesh technology.</w:t>
      </w:r>
    </w:p>
    <w:p w14:paraId="3E75FD34" w14:textId="77777777" w:rsidR="0034200E" w:rsidRPr="0034200E" w:rsidRDefault="0034200E" w:rsidP="003B0088">
      <w:pPr>
        <w:ind w:firstLineChars="200" w:firstLine="420"/>
      </w:pPr>
      <w:r w:rsidRPr="0034200E">
        <w:t>However, existing research primarily focuses on single technical domains, lacking macroscopic analysis of evolution trends across the entire CNCF Landscape. Particularly for emerging areas such as the convergence of edge computing and cloud-native, the intelligent development of observability platforms, and sustainability practices in cloud-native, systematic research remains insufficient.</w:t>
      </w:r>
    </w:p>
    <w:p w14:paraId="4F7F9BD1" w14:textId="77777777" w:rsidR="0034200E" w:rsidRPr="0034200E" w:rsidRDefault="0034200E" w:rsidP="003B0088">
      <w:pPr>
        <w:pStyle w:val="3"/>
      </w:pPr>
      <w:r w:rsidRPr="0034200E">
        <w:t>2.3 Research Status in Emerging Fields</w:t>
      </w:r>
    </w:p>
    <w:p w14:paraId="6D89784A" w14:textId="77777777" w:rsidR="0034200E" w:rsidRPr="0034200E" w:rsidRDefault="0034200E" w:rsidP="003B0088">
      <w:pPr>
        <w:ind w:firstLineChars="200" w:firstLine="420"/>
      </w:pPr>
      <w:r w:rsidRPr="0034200E">
        <w:t xml:space="preserve">Regarding edge-native cloud, </w:t>
      </w:r>
      <w:proofErr w:type="spellStart"/>
      <w:r w:rsidRPr="0034200E">
        <w:t>Satyanarayanan</w:t>
      </w:r>
      <w:proofErr w:type="spellEnd"/>
      <w:r w:rsidRPr="0034200E">
        <w:t xml:space="preserve"> [5] proposed early concepts of cloud-edge computing, but the technology stack was immature at that time. In recent years, projects like </w:t>
      </w:r>
      <w:proofErr w:type="spellStart"/>
      <w:r w:rsidRPr="0034200E">
        <w:t>KubeEdge</w:t>
      </w:r>
      <w:proofErr w:type="spellEnd"/>
      <w:r w:rsidRPr="0034200E">
        <w:t xml:space="preserve"> and </w:t>
      </w:r>
      <w:proofErr w:type="spellStart"/>
      <w:r w:rsidRPr="0034200E">
        <w:t>OpenYurt</w:t>
      </w:r>
      <w:proofErr w:type="spellEnd"/>
      <w:r w:rsidRPr="0034200E">
        <w:t xml:space="preserve"> have made cloud-native deployment on edge devices feasible. In the observability domain, traditional monitoring is transitioning toward </w:t>
      </w:r>
      <w:r w:rsidRPr="0034200E">
        <w:rPr>
          <w:b/>
          <w:bCs/>
        </w:rPr>
        <w:t>AI-based intelligent operations</w:t>
      </w:r>
      <w:r w:rsidRPr="0034200E">
        <w:t>, yet unified frameworks and practical guidelines are still lacking.</w:t>
      </w:r>
    </w:p>
    <w:p w14:paraId="4DD8A724" w14:textId="77777777" w:rsidR="0034200E" w:rsidRPr="0034200E" w:rsidRDefault="0034200E" w:rsidP="0034200E">
      <w:r w:rsidRPr="0034200E">
        <w:t>Sustainable computing, as an emerging topic, has attracted academic attention, but industrial practices remain in early stages. Cloud service providers like Google and Microsoft have begun reporting carbon efficiency of their data centers, but tools for measuring and optimizing the carbon footprint of cloud-native applications themselves remain scarce.</w:t>
      </w:r>
    </w:p>
    <w:p w14:paraId="0B90FE73" w14:textId="77777777" w:rsidR="0034200E" w:rsidRPr="0034200E" w:rsidRDefault="0034200E" w:rsidP="0034200E">
      <w:r w:rsidRPr="0034200E">
        <w:pict w14:anchorId="523D5B55">
          <v:rect id="_x0000_i1088" style="width:0;height:1.5pt" o:hralign="center" o:hrstd="t" o:hrnoshade="t" o:hr="t" fillcolor="#1f2329" stroked="f"/>
        </w:pict>
      </w:r>
    </w:p>
    <w:p w14:paraId="547E4A9B" w14:textId="77777777" w:rsidR="0034200E" w:rsidRPr="0034200E" w:rsidRDefault="0034200E" w:rsidP="0034200E">
      <w:pPr>
        <w:pStyle w:val="2"/>
      </w:pPr>
      <w:r w:rsidRPr="0034200E">
        <w:t>3 Analysis of CNCF Landscape Evolution Trends</w:t>
      </w:r>
    </w:p>
    <w:p w14:paraId="0C010B6E" w14:textId="77777777" w:rsidR="0034200E" w:rsidRPr="0034200E" w:rsidRDefault="0034200E" w:rsidP="0034200E">
      <w:pPr>
        <w:pStyle w:val="3"/>
      </w:pPr>
      <w:r w:rsidRPr="0034200E">
        <w:t>3.1 Analysis Methodology</w:t>
      </w:r>
    </w:p>
    <w:p w14:paraId="1F203CC0" w14:textId="77777777" w:rsidR="0034200E" w:rsidRPr="0034200E" w:rsidRDefault="0034200E" w:rsidP="003B0088">
      <w:r w:rsidRPr="0034200E">
        <w:t>This study employs mixed methods to analyze evolution trends in the CNCF Landscape:</w:t>
      </w:r>
    </w:p>
    <w:p w14:paraId="32C757A9" w14:textId="77777777" w:rsidR="0034200E" w:rsidRPr="0034200E" w:rsidRDefault="0034200E" w:rsidP="0034200E">
      <w:pPr>
        <w:numPr>
          <w:ilvl w:val="0"/>
          <w:numId w:val="2"/>
        </w:numPr>
      </w:pPr>
      <w:r w:rsidRPr="0034200E">
        <w:rPr>
          <w:b/>
          <w:bCs/>
        </w:rPr>
        <w:t>Time Series Analysis</w:t>
      </w:r>
      <w:r w:rsidRPr="0034200E">
        <w:t>: Tracking maturity changes and distribution of new projects in the CNCF ecosystem from 2023 to 2025.</w:t>
      </w:r>
    </w:p>
    <w:p w14:paraId="247AB3EE" w14:textId="77777777" w:rsidR="0034200E" w:rsidRPr="0034200E" w:rsidRDefault="0034200E" w:rsidP="0034200E">
      <w:pPr>
        <w:numPr>
          <w:ilvl w:val="0"/>
          <w:numId w:val="2"/>
        </w:numPr>
      </w:pPr>
      <w:r w:rsidRPr="0034200E">
        <w:rPr>
          <w:b/>
          <w:bCs/>
        </w:rPr>
        <w:t>Categorical Statistics</w:t>
      </w:r>
      <w:r w:rsidRPr="0034200E">
        <w:t>: Quantitative analysis of projects in the Landscape by technical domains.</w:t>
      </w:r>
    </w:p>
    <w:p w14:paraId="12557A85" w14:textId="77777777" w:rsidR="0034200E" w:rsidRPr="0034200E" w:rsidRDefault="0034200E" w:rsidP="0034200E">
      <w:pPr>
        <w:numPr>
          <w:ilvl w:val="0"/>
          <w:numId w:val="2"/>
        </w:numPr>
      </w:pPr>
      <w:r w:rsidRPr="0034200E">
        <w:rPr>
          <w:b/>
          <w:bCs/>
        </w:rPr>
        <w:t>Dependency Mapping</w:t>
      </w:r>
      <w:r w:rsidRPr="0034200E">
        <w:t>: Analysis of technical dependencies and integration patterns among projects.</w:t>
      </w:r>
    </w:p>
    <w:p w14:paraId="7449F79C" w14:textId="77777777" w:rsidR="0034200E" w:rsidRPr="0034200E" w:rsidRDefault="0034200E" w:rsidP="0034200E">
      <w:pPr>
        <w:numPr>
          <w:ilvl w:val="0"/>
          <w:numId w:val="2"/>
        </w:numPr>
      </w:pPr>
      <w:r w:rsidRPr="0034200E">
        <w:rPr>
          <w:b/>
          <w:bCs/>
        </w:rPr>
        <w:t>Adoption Assessment</w:t>
      </w:r>
      <w:r w:rsidRPr="0034200E">
        <w:t>: Evaluating project impact by combining metrics like GitHub stars and contributor counts.</w:t>
      </w:r>
    </w:p>
    <w:p w14:paraId="54AD1DD2" w14:textId="77777777" w:rsidR="0034200E" w:rsidRDefault="0034200E" w:rsidP="0034200E">
      <w:r w:rsidRPr="0034200E">
        <w:lastRenderedPageBreak/>
        <w:t>Table 1 shows the project growth in major technical domains of the CNCF Landscape over the past three years:</w:t>
      </w:r>
    </w:p>
    <w:p w14:paraId="68A54F2A" w14:textId="2160B7A1" w:rsidR="00B24CA9" w:rsidRPr="0034200E" w:rsidRDefault="00B24CA9" w:rsidP="0034200E">
      <w:r w:rsidRPr="00B24CA9">
        <w:drawing>
          <wp:inline distT="0" distB="0" distL="0" distR="0" wp14:anchorId="1671716F" wp14:editId="54E1ACA2">
            <wp:extent cx="5274310" cy="2279015"/>
            <wp:effectExtent l="0" t="0" r="2540" b="6985"/>
            <wp:docPr id="679430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0599" name=""/>
                    <pic:cNvPicPr/>
                  </pic:nvPicPr>
                  <pic:blipFill>
                    <a:blip r:embed="rId5"/>
                    <a:stretch>
                      <a:fillRect/>
                    </a:stretch>
                  </pic:blipFill>
                  <pic:spPr>
                    <a:xfrm>
                      <a:off x="0" y="0"/>
                      <a:ext cx="5274310" cy="2279015"/>
                    </a:xfrm>
                    <a:prstGeom prst="rect">
                      <a:avLst/>
                    </a:prstGeom>
                  </pic:spPr>
                </pic:pic>
              </a:graphicData>
            </a:graphic>
          </wp:inline>
        </w:drawing>
      </w:r>
    </w:p>
    <w:p w14:paraId="049CB247" w14:textId="77777777" w:rsidR="0034200E" w:rsidRPr="0034200E" w:rsidRDefault="0034200E" w:rsidP="0034200E">
      <w:pPr>
        <w:pStyle w:val="3"/>
      </w:pPr>
      <w:r w:rsidRPr="0034200E">
        <w:t>3.2 Key Trend Identification</w:t>
      </w:r>
    </w:p>
    <w:p w14:paraId="0A7008FD" w14:textId="77777777" w:rsidR="0034200E" w:rsidRPr="0034200E" w:rsidRDefault="0034200E" w:rsidP="003B0088">
      <w:pPr>
        <w:ind w:firstLineChars="200" w:firstLine="420"/>
      </w:pPr>
      <w:r w:rsidRPr="0034200E">
        <w:t>Based on analysis of the CNCF Landscape, we have identified four key evolution trends:</w:t>
      </w:r>
    </w:p>
    <w:p w14:paraId="0715986C" w14:textId="77777777" w:rsidR="0034200E" w:rsidRPr="0034200E" w:rsidRDefault="0034200E" w:rsidP="0034200E">
      <w:pPr>
        <w:pStyle w:val="4"/>
      </w:pPr>
      <w:r w:rsidRPr="0034200E">
        <w:t>3.2.1 Maturation of Edge-Native Cloud Architecture</w:t>
      </w:r>
    </w:p>
    <w:p w14:paraId="628517C9" w14:textId="77777777" w:rsidR="0034200E" w:rsidRPr="0034200E" w:rsidRDefault="0034200E" w:rsidP="003B0088">
      <w:pPr>
        <w:ind w:firstLineChars="200" w:firstLine="420"/>
      </w:pPr>
      <w:r w:rsidRPr="0034200E">
        <w:t>The convergence of edge computing and cloud-native technologies is accelerating. Lightweight variants of Kubernetes (K3s, MicroK8s) and edge-specific distributions (</w:t>
      </w:r>
      <w:proofErr w:type="spellStart"/>
      <w:r w:rsidRPr="0034200E">
        <w:t>KubeEdge</w:t>
      </w:r>
      <w:proofErr w:type="spellEnd"/>
      <w:r w:rsidRPr="0034200E">
        <w:t xml:space="preserve">, </w:t>
      </w:r>
      <w:proofErr w:type="spellStart"/>
      <w:r w:rsidRPr="0034200E">
        <w:t>OpenYurt</w:t>
      </w:r>
      <w:proofErr w:type="spellEnd"/>
      <w:r w:rsidRPr="0034200E">
        <w:t xml:space="preserve">) enable cloud-native capabilities to extend to resource-constrained edge environments. This expansion represents not just technical adaptation but an architectural paradigm shift, promoting the development of </w:t>
      </w:r>
      <w:r w:rsidRPr="0034200E">
        <w:rPr>
          <w:b/>
          <w:bCs/>
        </w:rPr>
        <w:t>edge intelligence</w:t>
      </w:r>
      <w:r w:rsidRPr="0034200E">
        <w:t xml:space="preserve"> and </w:t>
      </w:r>
      <w:r w:rsidRPr="0034200E">
        <w:rPr>
          <w:b/>
          <w:bCs/>
        </w:rPr>
        <w:t>distributed AI</w:t>
      </w:r>
      <w:r w:rsidRPr="0034200E">
        <w:t>.</w:t>
      </w:r>
    </w:p>
    <w:p w14:paraId="26EE6ED6" w14:textId="77777777" w:rsidR="0034200E" w:rsidRPr="0034200E" w:rsidRDefault="0034200E" w:rsidP="0034200E">
      <w:pPr>
        <w:pStyle w:val="4"/>
      </w:pPr>
      <w:r w:rsidRPr="0034200E">
        <w:t>3.2.2 Convergence Innovation of Service Mesh and API Gateway</w:t>
      </w:r>
    </w:p>
    <w:p w14:paraId="241EC20A" w14:textId="77777777" w:rsidR="0034200E" w:rsidRPr="0034200E" w:rsidRDefault="0034200E" w:rsidP="003B0088">
      <w:pPr>
        <w:ind w:firstLineChars="200" w:firstLine="420"/>
      </w:pPr>
      <w:r w:rsidRPr="0034200E">
        <w:t xml:space="preserve">Service mesh and API gateways are evolving from independent technologies toward </w:t>
      </w:r>
      <w:r w:rsidRPr="0034200E">
        <w:rPr>
          <w:b/>
          <w:bCs/>
        </w:rPr>
        <w:t>converged architectures</w:t>
      </w:r>
      <w:r w:rsidRPr="0034200E">
        <w:t xml:space="preserve">. Traditionally, service mesh handles inter-service communication while API gateways manage external access. New-generation solutions like </w:t>
      </w:r>
      <w:proofErr w:type="spellStart"/>
      <w:r w:rsidRPr="0034200E">
        <w:t>Gloo</w:t>
      </w:r>
      <w:proofErr w:type="spellEnd"/>
      <w:r w:rsidRPr="0034200E">
        <w:t xml:space="preserve"> Mesh and Kong Mesh are breaking these boundaries, providing unified control planes for managing both east-west and north-south traffic.</w:t>
      </w:r>
    </w:p>
    <w:p w14:paraId="4B06B93F" w14:textId="77777777" w:rsidR="0034200E" w:rsidRPr="0034200E" w:rsidRDefault="0034200E" w:rsidP="0034200E">
      <w:pPr>
        <w:pStyle w:val="4"/>
      </w:pPr>
      <w:r w:rsidRPr="0034200E">
        <w:t>3.2.3 AI-Enhanced Observability Platforms</w:t>
      </w:r>
    </w:p>
    <w:p w14:paraId="5BFD87E4" w14:textId="77777777" w:rsidR="0034200E" w:rsidRPr="0034200E" w:rsidRDefault="0034200E" w:rsidP="003B0088">
      <w:pPr>
        <w:ind w:firstLineChars="200" w:firstLine="420"/>
      </w:pPr>
      <w:r w:rsidRPr="0034200E">
        <w:t xml:space="preserve">Observability is evolving from traditional metrics, logs, and traces (MLT) toward </w:t>
      </w:r>
      <w:r w:rsidRPr="0034200E">
        <w:rPr>
          <w:b/>
          <w:bCs/>
        </w:rPr>
        <w:t>predictive analytics</w:t>
      </w:r>
      <w:r w:rsidRPr="0034200E">
        <w:t xml:space="preserve"> and </w:t>
      </w:r>
      <w:r w:rsidRPr="0034200E">
        <w:rPr>
          <w:b/>
          <w:bCs/>
        </w:rPr>
        <w:t>autonomous remediation</w:t>
      </w:r>
      <w:r w:rsidRPr="0034200E">
        <w:t xml:space="preserve">. AI and machine learning technologies are being integrated into observability platforms to automate anomaly detection, root cause analysis, and capacity planning. The </w:t>
      </w:r>
      <w:proofErr w:type="spellStart"/>
      <w:r w:rsidRPr="0034200E">
        <w:t>OpenTelemetry</w:t>
      </w:r>
      <w:proofErr w:type="spellEnd"/>
      <w:r w:rsidRPr="0034200E">
        <w:t xml:space="preserve"> project, by providing standardized telemetry data collection, lays the foundation for AI-driven analytics.</w:t>
      </w:r>
    </w:p>
    <w:p w14:paraId="28532626" w14:textId="77777777" w:rsidR="0034200E" w:rsidRPr="0034200E" w:rsidRDefault="0034200E" w:rsidP="0034200E">
      <w:pPr>
        <w:pStyle w:val="4"/>
      </w:pPr>
      <w:r w:rsidRPr="0034200E">
        <w:t>3.2.4 Sustainable Green Cloud-Native Practices</w:t>
      </w:r>
    </w:p>
    <w:p w14:paraId="18EB3DFF" w14:textId="77777777" w:rsidR="0034200E" w:rsidRPr="0034200E" w:rsidRDefault="0034200E" w:rsidP="003B0088">
      <w:pPr>
        <w:ind w:firstLineChars="200" w:firstLine="420"/>
      </w:pPr>
      <w:r w:rsidRPr="0034200E">
        <w:t xml:space="preserve">Sustainability is becoming a new focus in cloud-native computing. Emerging projects like </w:t>
      </w:r>
      <w:proofErr w:type="spellStart"/>
      <w:r w:rsidRPr="0034200E">
        <w:t>KubeGreen</w:t>
      </w:r>
      <w:proofErr w:type="spellEnd"/>
      <w:r w:rsidRPr="0034200E">
        <w:t xml:space="preserve"> and Cloud Carbon Footprint provide tools for measuring and optimizing the </w:t>
      </w:r>
      <w:r w:rsidRPr="0034200E">
        <w:lastRenderedPageBreak/>
        <w:t xml:space="preserve">energy consumption and carbon footprint of cloud-native workloads. These tools integrate with Kubernetes schedulers and Vertical Pod </w:t>
      </w:r>
      <w:proofErr w:type="spellStart"/>
      <w:r w:rsidRPr="0034200E">
        <w:t>Autoscalers</w:t>
      </w:r>
      <w:proofErr w:type="spellEnd"/>
      <w:r w:rsidRPr="0034200E">
        <w:t xml:space="preserve"> (VPA) to enable </w:t>
      </w:r>
      <w:r w:rsidRPr="0034200E">
        <w:rPr>
          <w:b/>
          <w:bCs/>
        </w:rPr>
        <w:t>energy-efficiency-aware</w:t>
      </w:r>
      <w:r w:rsidRPr="0034200E">
        <w:t xml:space="preserve"> resource scheduling.</w:t>
      </w:r>
    </w:p>
    <w:p w14:paraId="13B63056" w14:textId="77777777" w:rsidR="0034200E" w:rsidRPr="0034200E" w:rsidRDefault="0034200E" w:rsidP="0034200E">
      <w:r w:rsidRPr="0034200E">
        <w:pict w14:anchorId="16E5B95A">
          <v:rect id="_x0000_i1089" style="width:0;height:1.5pt" o:hralign="center" o:hrstd="t" o:hrnoshade="t" o:hr="t" fillcolor="#1f2329" stroked="f"/>
        </w:pict>
      </w:r>
    </w:p>
    <w:p w14:paraId="4F691EC5" w14:textId="77777777" w:rsidR="0034200E" w:rsidRPr="0034200E" w:rsidRDefault="0034200E" w:rsidP="0034200E">
      <w:pPr>
        <w:pStyle w:val="2"/>
      </w:pPr>
      <w:r w:rsidRPr="0034200E">
        <w:t>4 Edge-Native Cloud Architecture Design and Implementation</w:t>
      </w:r>
    </w:p>
    <w:p w14:paraId="0ECE4901" w14:textId="77777777" w:rsidR="0034200E" w:rsidRPr="0034200E" w:rsidRDefault="0034200E" w:rsidP="0034200E">
      <w:pPr>
        <w:pStyle w:val="3"/>
      </w:pPr>
      <w:r w:rsidRPr="0034200E">
        <w:t>4.1 Architectural Challenges and Design Principles</w:t>
      </w:r>
    </w:p>
    <w:p w14:paraId="1AD3723F" w14:textId="77777777" w:rsidR="0034200E" w:rsidRPr="0034200E" w:rsidRDefault="0034200E" w:rsidP="003B0088">
      <w:pPr>
        <w:ind w:firstLineChars="200" w:firstLine="420"/>
      </w:pPr>
      <w:r w:rsidRPr="0034200E">
        <w:t xml:space="preserve">Extending cloud-native to edge environments presents unique challenges: </w:t>
      </w:r>
      <w:r w:rsidRPr="0034200E">
        <w:rPr>
          <w:b/>
          <w:bCs/>
        </w:rPr>
        <w:t>unreliable networks</w:t>
      </w:r>
      <w:r w:rsidRPr="0034200E">
        <w:t xml:space="preserve">, </w:t>
      </w:r>
      <w:r w:rsidRPr="0034200E">
        <w:rPr>
          <w:b/>
          <w:bCs/>
        </w:rPr>
        <w:t>resource constraints</w:t>
      </w:r>
      <w:r w:rsidRPr="0034200E">
        <w:t xml:space="preserve">, </w:t>
      </w:r>
      <w:r w:rsidRPr="0034200E">
        <w:rPr>
          <w:b/>
          <w:bCs/>
        </w:rPr>
        <w:t>security vulnerabilities</w:t>
      </w:r>
      <w:r w:rsidRPr="0034200E">
        <w:t xml:space="preserve">, and </w:t>
      </w:r>
      <w:r w:rsidRPr="0034200E">
        <w:rPr>
          <w:b/>
          <w:bCs/>
        </w:rPr>
        <w:t>management complexity</w:t>
      </w:r>
      <w:r w:rsidRPr="0034200E">
        <w:t>. To address these challenges, edge-native cloud architecture follows these design principles:</w:t>
      </w:r>
    </w:p>
    <w:p w14:paraId="3CD2AE48" w14:textId="77777777" w:rsidR="0034200E" w:rsidRPr="0034200E" w:rsidRDefault="0034200E" w:rsidP="0034200E">
      <w:pPr>
        <w:numPr>
          <w:ilvl w:val="0"/>
          <w:numId w:val="3"/>
        </w:numPr>
      </w:pPr>
      <w:r w:rsidRPr="0034200E">
        <w:rPr>
          <w:b/>
          <w:bCs/>
        </w:rPr>
        <w:t>Lightweight</w:t>
      </w:r>
      <w:r w:rsidRPr="0034200E">
        <w:t>: Minimize resource footprint to adapt to edge device constraints.</w:t>
      </w:r>
    </w:p>
    <w:p w14:paraId="7974E05C" w14:textId="77777777" w:rsidR="0034200E" w:rsidRPr="0034200E" w:rsidRDefault="0034200E" w:rsidP="0034200E">
      <w:pPr>
        <w:numPr>
          <w:ilvl w:val="0"/>
          <w:numId w:val="3"/>
        </w:numPr>
      </w:pPr>
      <w:r w:rsidRPr="0034200E">
        <w:rPr>
          <w:b/>
          <w:bCs/>
        </w:rPr>
        <w:t>Autonomous</w:t>
      </w:r>
      <w:r w:rsidRPr="0034200E">
        <w:t>: Maintain independent operation during network disconnections.</w:t>
      </w:r>
    </w:p>
    <w:p w14:paraId="13D03252" w14:textId="77777777" w:rsidR="0034200E" w:rsidRPr="0034200E" w:rsidRDefault="0034200E" w:rsidP="0034200E">
      <w:pPr>
        <w:numPr>
          <w:ilvl w:val="0"/>
          <w:numId w:val="3"/>
        </w:numPr>
      </w:pPr>
      <w:r w:rsidRPr="0034200E">
        <w:rPr>
          <w:b/>
          <w:bCs/>
        </w:rPr>
        <w:t>Security</w:t>
      </w:r>
      <w:r w:rsidRPr="0034200E">
        <w:t>: Provide end-to-end security protection from devices to cloud.</w:t>
      </w:r>
    </w:p>
    <w:p w14:paraId="352721DF" w14:textId="77777777" w:rsidR="0034200E" w:rsidRPr="0034200E" w:rsidRDefault="0034200E" w:rsidP="0034200E">
      <w:pPr>
        <w:numPr>
          <w:ilvl w:val="0"/>
          <w:numId w:val="3"/>
        </w:numPr>
      </w:pPr>
      <w:r w:rsidRPr="0034200E">
        <w:rPr>
          <w:b/>
          <w:bCs/>
        </w:rPr>
        <w:t>Manageability</w:t>
      </w:r>
      <w:r w:rsidRPr="0034200E">
        <w:t>: Support centralized management of large-scale edge nodes.</w:t>
      </w:r>
    </w:p>
    <w:p w14:paraId="394B36B0" w14:textId="77777777" w:rsidR="0034200E" w:rsidRPr="0034200E" w:rsidRDefault="0034200E" w:rsidP="0034200E">
      <w:pPr>
        <w:pStyle w:val="3"/>
      </w:pPr>
      <w:r w:rsidRPr="0034200E">
        <w:t>4.2 Reference Architecture Design</w:t>
      </w:r>
    </w:p>
    <w:p w14:paraId="157DCD24" w14:textId="77777777" w:rsidR="0034200E" w:rsidRPr="0034200E" w:rsidRDefault="0034200E" w:rsidP="003B0088">
      <w:pPr>
        <w:ind w:firstLineChars="200" w:firstLine="420"/>
      </w:pPr>
      <w:r w:rsidRPr="0034200E">
        <w:t>Based on CNCF projects, we propose a layered reference architecture for edge-native cloud (Figure 1):</w:t>
      </w:r>
    </w:p>
    <w:p w14:paraId="18239756" w14:textId="298BF884" w:rsidR="0034200E" w:rsidRPr="0034200E" w:rsidRDefault="00B24CA9" w:rsidP="00B24CA9">
      <w:r w:rsidRPr="00B24CA9">
        <w:drawing>
          <wp:inline distT="0" distB="0" distL="0" distR="0" wp14:anchorId="79C9A855" wp14:editId="32C17504">
            <wp:extent cx="5274310" cy="3373755"/>
            <wp:effectExtent l="0" t="0" r="2540" b="0"/>
            <wp:docPr id="399096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96135" name=""/>
                    <pic:cNvPicPr/>
                  </pic:nvPicPr>
                  <pic:blipFill>
                    <a:blip r:embed="rId6"/>
                    <a:stretch>
                      <a:fillRect/>
                    </a:stretch>
                  </pic:blipFill>
                  <pic:spPr>
                    <a:xfrm>
                      <a:off x="0" y="0"/>
                      <a:ext cx="5274310" cy="3373755"/>
                    </a:xfrm>
                    <a:prstGeom prst="rect">
                      <a:avLst/>
                    </a:prstGeom>
                  </pic:spPr>
                </pic:pic>
              </a:graphicData>
            </a:graphic>
          </wp:inline>
        </w:drawing>
      </w:r>
      <w:r w:rsidR="0034200E" w:rsidRPr="0034200E">
        <w:t xml:space="preserve">The </w:t>
      </w:r>
      <w:r w:rsidR="0034200E" w:rsidRPr="0034200E">
        <w:rPr>
          <w:b/>
          <w:bCs/>
        </w:rPr>
        <w:t>Cloud Control Plane</w:t>
      </w:r>
      <w:r w:rsidR="0034200E" w:rsidRPr="0034200E">
        <w:t xml:space="preserve"> is responsible for global policy management and coordination, extending standard Kubernetes APIs. The </w:t>
      </w:r>
      <w:r w:rsidR="0034200E" w:rsidRPr="0034200E">
        <w:rPr>
          <w:b/>
          <w:bCs/>
        </w:rPr>
        <w:t>Edge Gateway Layer</w:t>
      </w:r>
      <w:r w:rsidR="0034200E" w:rsidRPr="0034200E">
        <w:t xml:space="preserve"> provides network connectivity, security protection, and protocol translation. The </w:t>
      </w:r>
      <w:r w:rsidR="0034200E" w:rsidRPr="0034200E">
        <w:rPr>
          <w:b/>
          <w:bCs/>
        </w:rPr>
        <w:t>Edge Node Layer</w:t>
      </w:r>
      <w:r w:rsidR="0034200E" w:rsidRPr="0034200E">
        <w:t xml:space="preserve"> runs lightweight </w:t>
      </w:r>
      <w:r w:rsidR="0034200E" w:rsidRPr="0034200E">
        <w:lastRenderedPageBreak/>
        <w:t xml:space="preserve">Kubernetes distributions and edge applications. The </w:t>
      </w:r>
      <w:r w:rsidR="0034200E" w:rsidRPr="0034200E">
        <w:rPr>
          <w:b/>
          <w:bCs/>
        </w:rPr>
        <w:t>Device Layer</w:t>
      </w:r>
      <w:r w:rsidR="0034200E" w:rsidRPr="0034200E">
        <w:t xml:space="preserve"> encompasses various IoT devices and sensors.</w:t>
      </w:r>
    </w:p>
    <w:p w14:paraId="28718CEB" w14:textId="77777777" w:rsidR="0034200E" w:rsidRPr="0034200E" w:rsidRDefault="0034200E" w:rsidP="0034200E">
      <w:pPr>
        <w:pStyle w:val="3"/>
      </w:pPr>
      <w:r w:rsidRPr="0034200E">
        <w:t>4.3 Key Technical Components</w:t>
      </w:r>
    </w:p>
    <w:p w14:paraId="2737E292" w14:textId="77777777" w:rsidR="0034200E" w:rsidRPr="0034200E" w:rsidRDefault="0034200E" w:rsidP="0034200E">
      <w:pPr>
        <w:pStyle w:val="4"/>
      </w:pPr>
      <w:r w:rsidRPr="0034200E">
        <w:t>4.3.1 Lightweight Container Runtime</w:t>
      </w:r>
    </w:p>
    <w:p w14:paraId="25FBD4A8" w14:textId="77777777" w:rsidR="0034200E" w:rsidRPr="0034200E" w:rsidRDefault="0034200E" w:rsidP="003B0088">
      <w:pPr>
        <w:ind w:firstLineChars="200" w:firstLine="420"/>
      </w:pPr>
      <w:r w:rsidRPr="0034200E">
        <w:t xml:space="preserve">Edge environments require specially optimized container runtimes. </w:t>
      </w:r>
      <w:proofErr w:type="spellStart"/>
      <w:r w:rsidRPr="0034200E">
        <w:t>containerd</w:t>
      </w:r>
      <w:proofErr w:type="spellEnd"/>
      <w:r w:rsidRPr="0034200E">
        <w:t>, as a CNCF graduated project, provides a stable foundational runtime. For edge scenarios, projects like Project EVE and Kata Containers offer enhanced security isolation capabilities, particularly suitable for multi-tenant edge environments.</w:t>
      </w:r>
    </w:p>
    <w:p w14:paraId="4919EDCC" w14:textId="77777777" w:rsidR="0034200E" w:rsidRPr="0034200E" w:rsidRDefault="0034200E" w:rsidP="003B0088">
      <w:pPr>
        <w:pStyle w:val="4"/>
      </w:pPr>
      <w:r w:rsidRPr="0034200E">
        <w:t>4.3.2 Edge Service Mesh</w:t>
      </w:r>
    </w:p>
    <w:p w14:paraId="02C490DE" w14:textId="77777777" w:rsidR="0034200E" w:rsidRPr="0034200E" w:rsidRDefault="0034200E" w:rsidP="003B0088">
      <w:pPr>
        <w:ind w:firstLineChars="200" w:firstLine="420"/>
      </w:pPr>
      <w:r w:rsidRPr="0034200E">
        <w:t xml:space="preserve">Traditional service meshes like Istio are unsuitable for edge environments due to resource consumption. To address this, lightweight solutions such as SMI (Service Mesh Interface) and </w:t>
      </w:r>
      <w:proofErr w:type="spellStart"/>
      <w:r w:rsidRPr="0034200E">
        <w:t>Linkerd</w:t>
      </w:r>
      <w:proofErr w:type="spellEnd"/>
      <w:r w:rsidRPr="0034200E">
        <w:t xml:space="preserve"> are gaining popularity. These solutions provide core traffic management capabilities while significantly reducing resource footprint.</w:t>
      </w:r>
    </w:p>
    <w:p w14:paraId="49F63B63" w14:textId="77777777" w:rsidR="0034200E" w:rsidRPr="0034200E" w:rsidRDefault="0034200E" w:rsidP="0034200E">
      <w:pPr>
        <w:pStyle w:val="4"/>
      </w:pPr>
      <w:r w:rsidRPr="0034200E">
        <w:t>4.3.3 Edge AI Framework</w:t>
      </w:r>
    </w:p>
    <w:p w14:paraId="06511B4A" w14:textId="77777777" w:rsidR="0034200E" w:rsidRPr="0034200E" w:rsidRDefault="0034200E" w:rsidP="003B0088">
      <w:pPr>
        <w:ind w:firstLineChars="200" w:firstLine="420"/>
      </w:pPr>
      <w:r w:rsidRPr="0034200E">
        <w:t xml:space="preserve">Edge AI represents a significant application scenario for edge computing. The </w:t>
      </w:r>
      <w:proofErr w:type="spellStart"/>
      <w:r w:rsidRPr="0034200E">
        <w:t>KubeEdge</w:t>
      </w:r>
      <w:proofErr w:type="spellEnd"/>
      <w:r w:rsidRPr="0034200E">
        <w:t xml:space="preserve"> AI project provides a framework for training and inferencing AI models on edge devices, supporting distributed AI paradigms such as </w:t>
      </w:r>
      <w:r w:rsidRPr="0034200E">
        <w:rPr>
          <w:b/>
          <w:bCs/>
        </w:rPr>
        <w:t>federated learning</w:t>
      </w:r>
      <w:r w:rsidRPr="0034200E">
        <w:t xml:space="preserve"> and </w:t>
      </w:r>
      <w:r w:rsidRPr="0034200E">
        <w:rPr>
          <w:b/>
          <w:bCs/>
        </w:rPr>
        <w:t>incremental learning</w:t>
      </w:r>
      <w:r w:rsidRPr="0034200E">
        <w:t>.</w:t>
      </w:r>
    </w:p>
    <w:p w14:paraId="70909396" w14:textId="77777777" w:rsidR="0034200E" w:rsidRPr="0034200E" w:rsidRDefault="0034200E" w:rsidP="0034200E">
      <w:pPr>
        <w:pStyle w:val="3"/>
      </w:pPr>
      <w:r w:rsidRPr="0034200E">
        <w:t>4.4 Experimental Validation</w:t>
      </w:r>
    </w:p>
    <w:p w14:paraId="757ADA0D" w14:textId="77777777" w:rsidR="0034200E" w:rsidRPr="0034200E" w:rsidRDefault="0034200E" w:rsidP="003B0088">
      <w:pPr>
        <w:ind w:firstLineChars="200" w:firstLine="420"/>
      </w:pPr>
      <w:r w:rsidRPr="0034200E">
        <w:t>To evaluate the performance of edge-native cloud architecture, we designed a simulated experimental environment comprising one cloud control plane and three edge nodes. Each edge node is equipped with limited CPU (4 cores) and memory (8GB), simulating typical edge computing environments. The experiment compares three deployment approaches:</w:t>
      </w:r>
    </w:p>
    <w:p w14:paraId="050C089B" w14:textId="77777777" w:rsidR="0034200E" w:rsidRPr="0034200E" w:rsidRDefault="0034200E" w:rsidP="0034200E">
      <w:pPr>
        <w:numPr>
          <w:ilvl w:val="0"/>
          <w:numId w:val="4"/>
        </w:numPr>
      </w:pPr>
      <w:r w:rsidRPr="0034200E">
        <w:rPr>
          <w:b/>
          <w:bCs/>
        </w:rPr>
        <w:t>Traditional Cloud-Native Approach</w:t>
      </w:r>
      <w:r w:rsidRPr="0034200E">
        <w:t>: Standard Kubernetes deployment.</w:t>
      </w:r>
    </w:p>
    <w:p w14:paraId="39B2DABB" w14:textId="77777777" w:rsidR="0034200E" w:rsidRPr="0034200E" w:rsidRDefault="0034200E" w:rsidP="0034200E">
      <w:pPr>
        <w:numPr>
          <w:ilvl w:val="0"/>
          <w:numId w:val="4"/>
        </w:numPr>
      </w:pPr>
      <w:r w:rsidRPr="0034200E">
        <w:rPr>
          <w:b/>
          <w:bCs/>
        </w:rPr>
        <w:t>Lightweight Approach</w:t>
      </w:r>
      <w:r w:rsidRPr="0034200E">
        <w:t>: K3s deployment.</w:t>
      </w:r>
    </w:p>
    <w:p w14:paraId="1D7E0929" w14:textId="77777777" w:rsidR="0034200E" w:rsidRPr="0034200E" w:rsidRDefault="0034200E" w:rsidP="0034200E">
      <w:pPr>
        <w:numPr>
          <w:ilvl w:val="0"/>
          <w:numId w:val="4"/>
        </w:numPr>
      </w:pPr>
      <w:r w:rsidRPr="0034200E">
        <w:rPr>
          <w:b/>
          <w:bCs/>
        </w:rPr>
        <w:t>Edge-Optimized Approach</w:t>
      </w:r>
      <w:r w:rsidRPr="0034200E">
        <w:t xml:space="preserve">: </w:t>
      </w:r>
      <w:proofErr w:type="spellStart"/>
      <w:r w:rsidRPr="0034200E">
        <w:t>KubeEdge</w:t>
      </w:r>
      <w:proofErr w:type="spellEnd"/>
      <w:r w:rsidRPr="0034200E">
        <w:t xml:space="preserve"> deployment.</w:t>
      </w:r>
    </w:p>
    <w:p w14:paraId="0713C697" w14:textId="4B99CD39" w:rsidR="0034200E" w:rsidRPr="0034200E" w:rsidRDefault="00B24CA9" w:rsidP="00B24CA9">
      <w:r w:rsidRPr="00B24CA9">
        <w:drawing>
          <wp:inline distT="0" distB="0" distL="0" distR="0" wp14:anchorId="6662D36E" wp14:editId="115D6B08">
            <wp:extent cx="5274310" cy="2275840"/>
            <wp:effectExtent l="0" t="0" r="2540" b="0"/>
            <wp:docPr id="187486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6999" name=""/>
                    <pic:cNvPicPr/>
                  </pic:nvPicPr>
                  <pic:blipFill>
                    <a:blip r:embed="rId7"/>
                    <a:stretch>
                      <a:fillRect/>
                    </a:stretch>
                  </pic:blipFill>
                  <pic:spPr>
                    <a:xfrm>
                      <a:off x="0" y="0"/>
                      <a:ext cx="5274310" cy="2275840"/>
                    </a:xfrm>
                    <a:prstGeom prst="rect">
                      <a:avLst/>
                    </a:prstGeom>
                  </pic:spPr>
                </pic:pic>
              </a:graphicData>
            </a:graphic>
          </wp:inline>
        </w:drawing>
      </w:r>
      <w:r w:rsidR="0034200E" w:rsidRPr="0034200E">
        <w:lastRenderedPageBreak/>
        <w:t>Experimental results demonstrate that edge-optimized cloud-native approaches significantly outperform traditional approaches in startup time, resource footprint, and network disconnection recovery, validating the effectiveness of edge-native cloud architecture.</w:t>
      </w:r>
    </w:p>
    <w:p w14:paraId="1CB64E06" w14:textId="77777777" w:rsidR="0034200E" w:rsidRPr="0034200E" w:rsidRDefault="0034200E" w:rsidP="0034200E">
      <w:r w:rsidRPr="0034200E">
        <w:pict w14:anchorId="060473A3">
          <v:rect id="_x0000_i1090" style="width:0;height:1.5pt" o:hralign="center" o:hrstd="t" o:hrnoshade="t" o:hr="t" fillcolor="#1f2329" stroked="f"/>
        </w:pict>
      </w:r>
    </w:p>
    <w:p w14:paraId="18DBF461" w14:textId="77777777" w:rsidR="0034200E" w:rsidRPr="0034200E" w:rsidRDefault="0034200E" w:rsidP="0034200E">
      <w:pPr>
        <w:pStyle w:val="2"/>
      </w:pPr>
      <w:r w:rsidRPr="0034200E">
        <w:t>5 Intelligent Observability Platform Architecture</w:t>
      </w:r>
    </w:p>
    <w:p w14:paraId="493AE98E" w14:textId="77777777" w:rsidR="0034200E" w:rsidRPr="0034200E" w:rsidRDefault="0034200E" w:rsidP="0034200E">
      <w:pPr>
        <w:pStyle w:val="3"/>
      </w:pPr>
      <w:r w:rsidRPr="0034200E">
        <w:t>5.1 Limitations of Traditional Observability</w:t>
      </w:r>
    </w:p>
    <w:p w14:paraId="741ECEE4" w14:textId="77777777" w:rsidR="0034200E" w:rsidRPr="0034200E" w:rsidRDefault="0034200E" w:rsidP="003B0088">
      <w:pPr>
        <w:ind w:firstLineChars="200" w:firstLine="420"/>
      </w:pPr>
      <w:r w:rsidRPr="0034200E">
        <w:t>Traditional observability tools primarily focus on data collection and visualization but face limitations in several aspects:</w:t>
      </w:r>
    </w:p>
    <w:p w14:paraId="5CF3E6A7" w14:textId="77777777" w:rsidR="0034200E" w:rsidRPr="0034200E" w:rsidRDefault="0034200E" w:rsidP="0034200E">
      <w:pPr>
        <w:numPr>
          <w:ilvl w:val="0"/>
          <w:numId w:val="5"/>
        </w:numPr>
      </w:pPr>
      <w:r w:rsidRPr="0034200E">
        <w:rPr>
          <w:b/>
          <w:bCs/>
        </w:rPr>
        <w:t>Passive Response</w:t>
      </w:r>
      <w:r w:rsidRPr="0034200E">
        <w:t>: Reliance on manual problem discovery and diagnosis.</w:t>
      </w:r>
    </w:p>
    <w:p w14:paraId="13E48F2E" w14:textId="77777777" w:rsidR="0034200E" w:rsidRPr="0034200E" w:rsidRDefault="0034200E" w:rsidP="0034200E">
      <w:pPr>
        <w:numPr>
          <w:ilvl w:val="0"/>
          <w:numId w:val="5"/>
        </w:numPr>
      </w:pPr>
      <w:r w:rsidRPr="0034200E">
        <w:rPr>
          <w:b/>
          <w:bCs/>
        </w:rPr>
        <w:t>Data Silos</w:t>
      </w:r>
      <w:r w:rsidRPr="0034200E">
        <w:t>: Separation of metrics, logs, and trace data.</w:t>
      </w:r>
    </w:p>
    <w:p w14:paraId="42558A83" w14:textId="77777777" w:rsidR="0034200E" w:rsidRPr="0034200E" w:rsidRDefault="0034200E" w:rsidP="0034200E">
      <w:pPr>
        <w:numPr>
          <w:ilvl w:val="0"/>
          <w:numId w:val="5"/>
        </w:numPr>
      </w:pPr>
      <w:r w:rsidRPr="0034200E">
        <w:rPr>
          <w:b/>
          <w:bCs/>
        </w:rPr>
        <w:t>Insufficient Analysis</w:t>
      </w:r>
      <w:r w:rsidRPr="0034200E">
        <w:t>: Lack of deep analysis of root causes.</w:t>
      </w:r>
    </w:p>
    <w:p w14:paraId="66AFA345" w14:textId="77777777" w:rsidR="0034200E" w:rsidRPr="0034200E" w:rsidRDefault="0034200E" w:rsidP="0034200E">
      <w:pPr>
        <w:numPr>
          <w:ilvl w:val="0"/>
          <w:numId w:val="5"/>
        </w:numPr>
      </w:pPr>
      <w:r w:rsidRPr="0034200E">
        <w:rPr>
          <w:b/>
          <w:bCs/>
        </w:rPr>
        <w:t>Weak Predictive Capability</w:t>
      </w:r>
      <w:r w:rsidRPr="0034200E">
        <w:t>: Difficulty in predicting potential issues and capacity requirements.</w:t>
      </w:r>
    </w:p>
    <w:p w14:paraId="7B178C8B" w14:textId="77777777" w:rsidR="0034200E" w:rsidRPr="0034200E" w:rsidRDefault="0034200E" w:rsidP="0034200E">
      <w:pPr>
        <w:pStyle w:val="3"/>
      </w:pPr>
      <w:r w:rsidRPr="0034200E">
        <w:t>5.2 Intelligent Observability Platform Architecture</w:t>
      </w:r>
    </w:p>
    <w:p w14:paraId="5177A1B6" w14:textId="77777777" w:rsidR="0034200E" w:rsidRPr="0034200E" w:rsidRDefault="0034200E" w:rsidP="003B0088">
      <w:pPr>
        <w:ind w:firstLineChars="200" w:firstLine="420"/>
      </w:pPr>
      <w:r w:rsidRPr="0034200E">
        <w:t xml:space="preserve">Intelligent observability platforms elevate observability from </w:t>
      </w:r>
      <w:r w:rsidRPr="0034200E">
        <w:rPr>
          <w:b/>
          <w:bCs/>
        </w:rPr>
        <w:t>descriptive</w:t>
      </w:r>
      <w:r w:rsidRPr="0034200E">
        <w:t xml:space="preserve"> to </w:t>
      </w:r>
      <w:r w:rsidRPr="0034200E">
        <w:rPr>
          <w:b/>
          <w:bCs/>
        </w:rPr>
        <w:t>predictive</w:t>
      </w:r>
      <w:r w:rsidRPr="0034200E">
        <w:t xml:space="preserve"> and </w:t>
      </w:r>
      <w:r w:rsidRPr="0034200E">
        <w:rPr>
          <w:b/>
          <w:bCs/>
        </w:rPr>
        <w:t>prescriptive</w:t>
      </w:r>
      <w:r w:rsidRPr="0034200E">
        <w:t xml:space="preserve"> by integrating AI/ML capabilities. The platform architecture comprises four layers:</w:t>
      </w:r>
    </w:p>
    <w:p w14:paraId="7583AEA3" w14:textId="77777777" w:rsidR="0034200E" w:rsidRPr="0034200E" w:rsidRDefault="0034200E" w:rsidP="0034200E">
      <w:pPr>
        <w:numPr>
          <w:ilvl w:val="0"/>
          <w:numId w:val="6"/>
        </w:numPr>
      </w:pPr>
      <w:r w:rsidRPr="0034200E">
        <w:rPr>
          <w:b/>
          <w:bCs/>
        </w:rPr>
        <w:t>Data Collection Layer</w:t>
      </w:r>
      <w:r w:rsidRPr="0034200E">
        <w:t xml:space="preserve">: Unified collection of metrics, logs, and trace data based on </w:t>
      </w:r>
      <w:proofErr w:type="spellStart"/>
      <w:r w:rsidRPr="0034200E">
        <w:t>OpenTelemetry</w:t>
      </w:r>
      <w:proofErr w:type="spellEnd"/>
      <w:r w:rsidRPr="0034200E">
        <w:t xml:space="preserve"> standards.</w:t>
      </w:r>
    </w:p>
    <w:p w14:paraId="57CF9627" w14:textId="77777777" w:rsidR="0034200E" w:rsidRPr="0034200E" w:rsidRDefault="0034200E" w:rsidP="0034200E">
      <w:pPr>
        <w:numPr>
          <w:ilvl w:val="0"/>
          <w:numId w:val="6"/>
        </w:numPr>
      </w:pPr>
      <w:r w:rsidRPr="0034200E">
        <w:rPr>
          <w:b/>
          <w:bCs/>
        </w:rPr>
        <w:t>Data Processing Layer</w:t>
      </w:r>
      <w:r w:rsidRPr="0034200E">
        <w:t>: Data cleansing, transformation, and correlation to form a unified observability data model.</w:t>
      </w:r>
    </w:p>
    <w:p w14:paraId="51C04895" w14:textId="77777777" w:rsidR="0034200E" w:rsidRPr="0034200E" w:rsidRDefault="0034200E" w:rsidP="0034200E">
      <w:pPr>
        <w:numPr>
          <w:ilvl w:val="0"/>
          <w:numId w:val="6"/>
        </w:numPr>
      </w:pPr>
      <w:r w:rsidRPr="0034200E">
        <w:rPr>
          <w:b/>
          <w:bCs/>
        </w:rPr>
        <w:t>Intelligent Analytics Layer</w:t>
      </w:r>
      <w:r w:rsidRPr="0034200E">
        <w:t>: Application of machine learning algorithms for anomaly detection, root cause analysis, and capacity prediction.</w:t>
      </w:r>
    </w:p>
    <w:p w14:paraId="58AD63FA" w14:textId="77777777" w:rsidR="0034200E" w:rsidRPr="0034200E" w:rsidRDefault="0034200E" w:rsidP="0034200E">
      <w:pPr>
        <w:numPr>
          <w:ilvl w:val="0"/>
          <w:numId w:val="6"/>
        </w:numPr>
      </w:pPr>
      <w:r w:rsidRPr="0034200E">
        <w:rPr>
          <w:b/>
          <w:bCs/>
        </w:rPr>
        <w:t>Action Layer</w:t>
      </w:r>
      <w:r w:rsidRPr="0034200E">
        <w:t>: Automatic execution of remediation, scaling, and other operations based on analytical results.</w:t>
      </w:r>
    </w:p>
    <w:p w14:paraId="0EE16496" w14:textId="77777777" w:rsidR="0034200E" w:rsidRPr="0034200E" w:rsidRDefault="0034200E" w:rsidP="0034200E">
      <w:r w:rsidRPr="0034200E">
        <w:t>Figure 2 illustrates the component architecture of an intelligent observability platform:</w:t>
      </w:r>
    </w:p>
    <w:p w14:paraId="18F8A5A4" w14:textId="285FF543" w:rsidR="003B0088" w:rsidRDefault="003B0088" w:rsidP="003B0088">
      <w:r w:rsidRPr="0034200E">
        <w:rPr>
          <w:rFonts w:hint="eastAsia"/>
        </w:rPr>
        <w:t>P</w:t>
      </w:r>
      <w:r w:rsidR="0034200E" w:rsidRPr="0034200E">
        <w:t>laintext</w:t>
      </w:r>
    </w:p>
    <w:p w14:paraId="2DF38D34" w14:textId="7B065FC8" w:rsidR="003B0088" w:rsidRDefault="003B0088" w:rsidP="003B0088">
      <w:pPr>
        <w:rPr>
          <w:rFonts w:hint="eastAsia"/>
        </w:rPr>
      </w:pPr>
      <w:r w:rsidRPr="003B0088">
        <w:lastRenderedPageBreak/>
        <w:drawing>
          <wp:inline distT="0" distB="0" distL="0" distR="0" wp14:anchorId="3E957604" wp14:editId="17B88437">
            <wp:extent cx="5274310" cy="3330575"/>
            <wp:effectExtent l="0" t="0" r="2540" b="3175"/>
            <wp:docPr id="963658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8637" name=""/>
                    <pic:cNvPicPr/>
                  </pic:nvPicPr>
                  <pic:blipFill>
                    <a:blip r:embed="rId8"/>
                    <a:stretch>
                      <a:fillRect/>
                    </a:stretch>
                  </pic:blipFill>
                  <pic:spPr>
                    <a:xfrm>
                      <a:off x="0" y="0"/>
                      <a:ext cx="5274310" cy="3330575"/>
                    </a:xfrm>
                    <a:prstGeom prst="rect">
                      <a:avLst/>
                    </a:prstGeom>
                  </pic:spPr>
                </pic:pic>
              </a:graphicData>
            </a:graphic>
          </wp:inline>
        </w:drawing>
      </w:r>
    </w:p>
    <w:p w14:paraId="47B63F7E" w14:textId="4F8E1641" w:rsidR="0034200E" w:rsidRPr="0034200E" w:rsidRDefault="0034200E" w:rsidP="0034200E">
      <w:pPr>
        <w:pStyle w:val="3"/>
      </w:pPr>
      <w:r w:rsidRPr="0034200E">
        <w:t>5.3 Key Technical Implementations</w:t>
      </w:r>
    </w:p>
    <w:p w14:paraId="35AE98B2" w14:textId="77777777" w:rsidR="0034200E" w:rsidRPr="0034200E" w:rsidRDefault="0034200E" w:rsidP="0034200E">
      <w:pPr>
        <w:pStyle w:val="4"/>
      </w:pPr>
      <w:r w:rsidRPr="0034200E">
        <w:t>5.3.1 Unified Data Collection</w:t>
      </w:r>
    </w:p>
    <w:p w14:paraId="0624A8ED" w14:textId="77777777" w:rsidR="0034200E" w:rsidRPr="0034200E" w:rsidRDefault="0034200E" w:rsidP="003B0088">
      <w:pPr>
        <w:ind w:firstLineChars="200" w:firstLine="420"/>
      </w:pPr>
      <w:proofErr w:type="spellStart"/>
      <w:r w:rsidRPr="0034200E">
        <w:t>OpenTelemetry</w:t>
      </w:r>
      <w:proofErr w:type="spellEnd"/>
      <w:r w:rsidRPr="0034200E">
        <w:t xml:space="preserve">, as a CNCF incubating project, provides a standardized framework for observability data collection. It defines unified APIs, SDKs, and collectors supporting cross-language and cross-platform telemetry data collection. Through </w:t>
      </w:r>
      <w:proofErr w:type="spellStart"/>
      <w:r w:rsidRPr="0034200E">
        <w:t>OpenTelemetry</w:t>
      </w:r>
      <w:proofErr w:type="spellEnd"/>
      <w:r w:rsidRPr="0034200E">
        <w:t>, applications can generate standardized traces, metrics, and logs, breaking down data silos.</w:t>
      </w:r>
    </w:p>
    <w:p w14:paraId="477151C8" w14:textId="77777777" w:rsidR="0034200E" w:rsidRPr="0034200E" w:rsidRDefault="0034200E" w:rsidP="0034200E">
      <w:pPr>
        <w:pStyle w:val="4"/>
      </w:pPr>
      <w:r w:rsidRPr="0034200E">
        <w:t>5.3.2 AI-Driven Anomaly Detection</w:t>
      </w:r>
    </w:p>
    <w:p w14:paraId="615B3CA5" w14:textId="77777777" w:rsidR="0034200E" w:rsidRPr="0034200E" w:rsidRDefault="0034200E" w:rsidP="003B0088">
      <w:pPr>
        <w:ind w:firstLineChars="200" w:firstLine="420"/>
      </w:pPr>
      <w:r w:rsidRPr="0034200E">
        <w:t>Intelligent observability platforms employ multiple machine learning algorithms for anomaly detection:</w:t>
      </w:r>
    </w:p>
    <w:p w14:paraId="043281BA" w14:textId="77777777" w:rsidR="0034200E" w:rsidRPr="0034200E" w:rsidRDefault="0034200E" w:rsidP="0034200E">
      <w:pPr>
        <w:numPr>
          <w:ilvl w:val="0"/>
          <w:numId w:val="7"/>
        </w:numPr>
      </w:pPr>
      <w:r w:rsidRPr="0034200E">
        <w:rPr>
          <w:b/>
          <w:bCs/>
        </w:rPr>
        <w:t>Unsupervised Learning</w:t>
      </w:r>
      <w:r w:rsidRPr="0034200E">
        <w:t>: Such as isolation forests and autoencoders for detecting unknown anomaly patterns.</w:t>
      </w:r>
    </w:p>
    <w:p w14:paraId="20A772BF" w14:textId="77777777" w:rsidR="0034200E" w:rsidRPr="0034200E" w:rsidRDefault="0034200E" w:rsidP="0034200E">
      <w:pPr>
        <w:numPr>
          <w:ilvl w:val="0"/>
          <w:numId w:val="7"/>
        </w:numPr>
      </w:pPr>
      <w:r w:rsidRPr="0034200E">
        <w:rPr>
          <w:b/>
          <w:bCs/>
        </w:rPr>
        <w:t>Supervised Learning</w:t>
      </w:r>
      <w:r w:rsidRPr="0034200E">
        <w:t>: Classifiers trained on historical labeled data.</w:t>
      </w:r>
    </w:p>
    <w:p w14:paraId="52E9C960" w14:textId="77777777" w:rsidR="0034200E" w:rsidRPr="0034200E" w:rsidRDefault="0034200E" w:rsidP="0034200E">
      <w:pPr>
        <w:numPr>
          <w:ilvl w:val="0"/>
          <w:numId w:val="7"/>
        </w:numPr>
      </w:pPr>
      <w:r w:rsidRPr="0034200E">
        <w:rPr>
          <w:b/>
          <w:bCs/>
        </w:rPr>
        <w:t>Time Series Analysis</w:t>
      </w:r>
      <w:r w:rsidRPr="0034200E">
        <w:t>: Using Prophet or LSTM networks to predict metric trends and detect deviations.</w:t>
      </w:r>
    </w:p>
    <w:p w14:paraId="6DDF465B" w14:textId="77777777" w:rsidR="0034200E" w:rsidRPr="0034200E" w:rsidRDefault="0034200E" w:rsidP="0034200E">
      <w:pPr>
        <w:pStyle w:val="4"/>
      </w:pPr>
      <w:r w:rsidRPr="0034200E">
        <w:t>5.3.3 Automated Root Cause Analysis</w:t>
      </w:r>
    </w:p>
    <w:p w14:paraId="299B1323" w14:textId="77777777" w:rsidR="0034200E" w:rsidRPr="0034200E" w:rsidRDefault="0034200E" w:rsidP="0034200E">
      <w:r w:rsidRPr="0034200E">
        <w:t>When anomalies are detected, the platform automatically executes root cause analysis:</w:t>
      </w:r>
    </w:p>
    <w:p w14:paraId="3D39E5C7" w14:textId="77777777" w:rsidR="0034200E" w:rsidRPr="0034200E" w:rsidRDefault="0034200E" w:rsidP="0034200E">
      <w:pPr>
        <w:numPr>
          <w:ilvl w:val="0"/>
          <w:numId w:val="8"/>
        </w:numPr>
      </w:pPr>
      <w:r w:rsidRPr="0034200E">
        <w:rPr>
          <w:b/>
          <w:bCs/>
        </w:rPr>
        <w:t>Correlation Analysis</w:t>
      </w:r>
      <w:r w:rsidRPr="0034200E">
        <w:t>: Identifying services and metrics highly correlated with anomalies.</w:t>
      </w:r>
    </w:p>
    <w:p w14:paraId="7130E8BE" w14:textId="77777777" w:rsidR="0034200E" w:rsidRPr="0034200E" w:rsidRDefault="0034200E" w:rsidP="0034200E">
      <w:pPr>
        <w:numPr>
          <w:ilvl w:val="0"/>
          <w:numId w:val="8"/>
        </w:numPr>
      </w:pPr>
      <w:r w:rsidRPr="0034200E">
        <w:rPr>
          <w:b/>
          <w:bCs/>
        </w:rPr>
        <w:t>Dependency Graph Traversal</w:t>
      </w:r>
      <w:r w:rsidRPr="0034200E">
        <w:t>: Locating problem sources based on service dependency graphs.</w:t>
      </w:r>
    </w:p>
    <w:p w14:paraId="7C5DBEF9" w14:textId="77777777" w:rsidR="0034200E" w:rsidRPr="0034200E" w:rsidRDefault="0034200E" w:rsidP="0034200E">
      <w:pPr>
        <w:numPr>
          <w:ilvl w:val="0"/>
          <w:numId w:val="8"/>
        </w:numPr>
      </w:pPr>
      <w:r w:rsidRPr="0034200E">
        <w:rPr>
          <w:b/>
          <w:bCs/>
        </w:rPr>
        <w:t>Change Association</w:t>
      </w:r>
      <w:r w:rsidRPr="0034200E">
        <w:t>: Correlating anomalies with recent configuration changes or deployments.</w:t>
      </w:r>
    </w:p>
    <w:p w14:paraId="337463B3" w14:textId="77777777" w:rsidR="0034200E" w:rsidRPr="0034200E" w:rsidRDefault="0034200E" w:rsidP="0034200E">
      <w:pPr>
        <w:numPr>
          <w:ilvl w:val="0"/>
          <w:numId w:val="8"/>
        </w:numPr>
      </w:pPr>
      <w:r w:rsidRPr="0034200E">
        <w:rPr>
          <w:b/>
          <w:bCs/>
        </w:rPr>
        <w:lastRenderedPageBreak/>
        <w:t>Impact Assessment</w:t>
      </w:r>
      <w:r w:rsidRPr="0034200E">
        <w:t>: Determining the scope and severity of anomaly impact on business operations.</w:t>
      </w:r>
    </w:p>
    <w:p w14:paraId="13218CA4" w14:textId="77777777" w:rsidR="0034200E" w:rsidRPr="0034200E" w:rsidRDefault="0034200E" w:rsidP="0034200E">
      <w:pPr>
        <w:pStyle w:val="3"/>
      </w:pPr>
      <w:r w:rsidRPr="0034200E">
        <w:t>5.4 Experimental Evaluation</w:t>
      </w:r>
    </w:p>
    <w:p w14:paraId="091D356A" w14:textId="77777777" w:rsidR="0034200E" w:rsidRPr="0034200E" w:rsidRDefault="0034200E" w:rsidP="003B0088">
      <w:pPr>
        <w:ind w:firstLineChars="200" w:firstLine="420"/>
      </w:pPr>
      <w:r w:rsidRPr="0034200E">
        <w:t>We deployed the open-source microservices benchmark application Online Boutique on a Kubernetes cluster, injected various types of faults (memory leaks, network latency, service crashes), and evaluated the effectiveness of the intelligent observability platform. The experiment compared traditional monitoring solutions (</w:t>
      </w:r>
      <w:proofErr w:type="spellStart"/>
      <w:r w:rsidRPr="0034200E">
        <w:t>Prometheus+Grafana</w:t>
      </w:r>
      <w:proofErr w:type="spellEnd"/>
      <w:r w:rsidRPr="0034200E">
        <w:t xml:space="preserve">) with the intelligent observability platform (based on </w:t>
      </w:r>
      <w:proofErr w:type="spellStart"/>
      <w:r w:rsidRPr="0034200E">
        <w:t>OpenTelemetry</w:t>
      </w:r>
      <w:proofErr w:type="spellEnd"/>
      <w:r w:rsidRPr="0034200E">
        <w:t xml:space="preserve"> and machine learning) regarding fault detection and diagnosis performance.</w:t>
      </w:r>
    </w:p>
    <w:p w14:paraId="16F09885" w14:textId="44D38633" w:rsidR="0034200E" w:rsidRPr="0034200E" w:rsidRDefault="00B24CA9" w:rsidP="0034200E">
      <w:r w:rsidRPr="00B24CA9">
        <w:drawing>
          <wp:inline distT="0" distB="0" distL="0" distR="0" wp14:anchorId="01D0204F" wp14:editId="27AEF887">
            <wp:extent cx="5274310" cy="2350770"/>
            <wp:effectExtent l="0" t="0" r="2540" b="0"/>
            <wp:docPr id="371696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6246" name=""/>
                    <pic:cNvPicPr/>
                  </pic:nvPicPr>
                  <pic:blipFill>
                    <a:blip r:embed="rId9"/>
                    <a:stretch>
                      <a:fillRect/>
                    </a:stretch>
                  </pic:blipFill>
                  <pic:spPr>
                    <a:xfrm>
                      <a:off x="0" y="0"/>
                      <a:ext cx="5274310" cy="2350770"/>
                    </a:xfrm>
                    <a:prstGeom prst="rect">
                      <a:avLst/>
                    </a:prstGeom>
                  </pic:spPr>
                </pic:pic>
              </a:graphicData>
            </a:graphic>
          </wp:inline>
        </w:drawing>
      </w:r>
      <w:r w:rsidR="0034200E" w:rsidRPr="0034200E">
        <w:t>Experimental results demonstrate that the intelligent observability platform significantly outperforms traditional approaches in fault detection time, root cause localization accuracy, and automated remediation success rate, validating the value of AI-enhanced approaches in observability.</w:t>
      </w:r>
    </w:p>
    <w:p w14:paraId="2717E110" w14:textId="77777777" w:rsidR="0034200E" w:rsidRPr="0034200E" w:rsidRDefault="0034200E" w:rsidP="0034200E">
      <w:r w:rsidRPr="0034200E">
        <w:pict w14:anchorId="73D4E1B2">
          <v:rect id="_x0000_i1091" style="width:0;height:1.5pt" o:hralign="center" o:hrstd="t" o:hrnoshade="t" o:hr="t" fillcolor="#1f2329" stroked="f"/>
        </w:pict>
      </w:r>
    </w:p>
    <w:p w14:paraId="5A21E5DF" w14:textId="77777777" w:rsidR="0034200E" w:rsidRPr="0034200E" w:rsidRDefault="0034200E" w:rsidP="0034200E">
      <w:pPr>
        <w:pStyle w:val="2"/>
      </w:pPr>
      <w:r w:rsidRPr="0034200E">
        <w:t>6 Sustainable Cloud-Native Computing Framework</w:t>
      </w:r>
    </w:p>
    <w:p w14:paraId="617C8BA7" w14:textId="77777777" w:rsidR="0034200E" w:rsidRPr="0034200E" w:rsidRDefault="0034200E" w:rsidP="0034200E">
      <w:pPr>
        <w:pStyle w:val="3"/>
      </w:pPr>
      <w:r w:rsidRPr="0034200E">
        <w:t>6.1 Importance of Sustainable Computing</w:t>
      </w:r>
    </w:p>
    <w:p w14:paraId="0206783D" w14:textId="77777777" w:rsidR="0034200E" w:rsidRPr="0034200E" w:rsidRDefault="0034200E" w:rsidP="003B0088">
      <w:pPr>
        <w:ind w:firstLineChars="200" w:firstLine="420"/>
      </w:pPr>
      <w:r w:rsidRPr="0034200E">
        <w:t xml:space="preserve">With the rapid growth of cloud computing, its energy consumption and carbon footprint have become significant concerns. Research indicates that global data center energy consumption accounts for approximately 1-2% of worldwide electricity usage, and this proportion continues to rise. Sustainable cloud-native computing aims to reduce the </w:t>
      </w:r>
      <w:r w:rsidRPr="0034200E">
        <w:rPr>
          <w:b/>
          <w:bCs/>
        </w:rPr>
        <w:t>energy consumption</w:t>
      </w:r>
      <w:r w:rsidRPr="0034200E">
        <w:t xml:space="preserve"> and </w:t>
      </w:r>
      <w:r w:rsidRPr="0034200E">
        <w:rPr>
          <w:b/>
          <w:bCs/>
        </w:rPr>
        <w:t>environmental impact</w:t>
      </w:r>
      <w:r w:rsidRPr="0034200E">
        <w:t xml:space="preserve"> of cloud workloads through technological means.</w:t>
      </w:r>
    </w:p>
    <w:p w14:paraId="4D3F6538" w14:textId="77777777" w:rsidR="0034200E" w:rsidRPr="0034200E" w:rsidRDefault="0034200E" w:rsidP="0034200E">
      <w:pPr>
        <w:pStyle w:val="3"/>
      </w:pPr>
      <w:r w:rsidRPr="0034200E">
        <w:t>6.2 Sustainability Assessment Metrics</w:t>
      </w:r>
    </w:p>
    <w:p w14:paraId="141B03DE" w14:textId="77777777" w:rsidR="0034200E" w:rsidRPr="0034200E" w:rsidRDefault="0034200E" w:rsidP="003B0088">
      <w:pPr>
        <w:ind w:firstLineChars="200" w:firstLine="420"/>
      </w:pPr>
      <w:r w:rsidRPr="0034200E">
        <w:t xml:space="preserve">The sustainable cloud-native computing framework evaluates the environmental impact </w:t>
      </w:r>
      <w:r w:rsidRPr="0034200E">
        <w:lastRenderedPageBreak/>
        <w:t>of workloads based on the following core metrics:</w:t>
      </w:r>
    </w:p>
    <w:p w14:paraId="6B70230E" w14:textId="77777777" w:rsidR="0034200E" w:rsidRPr="0034200E" w:rsidRDefault="0034200E" w:rsidP="0034200E">
      <w:pPr>
        <w:numPr>
          <w:ilvl w:val="0"/>
          <w:numId w:val="9"/>
        </w:numPr>
      </w:pPr>
      <w:r w:rsidRPr="0034200E">
        <w:rPr>
          <w:b/>
          <w:bCs/>
        </w:rPr>
        <w:t>Energy Efficiency</w:t>
      </w:r>
      <w:r w:rsidRPr="0034200E">
        <w:t>: Energy consumption per unit of computational task.</w:t>
      </w:r>
    </w:p>
    <w:p w14:paraId="47FDADE5" w14:textId="77777777" w:rsidR="0034200E" w:rsidRPr="0034200E" w:rsidRDefault="0034200E" w:rsidP="0034200E">
      <w:pPr>
        <w:numPr>
          <w:ilvl w:val="0"/>
          <w:numId w:val="9"/>
        </w:numPr>
      </w:pPr>
      <w:r w:rsidRPr="0034200E">
        <w:rPr>
          <w:b/>
          <w:bCs/>
        </w:rPr>
        <w:t>Carbon Intensity</w:t>
      </w:r>
      <w:r w:rsidRPr="0034200E">
        <w:t>: Carbon emissions per unit of energy consumption.</w:t>
      </w:r>
    </w:p>
    <w:p w14:paraId="6A0513EA" w14:textId="77777777" w:rsidR="0034200E" w:rsidRPr="0034200E" w:rsidRDefault="0034200E" w:rsidP="0034200E">
      <w:pPr>
        <w:numPr>
          <w:ilvl w:val="0"/>
          <w:numId w:val="9"/>
        </w:numPr>
      </w:pPr>
      <w:r w:rsidRPr="0034200E">
        <w:rPr>
          <w:b/>
          <w:bCs/>
        </w:rPr>
        <w:t>Resource Utilization</w:t>
      </w:r>
      <w:r w:rsidRPr="0034200E">
        <w:t>: Effective utilization rates of resources such as CPU and memory.</w:t>
      </w:r>
    </w:p>
    <w:p w14:paraId="5FD9DD29" w14:textId="77777777" w:rsidR="0034200E" w:rsidRPr="0034200E" w:rsidRDefault="0034200E" w:rsidP="0034200E">
      <w:pPr>
        <w:numPr>
          <w:ilvl w:val="0"/>
          <w:numId w:val="9"/>
        </w:numPr>
      </w:pPr>
      <w:r w:rsidRPr="0034200E">
        <w:rPr>
          <w:b/>
          <w:bCs/>
        </w:rPr>
        <w:t>Idle Resources</w:t>
      </w:r>
      <w:r w:rsidRPr="0034200E">
        <w:t>: Proportion of allocated but unused resources.</w:t>
      </w:r>
    </w:p>
    <w:p w14:paraId="44064FFA" w14:textId="77777777" w:rsidR="0034200E" w:rsidRPr="0034200E" w:rsidRDefault="0034200E" w:rsidP="0034200E">
      <w:pPr>
        <w:numPr>
          <w:ilvl w:val="0"/>
          <w:numId w:val="9"/>
        </w:numPr>
      </w:pPr>
      <w:r w:rsidRPr="0034200E">
        <w:rPr>
          <w:b/>
          <w:bCs/>
        </w:rPr>
        <w:t>Workload Density</w:t>
      </w:r>
      <w:r w:rsidRPr="0034200E">
        <w:t>: Number of application instances per physical node.</w:t>
      </w:r>
    </w:p>
    <w:p w14:paraId="4136FABE" w14:textId="77777777" w:rsidR="0034200E" w:rsidRPr="0034200E" w:rsidRDefault="0034200E" w:rsidP="0034200E">
      <w:pPr>
        <w:pStyle w:val="3"/>
      </w:pPr>
      <w:r w:rsidRPr="0034200E">
        <w:t>6.3 Sustainable Optimization Strategies</w:t>
      </w:r>
    </w:p>
    <w:p w14:paraId="753E2B74" w14:textId="77777777" w:rsidR="0034200E" w:rsidRPr="0034200E" w:rsidRDefault="0034200E" w:rsidP="003B0088">
      <w:pPr>
        <w:ind w:firstLineChars="200" w:firstLine="420"/>
      </w:pPr>
      <w:r w:rsidRPr="0034200E">
        <w:t>Based on tools and practices within the CNCF ecosystem, we propose the following sustainable optimization strategies:</w:t>
      </w:r>
    </w:p>
    <w:p w14:paraId="6D15F893" w14:textId="77777777" w:rsidR="0034200E" w:rsidRPr="0034200E" w:rsidRDefault="0034200E" w:rsidP="0034200E">
      <w:pPr>
        <w:pStyle w:val="4"/>
      </w:pPr>
      <w:r w:rsidRPr="0034200E">
        <w:t>6.3.1 Energy-Efficiency-Aware Scheduling</w:t>
      </w:r>
    </w:p>
    <w:p w14:paraId="7EEE0DEB" w14:textId="77777777" w:rsidR="0034200E" w:rsidRPr="0034200E" w:rsidRDefault="0034200E" w:rsidP="003B0088">
      <w:pPr>
        <w:ind w:firstLineChars="200" w:firstLine="420"/>
      </w:pPr>
      <w:r w:rsidRPr="0034200E">
        <w:t>Extend the Kubernetes scheduler to consider nodes' energy efficiency characteristics during decision-making. High-efficiency nodes are prioritized for workload scheduling, especially when renewable energy is available. This functionality can be implemented through custom scheduler plugins in Kubernetes's scheduling framework.</w:t>
      </w:r>
    </w:p>
    <w:p w14:paraId="0D98ED94" w14:textId="77777777" w:rsidR="0034200E" w:rsidRPr="0034200E" w:rsidRDefault="0034200E" w:rsidP="0034200E">
      <w:pPr>
        <w:pStyle w:val="4"/>
      </w:pPr>
      <w:r w:rsidRPr="0034200E">
        <w:t>6.3.2 Intelligent Scaling</w:t>
      </w:r>
    </w:p>
    <w:p w14:paraId="3EDF0E53" w14:textId="77777777" w:rsidR="0034200E" w:rsidRPr="0034200E" w:rsidRDefault="0034200E" w:rsidP="003B0088">
      <w:pPr>
        <w:ind w:firstLineChars="200" w:firstLine="420"/>
      </w:pPr>
      <w:r w:rsidRPr="0034200E">
        <w:t xml:space="preserve">Scale based on actual demand rather than over-provisioning. Use Kubernetes's HPA (Horizontal Pod </w:t>
      </w:r>
      <w:proofErr w:type="spellStart"/>
      <w:r w:rsidRPr="0034200E">
        <w:t>Autoscaler</w:t>
      </w:r>
      <w:proofErr w:type="spellEnd"/>
      <w:r w:rsidRPr="0034200E">
        <w:t xml:space="preserve">) and VPA (Vertical Pod </w:t>
      </w:r>
      <w:proofErr w:type="spellStart"/>
      <w:r w:rsidRPr="0034200E">
        <w:t>Autoscaler</w:t>
      </w:r>
      <w:proofErr w:type="spellEnd"/>
      <w:r w:rsidRPr="0034200E">
        <w:t>), combined with application load patterns and energy efficiency data, to achieve fine-grained resource allocation. The key is balancing performance SLAs with energy efficiency.</w:t>
      </w:r>
    </w:p>
    <w:p w14:paraId="0E354B8A" w14:textId="77777777" w:rsidR="0034200E" w:rsidRPr="0034200E" w:rsidRDefault="0034200E" w:rsidP="0034200E">
      <w:pPr>
        <w:pStyle w:val="4"/>
      </w:pPr>
      <w:r w:rsidRPr="0034200E">
        <w:t>6.3.3 Workload Consolidation</w:t>
      </w:r>
    </w:p>
    <w:p w14:paraId="2D9FA841" w14:textId="77777777" w:rsidR="0034200E" w:rsidRPr="0034200E" w:rsidRDefault="0034200E" w:rsidP="003B0088">
      <w:pPr>
        <w:ind w:firstLineChars="200" w:firstLine="420"/>
      </w:pPr>
      <w:r w:rsidRPr="0034200E">
        <w:t xml:space="preserve">Reduce active node count by improving resource utilization. Use tools like </w:t>
      </w:r>
      <w:proofErr w:type="spellStart"/>
      <w:r w:rsidRPr="0034200E">
        <w:t>Descheduler</w:t>
      </w:r>
      <w:proofErr w:type="spellEnd"/>
      <w:r w:rsidRPr="0034200E">
        <w:t xml:space="preserve"> to periodically rebalance workloads, freeing up low-utilization nodes for shutdown or power-saving modes. Research indicates reasonable consolidation strategies can reduce energy consumption by 15-30%.</w:t>
      </w:r>
    </w:p>
    <w:p w14:paraId="61068527" w14:textId="77777777" w:rsidR="0034200E" w:rsidRPr="0034200E" w:rsidRDefault="0034200E" w:rsidP="0034200E">
      <w:pPr>
        <w:pStyle w:val="4"/>
      </w:pPr>
      <w:r w:rsidRPr="0034200E">
        <w:t>6.3.4 Carbon-Aware Computing</w:t>
      </w:r>
    </w:p>
    <w:p w14:paraId="522F0434" w14:textId="77777777" w:rsidR="0034200E" w:rsidRPr="0034200E" w:rsidRDefault="0034200E" w:rsidP="003B0088">
      <w:pPr>
        <w:ind w:firstLineChars="200" w:firstLine="420"/>
      </w:pPr>
      <w:r w:rsidRPr="0034200E">
        <w:t>Schedule computational tasks considering the carbon intensity of power sources. Schedule compute-intensive tasks when renewable energy is abundant (e.g., solar power during daytime) and reduce non-essential computation when carbon intensity is high. Tools like Cloud Carbon Footprint can provide carbon intensity data.</w:t>
      </w:r>
    </w:p>
    <w:p w14:paraId="70C13354" w14:textId="77777777" w:rsidR="0034200E" w:rsidRPr="0034200E" w:rsidRDefault="0034200E" w:rsidP="0034200E">
      <w:pPr>
        <w:pStyle w:val="3"/>
      </w:pPr>
      <w:r w:rsidRPr="0034200E">
        <w:t>6.4 Implementation Framework</w:t>
      </w:r>
    </w:p>
    <w:p w14:paraId="3EDB01B2" w14:textId="77777777" w:rsidR="0034200E" w:rsidRDefault="0034200E" w:rsidP="003B0088">
      <w:r w:rsidRPr="0034200E">
        <w:t>Based on CNCF projects, we design a sustainable cloud-native computing implementation framework (Figure 3):</w:t>
      </w:r>
    </w:p>
    <w:p w14:paraId="225ED394" w14:textId="17EFD3A1" w:rsidR="003B0088" w:rsidRPr="0034200E" w:rsidRDefault="003B0088" w:rsidP="003B0088">
      <w:r w:rsidRPr="003B0088">
        <w:lastRenderedPageBreak/>
        <w:drawing>
          <wp:inline distT="0" distB="0" distL="0" distR="0" wp14:anchorId="66967C29" wp14:editId="2A3F5E2D">
            <wp:extent cx="5274310" cy="3371850"/>
            <wp:effectExtent l="0" t="0" r="2540" b="0"/>
            <wp:docPr id="2051275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75153" name=""/>
                    <pic:cNvPicPr/>
                  </pic:nvPicPr>
                  <pic:blipFill>
                    <a:blip r:embed="rId10"/>
                    <a:stretch>
                      <a:fillRect/>
                    </a:stretch>
                  </pic:blipFill>
                  <pic:spPr>
                    <a:xfrm>
                      <a:off x="0" y="0"/>
                      <a:ext cx="5274310" cy="3371850"/>
                    </a:xfrm>
                    <a:prstGeom prst="rect">
                      <a:avLst/>
                    </a:prstGeom>
                  </pic:spPr>
                </pic:pic>
              </a:graphicData>
            </a:graphic>
          </wp:inline>
        </w:drawing>
      </w:r>
    </w:p>
    <w:p w14:paraId="25EBF2C4" w14:textId="118BA13A" w:rsidR="0034200E" w:rsidRPr="0034200E" w:rsidRDefault="0034200E" w:rsidP="0034200E">
      <w:pPr>
        <w:pStyle w:val="3"/>
      </w:pPr>
      <w:r w:rsidRPr="0034200E">
        <w:t>6.5 Case Study: Sustainable Optimization of E-commerce Platform</w:t>
      </w:r>
    </w:p>
    <w:p w14:paraId="67CCFD47" w14:textId="77777777" w:rsidR="0034200E" w:rsidRPr="0034200E" w:rsidRDefault="0034200E" w:rsidP="003B0088">
      <w:pPr>
        <w:ind w:firstLineChars="200" w:firstLine="420"/>
      </w:pPr>
      <w:r w:rsidRPr="0034200E">
        <w:t>We collaborated with a medium-sized e-commerce platform to conduct sustainable optimization of its cloud-native applications. The platform runs on AWS, comprises over 300 microservices, and is deployed on EKS (Kubernetes Service) clusters.</w:t>
      </w:r>
    </w:p>
    <w:p w14:paraId="3E1D6FD9" w14:textId="77777777" w:rsidR="0034200E" w:rsidRPr="0034200E" w:rsidRDefault="0034200E" w:rsidP="0034200E">
      <w:r w:rsidRPr="0034200E">
        <w:t>Before optimization, the cluster averaged 22% CPU utilization and 35% memory utilization, indicating significant resource waste. Through implementation of sustainable optimization strategies:</w:t>
      </w:r>
    </w:p>
    <w:p w14:paraId="0A58B69F" w14:textId="77777777" w:rsidR="0034200E" w:rsidRPr="0034200E" w:rsidRDefault="0034200E" w:rsidP="0034200E">
      <w:pPr>
        <w:numPr>
          <w:ilvl w:val="0"/>
          <w:numId w:val="10"/>
        </w:numPr>
      </w:pPr>
      <w:r w:rsidRPr="0034200E">
        <w:rPr>
          <w:b/>
          <w:bCs/>
        </w:rPr>
        <w:t>Workload Consolidation</w:t>
      </w:r>
      <w:r w:rsidRPr="0034200E">
        <w:t>: Reduced node count from 85 to 62, increasing average CPU utilization to 38%.</w:t>
      </w:r>
    </w:p>
    <w:p w14:paraId="08629CA0" w14:textId="77777777" w:rsidR="0034200E" w:rsidRPr="0034200E" w:rsidRDefault="0034200E" w:rsidP="0034200E">
      <w:pPr>
        <w:numPr>
          <w:ilvl w:val="0"/>
          <w:numId w:val="10"/>
        </w:numPr>
      </w:pPr>
      <w:r w:rsidRPr="0034200E">
        <w:rPr>
          <w:b/>
          <w:bCs/>
        </w:rPr>
        <w:t>Energy-Efficiency-Aware Scheduling</w:t>
      </w:r>
      <w:r w:rsidRPr="0034200E">
        <w:t>: Prioritized ARM-based Graviton instances, which offer 40% better energy efficiency than x86 instances.</w:t>
      </w:r>
    </w:p>
    <w:p w14:paraId="4A1F55B4" w14:textId="77777777" w:rsidR="0034200E" w:rsidRPr="0034200E" w:rsidRDefault="0034200E" w:rsidP="0034200E">
      <w:pPr>
        <w:numPr>
          <w:ilvl w:val="0"/>
          <w:numId w:val="10"/>
        </w:numPr>
      </w:pPr>
      <w:r w:rsidRPr="0034200E">
        <w:rPr>
          <w:b/>
          <w:bCs/>
        </w:rPr>
        <w:t>Intelligent Scaling</w:t>
      </w:r>
      <w:r w:rsidRPr="0034200E">
        <w:t>: Adjusted HPA parameters based on actual traffic patterns to reduce over-provisioning.</w:t>
      </w:r>
    </w:p>
    <w:p w14:paraId="2F27C158" w14:textId="77777777" w:rsidR="0034200E" w:rsidRPr="0034200E" w:rsidRDefault="0034200E" w:rsidP="0034200E">
      <w:pPr>
        <w:numPr>
          <w:ilvl w:val="0"/>
          <w:numId w:val="10"/>
        </w:numPr>
      </w:pPr>
      <w:r w:rsidRPr="0034200E">
        <w:rPr>
          <w:b/>
          <w:bCs/>
        </w:rPr>
        <w:t>Carbon-Aware Computing</w:t>
      </w:r>
      <w:r w:rsidRPr="0034200E">
        <w:t>: Deployed workloads in AWS regions with lower carbon intensity (higher renewable energy usage).</w:t>
      </w:r>
    </w:p>
    <w:p w14:paraId="2331167A" w14:textId="77777777" w:rsidR="0034200E" w:rsidRPr="0034200E" w:rsidRDefault="0034200E" w:rsidP="0034200E">
      <w:r w:rsidRPr="0034200E">
        <w:t>Table 4 shows comparison of key metrics before and after optimization:</w:t>
      </w:r>
    </w:p>
    <w:p w14:paraId="7FC95019" w14:textId="7649CDDA" w:rsidR="0034200E" w:rsidRPr="0034200E" w:rsidRDefault="003B0088" w:rsidP="003B0088">
      <w:r w:rsidRPr="003B0088">
        <w:rPr>
          <w:b/>
          <w:bCs/>
        </w:rPr>
        <w:lastRenderedPageBreak/>
        <w:drawing>
          <wp:inline distT="0" distB="0" distL="0" distR="0" wp14:anchorId="086B1484" wp14:editId="0C8CFEA4">
            <wp:extent cx="5274310" cy="2864485"/>
            <wp:effectExtent l="0" t="0" r="2540" b="0"/>
            <wp:docPr id="1383667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7457" name=""/>
                    <pic:cNvPicPr/>
                  </pic:nvPicPr>
                  <pic:blipFill>
                    <a:blip r:embed="rId11"/>
                    <a:stretch>
                      <a:fillRect/>
                    </a:stretch>
                  </pic:blipFill>
                  <pic:spPr>
                    <a:xfrm>
                      <a:off x="0" y="0"/>
                      <a:ext cx="5274310" cy="2864485"/>
                    </a:xfrm>
                    <a:prstGeom prst="rect">
                      <a:avLst/>
                    </a:prstGeom>
                  </pic:spPr>
                </pic:pic>
              </a:graphicData>
            </a:graphic>
          </wp:inline>
        </w:drawing>
      </w:r>
      <w:r w:rsidR="0034200E" w:rsidRPr="0034200E">
        <w:t>Results demonstrate that sustainable optimization not only reduced energy consumption by 32% and carbon footprint by 41%, but also lowered cloud costs by 27% while maintaining application performance. This validates the dual economic and environmental value of sustainable cloud-native computing.</w:t>
      </w:r>
    </w:p>
    <w:p w14:paraId="6912D7E6" w14:textId="77777777" w:rsidR="0034200E" w:rsidRPr="0034200E" w:rsidRDefault="0034200E" w:rsidP="0034200E">
      <w:r w:rsidRPr="0034200E">
        <w:pict w14:anchorId="48E34D52">
          <v:rect id="_x0000_i1092" style="width:0;height:1.5pt" o:hralign="center" o:hrstd="t" o:hrnoshade="t" o:hr="t" fillcolor="#1f2329" stroked="f"/>
        </w:pict>
      </w:r>
    </w:p>
    <w:p w14:paraId="12F18679" w14:textId="77777777" w:rsidR="0034200E" w:rsidRPr="0034200E" w:rsidRDefault="0034200E" w:rsidP="0034200E">
      <w:pPr>
        <w:pStyle w:val="2"/>
      </w:pPr>
      <w:r w:rsidRPr="0034200E">
        <w:t>7 Discussion and Challenges</w:t>
      </w:r>
    </w:p>
    <w:p w14:paraId="56C0835B" w14:textId="77777777" w:rsidR="0034200E" w:rsidRPr="0034200E" w:rsidRDefault="0034200E" w:rsidP="0034200E">
      <w:pPr>
        <w:pStyle w:val="3"/>
      </w:pPr>
      <w:r w:rsidRPr="0034200E">
        <w:t>7.1 Complexity of Technological Convergence</w:t>
      </w:r>
    </w:p>
    <w:p w14:paraId="327C2B20" w14:textId="77777777" w:rsidR="0034200E" w:rsidRPr="0034200E" w:rsidRDefault="0034200E" w:rsidP="003B0088">
      <w:pPr>
        <w:ind w:firstLineChars="200" w:firstLine="420"/>
      </w:pPr>
      <w:r w:rsidRPr="0034200E">
        <w:t xml:space="preserve">The rapid development of cloud-native technologies has resulted in a highly complex ecosystem. </w:t>
      </w:r>
      <w:r w:rsidRPr="0034200E">
        <w:rPr>
          <w:b/>
          <w:bCs/>
        </w:rPr>
        <w:t>Integration challenges</w:t>
      </w:r>
      <w:r w:rsidRPr="0034200E">
        <w:t xml:space="preserve">, </w:t>
      </w:r>
      <w:r w:rsidRPr="0034200E">
        <w:rPr>
          <w:b/>
          <w:bCs/>
        </w:rPr>
        <w:t>API inconsistencies</w:t>
      </w:r>
      <w:r w:rsidRPr="0034200E">
        <w:t xml:space="preserve">, and </w:t>
      </w:r>
      <w:r w:rsidRPr="0034200E">
        <w:rPr>
          <w:b/>
          <w:bCs/>
        </w:rPr>
        <w:t>compatibility issues</w:t>
      </w:r>
      <w:r w:rsidRPr="0034200E">
        <w:t xml:space="preserve"> between technology stacks have become major obstacles in practical deployments. For example, while service mesh and API gateway convergence offers theoretical advantages, practical implementation faces challenges in control plane integration, policy unification, and security model coordination.</w:t>
      </w:r>
    </w:p>
    <w:p w14:paraId="608F4822" w14:textId="77777777" w:rsidR="0034200E" w:rsidRPr="0034200E" w:rsidRDefault="0034200E" w:rsidP="0034200E">
      <w:pPr>
        <w:pStyle w:val="3"/>
      </w:pPr>
      <w:r w:rsidRPr="0034200E">
        <w:t>7.2 Specificity of Edge Environments</w:t>
      </w:r>
    </w:p>
    <w:p w14:paraId="73CF3490" w14:textId="77777777" w:rsidR="0034200E" w:rsidRPr="0034200E" w:rsidRDefault="0034200E" w:rsidP="003B0088">
      <w:pPr>
        <w:ind w:firstLineChars="200" w:firstLine="420"/>
      </w:pPr>
      <w:r w:rsidRPr="0034200E">
        <w:t xml:space="preserve">Edge-native cloud faces unique challenges: </w:t>
      </w:r>
      <w:r w:rsidRPr="0034200E">
        <w:rPr>
          <w:b/>
          <w:bCs/>
        </w:rPr>
        <w:t>unpredictable network conditions</w:t>
      </w:r>
      <w:r w:rsidRPr="0034200E">
        <w:t xml:space="preserve">, </w:t>
      </w:r>
      <w:r w:rsidRPr="0034200E">
        <w:rPr>
          <w:b/>
          <w:bCs/>
        </w:rPr>
        <w:t>high device heterogeneity</w:t>
      </w:r>
      <w:r w:rsidRPr="0034200E">
        <w:t xml:space="preserve">, and </w:t>
      </w:r>
      <w:r w:rsidRPr="0034200E">
        <w:rPr>
          <w:b/>
          <w:bCs/>
        </w:rPr>
        <w:t>ambiguous security boundaries</w:t>
      </w:r>
      <w:r w:rsidRPr="0034200E">
        <w:t xml:space="preserve">. Current solutions like </w:t>
      </w:r>
      <w:proofErr w:type="spellStart"/>
      <w:r w:rsidRPr="0034200E">
        <w:t>KubeEdge</w:t>
      </w:r>
      <w:proofErr w:type="spellEnd"/>
      <w:r w:rsidRPr="0034200E">
        <w:t xml:space="preserve"> and </w:t>
      </w:r>
      <w:proofErr w:type="spellStart"/>
      <w:r w:rsidRPr="0034200E">
        <w:t>OpenYurt</w:t>
      </w:r>
      <w:proofErr w:type="spellEnd"/>
      <w:r w:rsidRPr="0034200E">
        <w:t xml:space="preserve"> provide foundational frameworks but require further improvement in areas such as large-scale deployment, automated operations, and edge intelligence.</w:t>
      </w:r>
    </w:p>
    <w:p w14:paraId="6F206DF3" w14:textId="77777777" w:rsidR="0034200E" w:rsidRPr="0034200E" w:rsidRDefault="0034200E" w:rsidP="0034200E">
      <w:pPr>
        <w:pStyle w:val="3"/>
      </w:pPr>
      <w:r w:rsidRPr="0034200E">
        <w:t>7.3 Trustworthiness of Intelligent Observability</w:t>
      </w:r>
    </w:p>
    <w:p w14:paraId="4A26E402" w14:textId="77777777" w:rsidR="0034200E" w:rsidRPr="0034200E" w:rsidRDefault="0034200E" w:rsidP="003B0088">
      <w:pPr>
        <w:ind w:firstLineChars="200" w:firstLine="420"/>
      </w:pPr>
      <w:r w:rsidRPr="0034200E">
        <w:t xml:space="preserve">While AI-enhanced observability platforms improve fault detection and diagnosis efficiency, they also introduce new problems: </w:t>
      </w:r>
      <w:r w:rsidRPr="0034200E">
        <w:rPr>
          <w:b/>
          <w:bCs/>
        </w:rPr>
        <w:t>algorithmic black boxes</w:t>
      </w:r>
      <w:r w:rsidRPr="0034200E">
        <w:t xml:space="preserve">, </w:t>
      </w:r>
      <w:r w:rsidRPr="0034200E">
        <w:rPr>
          <w:b/>
          <w:bCs/>
        </w:rPr>
        <w:t>false positive explanations</w:t>
      </w:r>
      <w:r w:rsidRPr="0034200E">
        <w:t xml:space="preserve">, and </w:t>
      </w:r>
      <w:r w:rsidRPr="0034200E">
        <w:rPr>
          <w:b/>
          <w:bCs/>
        </w:rPr>
        <w:t>data privacy concerns</w:t>
      </w:r>
      <w:r w:rsidRPr="0034200E">
        <w:t xml:space="preserve">. User trust in AI decisions depends on system </w:t>
      </w:r>
      <w:r w:rsidRPr="0034200E">
        <w:lastRenderedPageBreak/>
        <w:t>transparency and explainability, which represent key issues current intelligent observability platforms need to address.</w:t>
      </w:r>
    </w:p>
    <w:p w14:paraId="51060DBF" w14:textId="77777777" w:rsidR="0034200E" w:rsidRPr="0034200E" w:rsidRDefault="0034200E" w:rsidP="0034200E">
      <w:pPr>
        <w:pStyle w:val="3"/>
      </w:pPr>
      <w:r w:rsidRPr="0034200E">
        <w:t>7.4 Measurement Standards for Sustainable Computing</w:t>
      </w:r>
    </w:p>
    <w:p w14:paraId="704A3D3D" w14:textId="77777777" w:rsidR="0034200E" w:rsidRPr="0034200E" w:rsidRDefault="0034200E" w:rsidP="003B0088">
      <w:pPr>
        <w:ind w:firstLineChars="200" w:firstLine="420"/>
      </w:pPr>
      <w:r w:rsidRPr="0034200E">
        <w:t xml:space="preserve">Sustainable cloud-native computing lacks unified measurement standards and benchmarks. Current tools like </w:t>
      </w:r>
      <w:proofErr w:type="spellStart"/>
      <w:r w:rsidRPr="0034200E">
        <w:t>KubeGreen</w:t>
      </w:r>
      <w:proofErr w:type="spellEnd"/>
      <w:r w:rsidRPr="0034200E">
        <w:t xml:space="preserve"> and Cloud Carbon Footprint provide basic measurement capabilities, but results may vary between different tools. Establishing industry-recognized </w:t>
      </w:r>
      <w:r w:rsidRPr="0034200E">
        <w:rPr>
          <w:b/>
          <w:bCs/>
        </w:rPr>
        <w:t>sustainability benchmarks</w:t>
      </w:r>
      <w:r w:rsidRPr="0034200E">
        <w:t xml:space="preserve"> and </w:t>
      </w:r>
      <w:r w:rsidRPr="0034200E">
        <w:rPr>
          <w:b/>
          <w:bCs/>
        </w:rPr>
        <w:t>certification standards</w:t>
      </w:r>
      <w:r w:rsidRPr="0034200E">
        <w:t xml:space="preserve"> is crucial for promoting widespread adoption.</w:t>
      </w:r>
    </w:p>
    <w:p w14:paraId="6B1C39BB" w14:textId="77777777" w:rsidR="0034200E" w:rsidRPr="0034200E" w:rsidRDefault="0034200E" w:rsidP="0034200E">
      <w:pPr>
        <w:pStyle w:val="3"/>
      </w:pPr>
      <w:r w:rsidRPr="0034200E">
        <w:t>7.5 Skills Gap and Organizational Change</w:t>
      </w:r>
    </w:p>
    <w:p w14:paraId="34DF9C6B" w14:textId="77777777" w:rsidR="0034200E" w:rsidRPr="0034200E" w:rsidRDefault="0034200E" w:rsidP="003B0088">
      <w:pPr>
        <w:ind w:firstLineChars="200" w:firstLine="420"/>
      </w:pPr>
      <w:r w:rsidRPr="0034200E">
        <w:t>The rapid development of cloud-native technologies has created significant skills gaps. Emerging areas like edge computing, service mesh, and intelligent observability require interdisciplinary knowledge spanning distributed systems, networking, security, and data science. Additionally, adopting these new technologies often requires organizational restructuring and development process changes, representing major obstacles for many enterprises.</w:t>
      </w:r>
    </w:p>
    <w:p w14:paraId="0180747D" w14:textId="77777777" w:rsidR="0034200E" w:rsidRPr="0034200E" w:rsidRDefault="0034200E" w:rsidP="0034200E">
      <w:r w:rsidRPr="0034200E">
        <w:pict w14:anchorId="531A0CBE">
          <v:rect id="_x0000_i1093" style="width:0;height:1.5pt" o:hralign="center" o:hrstd="t" o:hrnoshade="t" o:hr="t" fillcolor="#1f2329" stroked="f"/>
        </w:pict>
      </w:r>
    </w:p>
    <w:p w14:paraId="38019B0E" w14:textId="77777777" w:rsidR="0034200E" w:rsidRPr="0034200E" w:rsidRDefault="0034200E" w:rsidP="0034200E">
      <w:pPr>
        <w:pStyle w:val="2"/>
      </w:pPr>
      <w:r w:rsidRPr="0034200E">
        <w:t>8 Conclusion and Future Outlook</w:t>
      </w:r>
    </w:p>
    <w:p w14:paraId="30A6320B" w14:textId="77777777" w:rsidR="0034200E" w:rsidRPr="0034200E" w:rsidRDefault="0034200E" w:rsidP="0034200E">
      <w:pPr>
        <w:pStyle w:val="3"/>
      </w:pPr>
      <w:r w:rsidRPr="0034200E">
        <w:t>8.1 Summary of Main Findings</w:t>
      </w:r>
    </w:p>
    <w:p w14:paraId="72DA99A6" w14:textId="77777777" w:rsidR="0034200E" w:rsidRPr="0034200E" w:rsidRDefault="0034200E" w:rsidP="0034200E">
      <w:r w:rsidRPr="0034200E">
        <w:t>Based on systematic analysis of the CNCF Landscape, this report provides an in-depth exploration of the latest advancements and emerging trends in cloud-native computing. Our research finds:</w:t>
      </w:r>
    </w:p>
    <w:p w14:paraId="47456459" w14:textId="77777777" w:rsidR="0034200E" w:rsidRPr="0034200E" w:rsidRDefault="0034200E" w:rsidP="0034200E">
      <w:pPr>
        <w:numPr>
          <w:ilvl w:val="0"/>
          <w:numId w:val="11"/>
        </w:numPr>
      </w:pPr>
      <w:r w:rsidRPr="0034200E">
        <w:rPr>
          <w:b/>
          <w:bCs/>
        </w:rPr>
        <w:t>Edge-native cloud architecture</w:t>
      </w:r>
      <w:r w:rsidRPr="0034200E">
        <w:t xml:space="preserve"> is transitioning from proof-of-concept to production deployment, driven by lightweight Kubernetes distributions and edge-specific projects like </w:t>
      </w:r>
      <w:proofErr w:type="spellStart"/>
      <w:r w:rsidRPr="0034200E">
        <w:t>KubeEdge</w:t>
      </w:r>
      <w:proofErr w:type="spellEnd"/>
      <w:r w:rsidRPr="0034200E">
        <w:t>.</w:t>
      </w:r>
    </w:p>
    <w:p w14:paraId="4C278BAA" w14:textId="77777777" w:rsidR="0034200E" w:rsidRPr="0034200E" w:rsidRDefault="0034200E" w:rsidP="0034200E">
      <w:pPr>
        <w:numPr>
          <w:ilvl w:val="0"/>
          <w:numId w:val="11"/>
        </w:numPr>
      </w:pPr>
      <w:r w:rsidRPr="0034200E">
        <w:rPr>
          <w:b/>
          <w:bCs/>
        </w:rPr>
        <w:t>Service mesh and API gateway convergence</w:t>
      </w:r>
      <w:r w:rsidRPr="0034200E">
        <w:t xml:space="preserve"> creates unified service communication management layers, simplifying the operational complexity of microservices architecture.</w:t>
      </w:r>
    </w:p>
    <w:p w14:paraId="2425D0BA" w14:textId="77777777" w:rsidR="0034200E" w:rsidRPr="0034200E" w:rsidRDefault="0034200E" w:rsidP="0034200E">
      <w:pPr>
        <w:numPr>
          <w:ilvl w:val="0"/>
          <w:numId w:val="11"/>
        </w:numPr>
      </w:pPr>
      <w:r w:rsidRPr="0034200E">
        <w:rPr>
          <w:b/>
          <w:bCs/>
        </w:rPr>
        <w:t>AI-enhanced observability platforms</w:t>
      </w:r>
      <w:r w:rsidRPr="0034200E">
        <w:t xml:space="preserve"> shift operations from passive response to proactive prevention, significantly improving system reliability and operational efficiency.</w:t>
      </w:r>
    </w:p>
    <w:p w14:paraId="59C52C7C" w14:textId="77777777" w:rsidR="0034200E" w:rsidRPr="0034200E" w:rsidRDefault="0034200E" w:rsidP="0034200E">
      <w:pPr>
        <w:numPr>
          <w:ilvl w:val="0"/>
          <w:numId w:val="11"/>
        </w:numPr>
      </w:pPr>
      <w:r w:rsidRPr="0034200E">
        <w:rPr>
          <w:b/>
          <w:bCs/>
        </w:rPr>
        <w:t>Sustainable cloud-native computing</w:t>
      </w:r>
      <w:r w:rsidRPr="0034200E">
        <w:t xml:space="preserve"> has become a new focus area, achieving both environmental benefits and cost savings through energy-efficiency-aware scheduling and carbon-aware computing.</w:t>
      </w:r>
    </w:p>
    <w:p w14:paraId="7C4884BC" w14:textId="77777777" w:rsidR="0034200E" w:rsidRPr="0034200E" w:rsidRDefault="0034200E" w:rsidP="0034200E">
      <w:r w:rsidRPr="0034200E">
        <w:t xml:space="preserve">These trends indicate that cloud-native computing is evolving toward more </w:t>
      </w:r>
      <w:r w:rsidRPr="0034200E">
        <w:rPr>
          <w:b/>
          <w:bCs/>
        </w:rPr>
        <w:t>distributed</w:t>
      </w:r>
      <w:r w:rsidRPr="0034200E">
        <w:t xml:space="preserve">, </w:t>
      </w:r>
      <w:r w:rsidRPr="0034200E">
        <w:rPr>
          <w:b/>
          <w:bCs/>
        </w:rPr>
        <w:t>intelligent</w:t>
      </w:r>
      <w:r w:rsidRPr="0034200E">
        <w:t xml:space="preserve">, and </w:t>
      </w:r>
      <w:r w:rsidRPr="0034200E">
        <w:rPr>
          <w:b/>
          <w:bCs/>
        </w:rPr>
        <w:t>sustainable</w:t>
      </w:r>
      <w:r w:rsidRPr="0034200E">
        <w:t xml:space="preserve"> directions.</w:t>
      </w:r>
    </w:p>
    <w:p w14:paraId="05190B86" w14:textId="77777777" w:rsidR="0034200E" w:rsidRPr="0034200E" w:rsidRDefault="0034200E" w:rsidP="0034200E">
      <w:pPr>
        <w:pStyle w:val="3"/>
      </w:pPr>
      <w:r w:rsidRPr="0034200E">
        <w:lastRenderedPageBreak/>
        <w:t>8.2 Future Research Directions</w:t>
      </w:r>
    </w:p>
    <w:p w14:paraId="2CDBC476" w14:textId="77777777" w:rsidR="0034200E" w:rsidRPr="0034200E" w:rsidRDefault="0034200E" w:rsidP="0034200E">
      <w:r w:rsidRPr="0034200E">
        <w:t>Based on current trends and analysis, we propose the following future research directions:</w:t>
      </w:r>
    </w:p>
    <w:p w14:paraId="060C9FDD" w14:textId="77777777" w:rsidR="0034200E" w:rsidRPr="0034200E" w:rsidRDefault="0034200E" w:rsidP="0034200E">
      <w:pPr>
        <w:numPr>
          <w:ilvl w:val="0"/>
          <w:numId w:val="12"/>
        </w:numPr>
      </w:pPr>
      <w:r w:rsidRPr="0034200E">
        <w:rPr>
          <w:b/>
          <w:bCs/>
        </w:rPr>
        <w:t>Standardization of Edge AI Frameworks</w:t>
      </w:r>
      <w:r w:rsidRPr="0034200E">
        <w:t>: Develop unified edge AI model formats, deployment frameworks, and federated learning protocols to promote edge intelligence ecosystem development.</w:t>
      </w:r>
    </w:p>
    <w:p w14:paraId="2D5D8F38" w14:textId="77777777" w:rsidR="0034200E" w:rsidRPr="0034200E" w:rsidRDefault="0034200E" w:rsidP="0034200E">
      <w:pPr>
        <w:numPr>
          <w:ilvl w:val="0"/>
          <w:numId w:val="12"/>
        </w:numPr>
      </w:pPr>
      <w:r w:rsidRPr="0034200E">
        <w:rPr>
          <w:b/>
          <w:bCs/>
        </w:rPr>
        <w:t>Explainable AI Operations</w:t>
      </w:r>
      <w:r w:rsidRPr="0034200E">
        <w:t>: Research applications of Explainable AI (XAI) technologies in intelligent operations to improve transparency and trustworthiness of AI decisions.</w:t>
      </w:r>
    </w:p>
    <w:p w14:paraId="794C1814" w14:textId="77777777" w:rsidR="0034200E" w:rsidRPr="0034200E" w:rsidRDefault="0034200E" w:rsidP="0034200E">
      <w:pPr>
        <w:numPr>
          <w:ilvl w:val="0"/>
          <w:numId w:val="12"/>
        </w:numPr>
      </w:pPr>
      <w:r w:rsidRPr="0034200E">
        <w:rPr>
          <w:b/>
          <w:bCs/>
        </w:rPr>
        <w:t>Quantum-Secure Cloud-Native</w:t>
      </w:r>
      <w:r w:rsidRPr="0034200E">
        <w:t>: Research cloud-native security architectures for the quantum computing era to proactively address threats quantum computers pose to existing encryption systems.</w:t>
      </w:r>
    </w:p>
    <w:p w14:paraId="7744B511" w14:textId="77777777" w:rsidR="0034200E" w:rsidRPr="0034200E" w:rsidRDefault="0034200E" w:rsidP="0034200E">
      <w:pPr>
        <w:numPr>
          <w:ilvl w:val="0"/>
          <w:numId w:val="12"/>
        </w:numPr>
      </w:pPr>
      <w:r w:rsidRPr="0034200E">
        <w:rPr>
          <w:b/>
          <w:bCs/>
        </w:rPr>
        <w:t>Global Sustainability Standards</w:t>
      </w:r>
      <w:r w:rsidRPr="0034200E">
        <w:t>: Promote establishment of globally unified measurement standards and certification systems for cloud-native sustainability.</w:t>
      </w:r>
    </w:p>
    <w:p w14:paraId="21E34C7B" w14:textId="77777777" w:rsidR="0034200E" w:rsidRPr="0034200E" w:rsidRDefault="0034200E" w:rsidP="0034200E">
      <w:pPr>
        <w:numPr>
          <w:ilvl w:val="0"/>
          <w:numId w:val="12"/>
        </w:numPr>
      </w:pPr>
      <w:r w:rsidRPr="0034200E">
        <w:rPr>
          <w:b/>
          <w:bCs/>
        </w:rPr>
        <w:t>Low-Code Cloud-Native Development</w:t>
      </w:r>
      <w:r w:rsidRPr="0034200E">
        <w:t>: Develop low-code/no-code cloud-native platforms for domain experts to reduce technical barriers.</w:t>
      </w:r>
    </w:p>
    <w:p w14:paraId="27F9D58A" w14:textId="77777777" w:rsidR="0034200E" w:rsidRPr="0034200E" w:rsidRDefault="0034200E" w:rsidP="0034200E">
      <w:pPr>
        <w:pStyle w:val="3"/>
      </w:pPr>
      <w:r w:rsidRPr="0034200E">
        <w:t>8.3 Practical Recommendations</w:t>
      </w:r>
    </w:p>
    <w:p w14:paraId="3681D438" w14:textId="77777777" w:rsidR="0034200E" w:rsidRPr="0034200E" w:rsidRDefault="0034200E" w:rsidP="0034200E">
      <w:r w:rsidRPr="0034200E">
        <w:t>For enterprises and developers, we propose the following practical recommendations:</w:t>
      </w:r>
    </w:p>
    <w:p w14:paraId="2DB72DF4" w14:textId="77777777" w:rsidR="0034200E" w:rsidRPr="0034200E" w:rsidRDefault="0034200E" w:rsidP="0034200E">
      <w:pPr>
        <w:numPr>
          <w:ilvl w:val="0"/>
          <w:numId w:val="13"/>
        </w:numPr>
      </w:pPr>
      <w:r w:rsidRPr="0034200E">
        <w:rPr>
          <w:b/>
          <w:bCs/>
        </w:rPr>
        <w:t>Adopt Progressive Strategies</w:t>
      </w:r>
      <w:r w:rsidRPr="0034200E">
        <w:t>: Start with core business functions and gradually introduce edge computing, intelligent observability, and sustainable practices.</w:t>
      </w:r>
    </w:p>
    <w:p w14:paraId="676AB9A9" w14:textId="77777777" w:rsidR="0034200E" w:rsidRPr="0034200E" w:rsidRDefault="0034200E" w:rsidP="0034200E">
      <w:pPr>
        <w:numPr>
          <w:ilvl w:val="0"/>
          <w:numId w:val="13"/>
        </w:numPr>
      </w:pPr>
      <w:r w:rsidRPr="0034200E">
        <w:rPr>
          <w:b/>
          <w:bCs/>
        </w:rPr>
        <w:t>Invest in Skills Development</w:t>
      </w:r>
      <w:r w:rsidRPr="0034200E">
        <w:t>: Establish continuous skills development programs focusing on interdisciplinary capabilities.</w:t>
      </w:r>
    </w:p>
    <w:p w14:paraId="0461884D" w14:textId="77777777" w:rsidR="0034200E" w:rsidRPr="0034200E" w:rsidRDefault="0034200E" w:rsidP="0034200E">
      <w:pPr>
        <w:numPr>
          <w:ilvl w:val="0"/>
          <w:numId w:val="13"/>
        </w:numPr>
      </w:pPr>
      <w:r w:rsidRPr="0034200E">
        <w:rPr>
          <w:b/>
          <w:bCs/>
        </w:rPr>
        <w:t>Participate in Open-Source Communities</w:t>
      </w:r>
      <w:r w:rsidRPr="0034200E">
        <w:t>: Actively engage in open-source communities like CNCF to both contribute and gain latest technological insights.</w:t>
      </w:r>
    </w:p>
    <w:p w14:paraId="2CB6A7C6" w14:textId="77777777" w:rsidR="0034200E" w:rsidRPr="0034200E" w:rsidRDefault="0034200E" w:rsidP="0034200E">
      <w:pPr>
        <w:numPr>
          <w:ilvl w:val="0"/>
          <w:numId w:val="13"/>
        </w:numPr>
      </w:pPr>
      <w:r w:rsidRPr="0034200E">
        <w:rPr>
          <w:b/>
          <w:bCs/>
        </w:rPr>
        <w:t>Establish Evaluation Frameworks</w:t>
      </w:r>
      <w:r w:rsidRPr="0034200E">
        <w:t>: Develop technology evaluation frameworks suitable for specific business needs, balancing innovation with stability.</w:t>
      </w:r>
    </w:p>
    <w:p w14:paraId="764F1A70" w14:textId="77777777" w:rsidR="0034200E" w:rsidRPr="0034200E" w:rsidRDefault="0034200E" w:rsidP="0034200E">
      <w:pPr>
        <w:numPr>
          <w:ilvl w:val="0"/>
          <w:numId w:val="13"/>
        </w:numPr>
      </w:pPr>
      <w:r w:rsidRPr="0034200E">
        <w:rPr>
          <w:b/>
          <w:bCs/>
        </w:rPr>
        <w:t>Focus on Practical Value</w:t>
      </w:r>
      <w:r w:rsidRPr="0034200E">
        <w:t>: Select technological solutions based on business value, avoiding over-engineering.</w:t>
      </w:r>
    </w:p>
    <w:p w14:paraId="53B62DC7" w14:textId="77777777" w:rsidR="0034200E" w:rsidRPr="0034200E" w:rsidRDefault="0034200E" w:rsidP="003B0088">
      <w:pPr>
        <w:ind w:firstLineChars="200" w:firstLine="420"/>
      </w:pPr>
      <w:r w:rsidRPr="0034200E">
        <w:t>Cloud-native computing is in a phase of rapid development with new trends and technologies continuously emerging. By understanding these development trends and adopting appropriate strategies, organizations can better leverage cloud-native technologies to build resilient, efficient, and sustainable digital systems.</w:t>
      </w:r>
    </w:p>
    <w:p w14:paraId="0F070523" w14:textId="77777777" w:rsidR="0034200E" w:rsidRPr="0034200E" w:rsidRDefault="0034200E" w:rsidP="0034200E">
      <w:r w:rsidRPr="0034200E">
        <w:pict w14:anchorId="2967B994">
          <v:rect id="_x0000_i1094" style="width:0;height:1.5pt" o:hralign="center" o:hrstd="t" o:hrnoshade="t" o:hr="t" fillcolor="#1f2329" stroked="f"/>
        </w:pict>
      </w:r>
    </w:p>
    <w:p w14:paraId="1B5CBB07" w14:textId="77777777" w:rsidR="0034200E" w:rsidRPr="0034200E" w:rsidRDefault="0034200E" w:rsidP="0034200E">
      <w:r w:rsidRPr="0034200E">
        <w:t>References</w:t>
      </w:r>
    </w:p>
    <w:p w14:paraId="4F7FAE92" w14:textId="77777777" w:rsidR="0034200E" w:rsidRPr="0034200E" w:rsidRDefault="0034200E" w:rsidP="0034200E">
      <w:r w:rsidRPr="0034200E">
        <w:t>[1] Burns B., Oppenheimer D. "Design Patterns for Container-based Distributed Systems". USENIX ATC, 2016.</w:t>
      </w:r>
    </w:p>
    <w:p w14:paraId="7058E543" w14:textId="77777777" w:rsidR="0034200E" w:rsidRPr="0034200E" w:rsidRDefault="0034200E" w:rsidP="0034200E">
      <w:r w:rsidRPr="0034200E">
        <w:t>[2] Merkel D. "Docker: Lightweight Linux Containers for Consistent Development and Deployment". Linux Journal, 2014.</w:t>
      </w:r>
    </w:p>
    <w:p w14:paraId="1D602D75" w14:textId="77777777" w:rsidR="0034200E" w:rsidRPr="0034200E" w:rsidRDefault="0034200E" w:rsidP="0034200E">
      <w:r w:rsidRPr="0034200E">
        <w:t>[3] Bernstein D. "Cloud Native Microservices with Service Mesh". IEEE Software, 2020.</w:t>
      </w:r>
    </w:p>
    <w:p w14:paraId="0DBCAD8F" w14:textId="77777777" w:rsidR="0034200E" w:rsidRPr="0034200E" w:rsidRDefault="0034200E" w:rsidP="0034200E">
      <w:r w:rsidRPr="0034200E">
        <w:t>[4] Barr J. "Service Mesh: A New Layer of Cloud Native Infrastructure". ACM Computing Surveys, 2021.</w:t>
      </w:r>
    </w:p>
    <w:p w14:paraId="1A5B0870" w14:textId="77777777" w:rsidR="0034200E" w:rsidRPr="0034200E" w:rsidRDefault="0034200E" w:rsidP="0034200E">
      <w:r w:rsidRPr="0034200E">
        <w:t xml:space="preserve">[5] </w:t>
      </w:r>
      <w:proofErr w:type="spellStart"/>
      <w:r w:rsidRPr="0034200E">
        <w:t>Satyanarayanan</w:t>
      </w:r>
      <w:proofErr w:type="spellEnd"/>
      <w:r w:rsidRPr="0034200E">
        <w:t xml:space="preserve"> M. "The Emergence of Edge Computing". Computer, 2017.</w:t>
      </w:r>
    </w:p>
    <w:p w14:paraId="315F8116" w14:textId="77777777" w:rsidR="0034200E" w:rsidRPr="0034200E" w:rsidRDefault="0034200E" w:rsidP="0034200E">
      <w:r w:rsidRPr="0034200E">
        <w:lastRenderedPageBreak/>
        <w:t xml:space="preserve">[6] CNCF. "Cloud Native Landscape", </w:t>
      </w:r>
      <w:hyperlink r:id="rId12" w:tgtFrame="_blank" w:history="1">
        <w:r w:rsidRPr="0034200E">
          <w:rPr>
            <w:rStyle w:val="ae"/>
          </w:rPr>
          <w:t>https://landscape.cncf.io</w:t>
        </w:r>
      </w:hyperlink>
      <w:r w:rsidRPr="0034200E">
        <w:t>, 2025.</w:t>
      </w:r>
    </w:p>
    <w:p w14:paraId="37E7FF03" w14:textId="77777777" w:rsidR="0034200E" w:rsidRPr="0034200E" w:rsidRDefault="0034200E" w:rsidP="0034200E">
      <w:r w:rsidRPr="0034200E">
        <w:t>[7] Bala K., et al. "Energy-Efficient Container Orchestration in Cloud Data Centers". IEEE Transactions on Cloud Computing, 2022.</w:t>
      </w:r>
    </w:p>
    <w:p w14:paraId="5A2EDDA5" w14:textId="77777777" w:rsidR="0034200E" w:rsidRPr="0034200E" w:rsidRDefault="0034200E" w:rsidP="0034200E">
      <w:r w:rsidRPr="0034200E">
        <w:t>[8] Chen L., et al. "AIOps: Real-World Challenges and Research Innovations". ICSE, 2023.</w:t>
      </w:r>
    </w:p>
    <w:p w14:paraId="52F9EEB0" w14:textId="77777777" w:rsidR="0034200E" w:rsidRPr="0034200E" w:rsidRDefault="0034200E" w:rsidP="0034200E">
      <w:r w:rsidRPr="0034200E">
        <w:t>[9] AWS. "Well-Architected Framework Sustainability Pillar", 2024.</w:t>
      </w:r>
    </w:p>
    <w:p w14:paraId="5946B76B" w14:textId="77777777" w:rsidR="0034200E" w:rsidRPr="0034200E" w:rsidRDefault="0034200E" w:rsidP="0034200E">
      <w:r w:rsidRPr="0034200E">
        <w:t>[10] Google. "Carbon-Aware Computing with Kubernetes", Google Cloud Blog, 2024.</w:t>
      </w:r>
    </w:p>
    <w:p w14:paraId="50E21F0D" w14:textId="06E31265" w:rsidR="00CB4536" w:rsidRPr="0034200E" w:rsidRDefault="00CB4536" w:rsidP="0034200E">
      <w:pPr>
        <w:rPr>
          <w:rFonts w:hint="eastAsia"/>
        </w:rPr>
      </w:pPr>
    </w:p>
    <w:sectPr w:rsidR="00CB4536" w:rsidRPr="003420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ADA"/>
    <w:multiLevelType w:val="multilevel"/>
    <w:tmpl w:val="6EA0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F33DA"/>
    <w:multiLevelType w:val="multilevel"/>
    <w:tmpl w:val="F6D4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F3C81"/>
    <w:multiLevelType w:val="multilevel"/>
    <w:tmpl w:val="DAF0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87C10"/>
    <w:multiLevelType w:val="multilevel"/>
    <w:tmpl w:val="7D2C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82AC5"/>
    <w:multiLevelType w:val="multilevel"/>
    <w:tmpl w:val="F22E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DE2993"/>
    <w:multiLevelType w:val="multilevel"/>
    <w:tmpl w:val="28D26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21696B"/>
    <w:multiLevelType w:val="multilevel"/>
    <w:tmpl w:val="EE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2F1ECF"/>
    <w:multiLevelType w:val="multilevel"/>
    <w:tmpl w:val="31E6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0A14DE"/>
    <w:multiLevelType w:val="multilevel"/>
    <w:tmpl w:val="7F7C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52557"/>
    <w:multiLevelType w:val="multilevel"/>
    <w:tmpl w:val="4E08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6772A1"/>
    <w:multiLevelType w:val="multilevel"/>
    <w:tmpl w:val="DBE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D08AD"/>
    <w:multiLevelType w:val="multilevel"/>
    <w:tmpl w:val="E698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451ADB"/>
    <w:multiLevelType w:val="multilevel"/>
    <w:tmpl w:val="1110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723664">
    <w:abstractNumId w:val="7"/>
  </w:num>
  <w:num w:numId="2" w16cid:durableId="848175092">
    <w:abstractNumId w:val="6"/>
  </w:num>
  <w:num w:numId="3" w16cid:durableId="1069957443">
    <w:abstractNumId w:val="3"/>
  </w:num>
  <w:num w:numId="4" w16cid:durableId="1222786951">
    <w:abstractNumId w:val="11"/>
  </w:num>
  <w:num w:numId="5" w16cid:durableId="1030187471">
    <w:abstractNumId w:val="12"/>
  </w:num>
  <w:num w:numId="6" w16cid:durableId="183326304">
    <w:abstractNumId w:val="0"/>
  </w:num>
  <w:num w:numId="7" w16cid:durableId="1261990629">
    <w:abstractNumId w:val="10"/>
  </w:num>
  <w:num w:numId="8" w16cid:durableId="1735393771">
    <w:abstractNumId w:val="1"/>
  </w:num>
  <w:num w:numId="9" w16cid:durableId="611325173">
    <w:abstractNumId w:val="2"/>
  </w:num>
  <w:num w:numId="10" w16cid:durableId="1472558580">
    <w:abstractNumId w:val="4"/>
  </w:num>
  <w:num w:numId="11" w16cid:durableId="795492093">
    <w:abstractNumId w:val="9"/>
  </w:num>
  <w:num w:numId="12" w16cid:durableId="756748057">
    <w:abstractNumId w:val="5"/>
  </w:num>
  <w:num w:numId="13" w16cid:durableId="1459101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7D"/>
    <w:rsid w:val="0034200E"/>
    <w:rsid w:val="003B0088"/>
    <w:rsid w:val="00B24CA9"/>
    <w:rsid w:val="00CB4536"/>
    <w:rsid w:val="00CC03CE"/>
    <w:rsid w:val="00D47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8AE53"/>
  <w15:chartTrackingRefBased/>
  <w15:docId w15:val="{EE6BF26D-E6BB-4243-BD9F-7119DD14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78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478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478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478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787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787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78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78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787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78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478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478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4787D"/>
    <w:rPr>
      <w:rFonts w:cstheme="majorBidi"/>
      <w:color w:val="0F4761" w:themeColor="accent1" w:themeShade="BF"/>
      <w:sz w:val="28"/>
      <w:szCs w:val="28"/>
    </w:rPr>
  </w:style>
  <w:style w:type="character" w:customStyle="1" w:styleId="50">
    <w:name w:val="标题 5 字符"/>
    <w:basedOn w:val="a0"/>
    <w:link w:val="5"/>
    <w:uiPriority w:val="9"/>
    <w:semiHidden/>
    <w:rsid w:val="00D4787D"/>
    <w:rPr>
      <w:rFonts w:cstheme="majorBidi"/>
      <w:color w:val="0F4761" w:themeColor="accent1" w:themeShade="BF"/>
      <w:sz w:val="24"/>
      <w:szCs w:val="24"/>
    </w:rPr>
  </w:style>
  <w:style w:type="character" w:customStyle="1" w:styleId="60">
    <w:name w:val="标题 6 字符"/>
    <w:basedOn w:val="a0"/>
    <w:link w:val="6"/>
    <w:uiPriority w:val="9"/>
    <w:semiHidden/>
    <w:rsid w:val="00D4787D"/>
    <w:rPr>
      <w:rFonts w:cstheme="majorBidi"/>
      <w:b/>
      <w:bCs/>
      <w:color w:val="0F4761" w:themeColor="accent1" w:themeShade="BF"/>
    </w:rPr>
  </w:style>
  <w:style w:type="character" w:customStyle="1" w:styleId="70">
    <w:name w:val="标题 7 字符"/>
    <w:basedOn w:val="a0"/>
    <w:link w:val="7"/>
    <w:uiPriority w:val="9"/>
    <w:semiHidden/>
    <w:rsid w:val="00D4787D"/>
    <w:rPr>
      <w:rFonts w:cstheme="majorBidi"/>
      <w:b/>
      <w:bCs/>
      <w:color w:val="595959" w:themeColor="text1" w:themeTint="A6"/>
    </w:rPr>
  </w:style>
  <w:style w:type="character" w:customStyle="1" w:styleId="80">
    <w:name w:val="标题 8 字符"/>
    <w:basedOn w:val="a0"/>
    <w:link w:val="8"/>
    <w:uiPriority w:val="9"/>
    <w:semiHidden/>
    <w:rsid w:val="00D4787D"/>
    <w:rPr>
      <w:rFonts w:cstheme="majorBidi"/>
      <w:color w:val="595959" w:themeColor="text1" w:themeTint="A6"/>
    </w:rPr>
  </w:style>
  <w:style w:type="character" w:customStyle="1" w:styleId="90">
    <w:name w:val="标题 9 字符"/>
    <w:basedOn w:val="a0"/>
    <w:link w:val="9"/>
    <w:uiPriority w:val="9"/>
    <w:semiHidden/>
    <w:rsid w:val="00D4787D"/>
    <w:rPr>
      <w:rFonts w:eastAsiaTheme="majorEastAsia" w:cstheme="majorBidi"/>
      <w:color w:val="595959" w:themeColor="text1" w:themeTint="A6"/>
    </w:rPr>
  </w:style>
  <w:style w:type="paragraph" w:styleId="a3">
    <w:name w:val="Title"/>
    <w:basedOn w:val="a"/>
    <w:next w:val="a"/>
    <w:link w:val="a4"/>
    <w:uiPriority w:val="10"/>
    <w:qFormat/>
    <w:rsid w:val="00D478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78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78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78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787D"/>
    <w:pPr>
      <w:spacing w:before="160" w:after="160"/>
      <w:jc w:val="center"/>
    </w:pPr>
    <w:rPr>
      <w:i/>
      <w:iCs/>
      <w:color w:val="404040" w:themeColor="text1" w:themeTint="BF"/>
    </w:rPr>
  </w:style>
  <w:style w:type="character" w:customStyle="1" w:styleId="a8">
    <w:name w:val="引用 字符"/>
    <w:basedOn w:val="a0"/>
    <w:link w:val="a7"/>
    <w:uiPriority w:val="29"/>
    <w:rsid w:val="00D4787D"/>
    <w:rPr>
      <w:i/>
      <w:iCs/>
      <w:color w:val="404040" w:themeColor="text1" w:themeTint="BF"/>
    </w:rPr>
  </w:style>
  <w:style w:type="paragraph" w:styleId="a9">
    <w:name w:val="List Paragraph"/>
    <w:basedOn w:val="a"/>
    <w:uiPriority w:val="34"/>
    <w:qFormat/>
    <w:rsid w:val="00D4787D"/>
    <w:pPr>
      <w:ind w:left="720"/>
      <w:contextualSpacing/>
    </w:pPr>
  </w:style>
  <w:style w:type="character" w:styleId="aa">
    <w:name w:val="Intense Emphasis"/>
    <w:basedOn w:val="a0"/>
    <w:uiPriority w:val="21"/>
    <w:qFormat/>
    <w:rsid w:val="00D4787D"/>
    <w:rPr>
      <w:i/>
      <w:iCs/>
      <w:color w:val="0F4761" w:themeColor="accent1" w:themeShade="BF"/>
    </w:rPr>
  </w:style>
  <w:style w:type="paragraph" w:styleId="ab">
    <w:name w:val="Intense Quote"/>
    <w:basedOn w:val="a"/>
    <w:next w:val="a"/>
    <w:link w:val="ac"/>
    <w:uiPriority w:val="30"/>
    <w:qFormat/>
    <w:rsid w:val="00D47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787D"/>
    <w:rPr>
      <w:i/>
      <w:iCs/>
      <w:color w:val="0F4761" w:themeColor="accent1" w:themeShade="BF"/>
    </w:rPr>
  </w:style>
  <w:style w:type="character" w:styleId="ad">
    <w:name w:val="Intense Reference"/>
    <w:basedOn w:val="a0"/>
    <w:uiPriority w:val="32"/>
    <w:qFormat/>
    <w:rsid w:val="00D4787D"/>
    <w:rPr>
      <w:b/>
      <w:bCs/>
      <w:smallCaps/>
      <w:color w:val="0F4761" w:themeColor="accent1" w:themeShade="BF"/>
      <w:spacing w:val="5"/>
    </w:rPr>
  </w:style>
  <w:style w:type="character" w:styleId="ae">
    <w:name w:val="Hyperlink"/>
    <w:basedOn w:val="a0"/>
    <w:uiPriority w:val="99"/>
    <w:unhideWhenUsed/>
    <w:rsid w:val="0034200E"/>
    <w:rPr>
      <w:color w:val="467886" w:themeColor="hyperlink"/>
      <w:u w:val="single"/>
    </w:rPr>
  </w:style>
  <w:style w:type="character" w:styleId="af">
    <w:name w:val="Unresolved Mention"/>
    <w:basedOn w:val="a0"/>
    <w:uiPriority w:val="99"/>
    <w:semiHidden/>
    <w:unhideWhenUsed/>
    <w:rsid w:val="00342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andscape.cncf.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3917</Words>
  <Characters>22328</Characters>
  <Application>Microsoft Office Word</Application>
  <DocSecurity>0</DocSecurity>
  <Lines>186</Lines>
  <Paragraphs>52</Paragraphs>
  <ScaleCrop>false</ScaleCrop>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迁 石</dc:creator>
  <cp:keywords/>
  <dc:description/>
  <cp:lastModifiedBy>迁 石</cp:lastModifiedBy>
  <cp:revision>2</cp:revision>
  <dcterms:created xsi:type="dcterms:W3CDTF">2026-01-08T14:21:00Z</dcterms:created>
  <dcterms:modified xsi:type="dcterms:W3CDTF">2026-01-08T14:48:00Z</dcterms:modified>
</cp:coreProperties>
</file>