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C93AC" w14:textId="77777777" w:rsidR="000920A9" w:rsidRDefault="00AB2370" w:rsidP="00AB2370">
      <w:pPr>
        <w:rPr>
          <w:rFonts w:hint="eastAsia"/>
          <w:b/>
          <w:bCs/>
        </w:rPr>
      </w:pPr>
      <w:r w:rsidRPr="00AB2370">
        <w:rPr>
          <w:b/>
          <w:bCs/>
        </w:rPr>
        <w:t>Title:</w:t>
      </w:r>
      <w:r w:rsidRPr="00AB2370">
        <w:br/>
      </w:r>
      <w:r w:rsidR="000920A9" w:rsidRPr="000920A9">
        <w:rPr>
          <w:b/>
          <w:bCs/>
        </w:rPr>
        <w:t>Microgeographic differentiation and coordinated leaf-level molecular shifts during invasion of </w:t>
      </w:r>
      <w:r w:rsidR="000920A9" w:rsidRPr="000920A9">
        <w:rPr>
          <w:b/>
          <w:bCs/>
          <w:i/>
          <w:iCs/>
        </w:rPr>
        <w:t>Spartina alterniflora</w:t>
      </w:r>
      <w:r w:rsidR="000920A9" w:rsidRPr="000920A9">
        <w:rPr>
          <w:b/>
          <w:bCs/>
        </w:rPr>
        <w:t xml:space="preserve"> </w:t>
      </w:r>
    </w:p>
    <w:p w14:paraId="1FE2E3A2" w14:textId="4239C738" w:rsidR="00AB2370" w:rsidRPr="00AB2370" w:rsidRDefault="00AB2370" w:rsidP="00AB2370">
      <w:pPr>
        <w:rPr>
          <w:rFonts w:hint="eastAsia"/>
        </w:rPr>
      </w:pPr>
      <w:r w:rsidRPr="00AB2370">
        <w:rPr>
          <w:b/>
          <w:bCs/>
        </w:rPr>
        <w:t>Abstract:</w:t>
      </w:r>
    </w:p>
    <w:p w14:paraId="65175EBE" w14:textId="77777777" w:rsidR="000D21F2" w:rsidRPr="000D21F2" w:rsidRDefault="000D21F2" w:rsidP="000D21F2">
      <w:pPr>
        <w:rPr>
          <w:rFonts w:hint="eastAsia"/>
          <w:b/>
          <w:bCs/>
        </w:rPr>
      </w:pPr>
      <w:r w:rsidRPr="000D21F2">
        <w:rPr>
          <w:b/>
          <w:bCs/>
        </w:rPr>
        <w:t>Invasive plant populations can differentiate across fine spatial scales, yet how genetic variation, leaf-level molecular responses, and higher-level phenotypes align during local expansion remains poorly resolved. Here, we investigated a microgeographic invasion chronosequence of </w:t>
      </w:r>
      <w:r w:rsidRPr="000D21F2">
        <w:rPr>
          <w:b/>
          <w:bCs/>
          <w:i/>
          <w:iCs/>
        </w:rPr>
        <w:t>Spartina alterniflora</w:t>
      </w:r>
      <w:r w:rsidRPr="000D21F2">
        <w:rPr>
          <w:b/>
          <w:bCs/>
        </w:rPr>
        <w:t> established between 2012 and 2015 in the Zhangjiang Estuary, China. Using remote sensing to identify patch colonization history, we combined field phenotyping, SNP-based genetic data, leaf transcriptomics, and untargeted metabolomics to assess differentiation across biological levels.</w:t>
      </w:r>
    </w:p>
    <w:p w14:paraId="4C9A9928" w14:textId="77777777" w:rsidR="000D21F2" w:rsidRPr="000D21F2" w:rsidRDefault="000D21F2" w:rsidP="000D21F2">
      <w:pPr>
        <w:rPr>
          <w:rFonts w:hint="eastAsia"/>
          <w:b/>
          <w:bCs/>
        </w:rPr>
      </w:pPr>
      <w:r w:rsidRPr="000D21F2">
        <w:rPr>
          <w:b/>
          <w:bCs/>
        </w:rPr>
        <w:t>Across patches, </w:t>
      </w:r>
      <w:r w:rsidRPr="000D21F2">
        <w:rPr>
          <w:b/>
          <w:bCs/>
          <w:i/>
          <w:iCs/>
        </w:rPr>
        <w:t>S. alterniflora</w:t>
      </w:r>
      <w:r w:rsidRPr="000D21F2">
        <w:rPr>
          <w:b/>
          <w:bCs/>
        </w:rPr>
        <w:t> showed significant variation in measured aboveground traits, genetic structure, transcriptomic profiles, and metabolomic composition. To integrate these layers, we fitted a two-stage Bayesian hierarchical model to a strictly matched subset of 20 samples for which phenotypic, SNP, transcriptomic, and metabolomic data were all available after batch-related filtering. In this model, spatial position, SNP variation, transcriptomic variation, and metabolomic variation were each summarized by their first principal component. Spatial position was positively associated with genetic differentiation and leaf-level transcriptomic and metabolomic variation, and transcriptomic and metabolomic summaries were positively associated with one another. By contrast, the direct associations between leaf-level omics summaries and the measured aboveground traits included in the model, leaf biomass and spikelet number, were weak or uncertain.</w:t>
      </w:r>
    </w:p>
    <w:p w14:paraId="61F27037" w14:textId="77777777" w:rsidR="000D21F2" w:rsidRPr="000D21F2" w:rsidRDefault="000D21F2" w:rsidP="000D21F2">
      <w:pPr>
        <w:rPr>
          <w:rFonts w:hint="eastAsia"/>
          <w:b/>
          <w:bCs/>
        </w:rPr>
      </w:pPr>
      <w:r w:rsidRPr="000D21F2">
        <w:rPr>
          <w:b/>
          <w:bCs/>
        </w:rPr>
        <w:t>These results support the presence of microgeographic differentiation accompanied by coordinated leaf-level molecular shifts during invasion. However, they provide limited evidence that the measured leaf-level molecular variation directly predicts the measured aboveground traits in the matched dataset. We therefore interpret this system as showing scale-dependent differentiation across biological levels, while emphasizing that inference is bounded by the observational chronosequence design, the restricted matched sample size, and dimensional compression of high-dimensional omics data.</w:t>
      </w:r>
    </w:p>
    <w:p w14:paraId="2CC8E356" w14:textId="514BD42B" w:rsidR="000920A9" w:rsidRDefault="000920A9" w:rsidP="000920A9">
      <w:pPr>
        <w:rPr>
          <w:rFonts w:hint="eastAsia"/>
          <w:b/>
          <w:bCs/>
        </w:rPr>
      </w:pPr>
      <w:r w:rsidRPr="000920A9">
        <w:rPr>
          <w:b/>
          <w:bCs/>
        </w:rPr>
        <w:lastRenderedPageBreak/>
        <w:t xml:space="preserve"> </w:t>
      </w:r>
    </w:p>
    <w:p w14:paraId="05CA9CE0" w14:textId="66700257" w:rsidR="00AB2370" w:rsidRPr="00AB2370" w:rsidRDefault="00AB2370" w:rsidP="000920A9">
      <w:pPr>
        <w:rPr>
          <w:rFonts w:hint="eastAsia"/>
        </w:rPr>
      </w:pPr>
      <w:r w:rsidRPr="00AB2370">
        <w:rPr>
          <w:b/>
          <w:bCs/>
        </w:rPr>
        <w:t>Keywords:</w:t>
      </w:r>
      <w:r w:rsidRPr="00AB2370">
        <w:br/>
      </w:r>
      <w:r w:rsidR="009F3DBE" w:rsidRPr="009F3DBE">
        <w:rPr>
          <w:rFonts w:hint="eastAsia"/>
          <w:i/>
          <w:iCs/>
        </w:rPr>
        <w:t>Spartina alterniflora;</w:t>
      </w:r>
      <w:r w:rsidR="009F3DBE" w:rsidRPr="009F3DBE">
        <w:rPr>
          <w:rFonts w:hint="eastAsia"/>
        </w:rPr>
        <w:t xml:space="preserve"> biological invasion; microgeographic differentiation; multi-omics integration; Bayesian hierarchical model; transcriptomics; metabolomics</w:t>
      </w:r>
    </w:p>
    <w:p w14:paraId="28702502" w14:textId="77777777" w:rsidR="00ED62C1" w:rsidRDefault="00ED62C1" w:rsidP="00ED62C1">
      <w:pPr>
        <w:rPr>
          <w:rFonts w:hint="eastAsia"/>
        </w:rPr>
      </w:pPr>
    </w:p>
    <w:p w14:paraId="0387A56E" w14:textId="7659D332" w:rsidR="00ED62C1" w:rsidRPr="00ED62C1" w:rsidRDefault="00ED62C1" w:rsidP="00ED62C1">
      <w:pPr>
        <w:rPr>
          <w:rFonts w:hint="eastAsia"/>
          <w:b/>
          <w:bCs/>
        </w:rPr>
      </w:pPr>
      <w:r>
        <w:rPr>
          <w:rFonts w:hint="eastAsia"/>
          <w:b/>
          <w:bCs/>
        </w:rPr>
        <w:t>1</w:t>
      </w:r>
      <w:r w:rsidRPr="00ED62C1">
        <w:rPr>
          <w:rFonts w:hint="eastAsia"/>
          <w:b/>
          <w:bCs/>
        </w:rPr>
        <w:t xml:space="preserve"> | </w:t>
      </w:r>
      <w:r>
        <w:rPr>
          <w:rFonts w:hint="eastAsia"/>
          <w:b/>
          <w:bCs/>
        </w:rPr>
        <w:t>Introduction</w:t>
      </w:r>
    </w:p>
    <w:p w14:paraId="69AAC518" w14:textId="77777777" w:rsidR="00216129" w:rsidRDefault="00216129" w:rsidP="000920A9">
      <w:pPr>
        <w:rPr>
          <w:rFonts w:hint="eastAsia"/>
        </w:rPr>
      </w:pPr>
      <w:r w:rsidRPr="00216129">
        <w:rPr>
          <w:rFonts w:hint="eastAsia"/>
        </w:rPr>
        <w:t xml:space="preserve">Biological invasions often unfold across fine-scale environmental mosaics, where newly established populations experience spatially heterogeneous conditions despite close geographic proximity. In such settings, differentiation may arise across multiple biological levels, including genetic structure, gene expression, metabolic state, and organismal phenotype. Although invasive plants are widely recognized to rely on both genetic and physiological responses to novel environments, these layers are often studied separately, making it difficult to determine how strongly they align during local expansion and whether molecular variation directly corresponds to measured phenotypic outcomes in the field (Richards et al., 2006; </w:t>
      </w:r>
      <w:proofErr w:type="spellStart"/>
      <w:r w:rsidRPr="00216129">
        <w:rPr>
          <w:rFonts w:hint="eastAsia"/>
        </w:rPr>
        <w:t>Ghalambor</w:t>
      </w:r>
      <w:proofErr w:type="spellEnd"/>
      <w:r w:rsidRPr="00216129">
        <w:rPr>
          <w:rFonts w:hint="eastAsia"/>
        </w:rPr>
        <w:t xml:space="preserve"> et al., 2007; Dlugosch &amp; Parker, 2008).</w:t>
      </w:r>
    </w:p>
    <w:p w14:paraId="3B85FFE3" w14:textId="77777777" w:rsidR="00216129" w:rsidRDefault="00216129" w:rsidP="000920A9">
      <w:pPr>
        <w:rPr>
          <w:rFonts w:hint="eastAsia"/>
        </w:rPr>
      </w:pPr>
      <w:r w:rsidRPr="00216129">
        <w:rPr>
          <w:rFonts w:hint="eastAsia"/>
        </w:rPr>
        <w:t xml:space="preserve">A central challenge is that different biological levels may respond on different spatial and temporal scales. Genetic differentiation may reflect founder effects, spatial sorting, clonal structure, or environmentally associated filtering (Dlugosch &amp; Parker, 2008; </w:t>
      </w:r>
      <w:proofErr w:type="spellStart"/>
      <w:r w:rsidRPr="00216129">
        <w:rPr>
          <w:rFonts w:hint="eastAsia"/>
        </w:rPr>
        <w:t>Zenni</w:t>
      </w:r>
      <w:proofErr w:type="spellEnd"/>
      <w:r w:rsidRPr="00216129">
        <w:rPr>
          <w:rFonts w:hint="eastAsia"/>
        </w:rPr>
        <w:t xml:space="preserve"> et al., 2014), whereas transcriptomic and metabolomic profiles can capture more immediate physiological responses (Nicotra et al., 2010; </w:t>
      </w:r>
      <w:proofErr w:type="spellStart"/>
      <w:r w:rsidRPr="00216129">
        <w:rPr>
          <w:rFonts w:hint="eastAsia"/>
        </w:rPr>
        <w:t>Scossa</w:t>
      </w:r>
      <w:proofErr w:type="spellEnd"/>
      <w:r w:rsidRPr="00216129">
        <w:rPr>
          <w:rFonts w:hint="eastAsia"/>
        </w:rPr>
        <w:t xml:space="preserve"> et al., 2021). Measured phenotypes, by contrast, are often cumulative and may integrate processes operating across longer time frames or across organs not directly sampled. As a result, correspondence across these levels should not be assumed, particularly in observational field systems where molecular data are often collected from a single tissue type whereas phenotypic traits represent broader aspects of plant performance.</w:t>
      </w:r>
    </w:p>
    <w:p w14:paraId="08D5A948" w14:textId="77777777" w:rsidR="00216129" w:rsidRDefault="00216129" w:rsidP="000920A9">
      <w:pPr>
        <w:rPr>
          <w:rFonts w:hint="eastAsia"/>
          <w:i/>
          <w:iCs/>
        </w:rPr>
      </w:pPr>
      <w:r w:rsidRPr="00216129">
        <w:rPr>
          <w:rFonts w:hint="eastAsia"/>
          <w:i/>
          <w:iCs/>
        </w:rPr>
        <w:t xml:space="preserve">Spartina alterniflora </w:t>
      </w:r>
      <w:r w:rsidRPr="00216129">
        <w:rPr>
          <w:rFonts w:hint="eastAsia"/>
        </w:rPr>
        <w:t>(smooth cordgrass) provides a useful system in which to examine these questions. As a highly invasive clonal grass in coastal salt marshes, S. alterniflora can rapidly restructure estuarine habitats and alter hydrological, sedimentary, and community processes (Strong &amp; Ayres, 2013; Zhang et al., 2012; Ren et al., 2019). Previous work on this species has mainly emphasized macrogeographic patterns, including broad-scale adaptive differentiation across latitudinal gradients (</w:t>
      </w:r>
      <w:proofErr w:type="spellStart"/>
      <w:r w:rsidRPr="00216129">
        <w:rPr>
          <w:rFonts w:hint="eastAsia"/>
        </w:rPr>
        <w:t>Qiao</w:t>
      </w:r>
      <w:proofErr w:type="spellEnd"/>
      <w:r w:rsidRPr="00216129">
        <w:rPr>
          <w:rFonts w:hint="eastAsia"/>
        </w:rPr>
        <w:t xml:space="preserve"> et al., 2019). By contrast, much less is known about how nearby invasion patches differ across biological levels during local spread, especially at microgeographic scales where patch history, local habitat heterogeneity, and clonal expansion may interact over short distances</w:t>
      </w:r>
      <w:r w:rsidRPr="00216129">
        <w:rPr>
          <w:rFonts w:hint="eastAsia"/>
          <w:i/>
          <w:iCs/>
        </w:rPr>
        <w:t>.</w:t>
      </w:r>
    </w:p>
    <w:p w14:paraId="4B371F88" w14:textId="79D7F31B" w:rsidR="000920A9" w:rsidRPr="000920A9" w:rsidRDefault="000920A9" w:rsidP="000920A9">
      <w:pPr>
        <w:rPr>
          <w:rFonts w:hint="eastAsia"/>
        </w:rPr>
      </w:pPr>
      <w:r w:rsidRPr="000920A9">
        <w:lastRenderedPageBreak/>
        <w:t xml:space="preserve">In the </w:t>
      </w:r>
      <w:proofErr w:type="spellStart"/>
      <w:r w:rsidRPr="000920A9">
        <w:t>Zhangjiang</w:t>
      </w:r>
      <w:proofErr w:type="spellEnd"/>
      <w:r w:rsidRPr="000920A9">
        <w:t xml:space="preserve"> Estuary, China, </w:t>
      </w:r>
      <w:r w:rsidRPr="000920A9">
        <w:rPr>
          <w:i/>
          <w:iCs/>
        </w:rPr>
        <w:t>S. alterniflora</w:t>
      </w:r>
      <w:r w:rsidRPr="000920A9">
        <w:t xml:space="preserve"> forms adjacent patches that can be assigned to different colonization years using remote sensing. This spatially structured </w:t>
      </w:r>
      <w:proofErr w:type="spellStart"/>
      <w:r w:rsidRPr="000920A9">
        <w:t>chronosequence</w:t>
      </w:r>
      <w:proofErr w:type="spellEnd"/>
      <w:r w:rsidRPr="000920A9">
        <w:t xml:space="preserve"> offers an opportunity to examine whether nearby patches differ in measured aboveground traits, genetic structure, and leaf-level molecular profiles. At the same time, such a design should be interpreted cautiously: patch differences in an observational space-for-time framework do not by themselves distinguish among temporal change, founder effects, spatial sorting, plasticity, or local environmental heterogeneity </w:t>
      </w:r>
      <w:r w:rsidR="00216129">
        <w:rPr>
          <w:rFonts w:hint="eastAsia"/>
        </w:rPr>
        <w:t>(</w:t>
      </w:r>
      <w:r w:rsidR="00216129" w:rsidRPr="00216129">
        <w:rPr>
          <w:rFonts w:hint="eastAsia"/>
        </w:rPr>
        <w:t>Dlugosch &amp; Parker, 2008; Richards et al., 2006</w:t>
      </w:r>
      <w:r w:rsidR="00216129">
        <w:rPr>
          <w:rFonts w:hint="eastAsia"/>
        </w:rPr>
        <w:t xml:space="preserve">). </w:t>
      </w:r>
      <w:r w:rsidRPr="000920A9">
        <w:t xml:space="preserve">Rather than treating the </w:t>
      </w:r>
      <w:proofErr w:type="spellStart"/>
      <w:r w:rsidRPr="000920A9">
        <w:t>chronosequence</w:t>
      </w:r>
      <w:proofErr w:type="spellEnd"/>
      <w:r w:rsidRPr="000920A9">
        <w:t xml:space="preserve"> as direct proof of a causal temporal process, it can be used to evaluate how differentiation is organized across biological levels within a spatially restricted invasion landscape.</w:t>
      </w:r>
    </w:p>
    <w:p w14:paraId="1CC1746F" w14:textId="77777777" w:rsidR="000920A9" w:rsidRPr="000920A9" w:rsidRDefault="000920A9" w:rsidP="000920A9">
      <w:pPr>
        <w:rPr>
          <w:rFonts w:hint="eastAsia"/>
        </w:rPr>
      </w:pPr>
      <w:r w:rsidRPr="000920A9">
        <w:t>Here, we integrated field phenotyping, SNP-based genetic data, leaf transcriptomics, and untargeted metabolomics to characterize microgeographic differentiation in </w:t>
      </w:r>
      <w:r w:rsidRPr="000920A9">
        <w:rPr>
          <w:i/>
          <w:iCs/>
        </w:rPr>
        <w:t>S. alterniflora</w:t>
      </w:r>
      <w:r w:rsidRPr="000920A9">
        <w:t xml:space="preserve"> across patches established between 2012 and 2015 in the </w:t>
      </w:r>
      <w:proofErr w:type="spellStart"/>
      <w:r w:rsidRPr="000920A9">
        <w:t>Zhangjiang</w:t>
      </w:r>
      <w:proofErr w:type="spellEnd"/>
      <w:r w:rsidRPr="000920A9">
        <w:t xml:space="preserve"> Estuary. Specifically, we asked three questions: (</w:t>
      </w:r>
      <w:proofErr w:type="spellStart"/>
      <w:r w:rsidRPr="000920A9">
        <w:t>i</w:t>
      </w:r>
      <w:proofErr w:type="spellEnd"/>
      <w:r w:rsidRPr="000920A9">
        <w:t>) whether nearby colonization-year patches differ in measured aboveground traits and molecular profiles; (ii) whether spatial position and genetic differentiation are associated with leaf-level transcriptomic and metabolomic variation; and (iii) whether leaf-level molecular summaries are directly associated with the measured aboveground traits included in the matched dataset. By combining these data layers within an integrative hierarchical framework, we aimed to assess the extent to which differentiation is coordinated across biological levels without assuming that leaf-level molecular responses necessarily translate directly into higher-level phenotypic outcomes.</w:t>
      </w:r>
    </w:p>
    <w:p w14:paraId="5F1E0E7A" w14:textId="2417B755" w:rsidR="00ED62C1" w:rsidRPr="000920A9" w:rsidRDefault="00ED62C1" w:rsidP="00ED62C1">
      <w:pPr>
        <w:rPr>
          <w:rFonts w:hint="eastAsia"/>
        </w:rPr>
      </w:pPr>
    </w:p>
    <w:p w14:paraId="1F1E3C82" w14:textId="77777777" w:rsidR="00ED62C1" w:rsidRPr="00857230" w:rsidRDefault="00ED62C1" w:rsidP="00ED62C1">
      <w:pPr>
        <w:rPr>
          <w:rFonts w:hint="eastAsia"/>
        </w:rPr>
      </w:pPr>
    </w:p>
    <w:p w14:paraId="5073EEF9" w14:textId="77777777" w:rsidR="00ED62C1" w:rsidRPr="00ED62C1" w:rsidRDefault="00ED62C1" w:rsidP="00ED62C1">
      <w:pPr>
        <w:rPr>
          <w:rFonts w:hint="eastAsia"/>
          <w:b/>
          <w:bCs/>
        </w:rPr>
      </w:pPr>
      <w:r w:rsidRPr="00ED62C1">
        <w:rPr>
          <w:rFonts w:hint="eastAsia"/>
          <w:b/>
          <w:bCs/>
        </w:rPr>
        <w:t>2 | MATERIALS AND METHODS</w:t>
      </w:r>
    </w:p>
    <w:p w14:paraId="0AA3967C" w14:textId="77777777" w:rsidR="00ED62C1" w:rsidRPr="00ED62C1" w:rsidRDefault="00ED62C1" w:rsidP="00ED62C1">
      <w:pPr>
        <w:rPr>
          <w:rFonts w:hint="eastAsia"/>
          <w:b/>
          <w:bCs/>
        </w:rPr>
      </w:pPr>
      <w:r w:rsidRPr="00ED62C1">
        <w:rPr>
          <w:rFonts w:hint="eastAsia"/>
          <w:b/>
          <w:bCs/>
        </w:rPr>
        <w:t>2.1 | Study site and sample collection</w:t>
      </w:r>
    </w:p>
    <w:p w14:paraId="2FC6F06D" w14:textId="1E6C9ADB" w:rsidR="00303B6D" w:rsidRDefault="00303B6D" w:rsidP="00303B6D">
      <w:pPr>
        <w:rPr>
          <w:rFonts w:hint="eastAsia"/>
        </w:rPr>
      </w:pPr>
      <w:r>
        <w:rPr>
          <w:rFonts w:hint="eastAsia"/>
        </w:rPr>
        <w:t xml:space="preserve">The study was conducted in the estuarine area of the </w:t>
      </w:r>
      <w:proofErr w:type="spellStart"/>
      <w:r>
        <w:rPr>
          <w:rFonts w:hint="eastAsia"/>
        </w:rPr>
        <w:t>Zhangjiangkou</w:t>
      </w:r>
      <w:proofErr w:type="spellEnd"/>
      <w:r>
        <w:rPr>
          <w:rFonts w:hint="eastAsia"/>
        </w:rPr>
        <w:t xml:space="preserve"> Mangrove National Nature Reserve, Zhangzhou, Fujian Province, China (117°24′07″E–117°30′00″E, 23°53′45″N–23°56′00″N; hereafter referred to as the </w:t>
      </w:r>
      <w:proofErr w:type="spellStart"/>
      <w:r>
        <w:rPr>
          <w:rFonts w:hint="eastAsia"/>
        </w:rPr>
        <w:t>Zhangjiang</w:t>
      </w:r>
      <w:proofErr w:type="spellEnd"/>
      <w:r>
        <w:rPr>
          <w:rFonts w:hint="eastAsia"/>
        </w:rPr>
        <w:t xml:space="preserve"> Estuary). Based on colonization years identified from remote-sensing imagery, the Spartina alterniflora population in the </w:t>
      </w:r>
      <w:proofErr w:type="spellStart"/>
      <w:r>
        <w:rPr>
          <w:rFonts w:hint="eastAsia"/>
        </w:rPr>
        <w:t>Zhangjiang</w:t>
      </w:r>
      <w:proofErr w:type="spellEnd"/>
      <w:r>
        <w:rPr>
          <w:rFonts w:hint="eastAsia"/>
        </w:rPr>
        <w:t xml:space="preserve"> Estuary was divided into four patches established in 2012, 2013, 2014, and 2015. To capture local microenvironmental heterogeneity, these sampling areas were further classified into three distinct microgeographic zones: the estuary zone (near the river mouth), the competition zone (adjacent to mangroves), and the dense zone (located in the population core).</w:t>
      </w:r>
    </w:p>
    <w:p w14:paraId="39CF777C" w14:textId="7113C4AA" w:rsidR="00303B6D" w:rsidRDefault="00303B6D" w:rsidP="00303B6D">
      <w:pPr>
        <w:rPr>
          <w:rFonts w:hint="eastAsia"/>
        </w:rPr>
      </w:pPr>
      <w:r>
        <w:rPr>
          <w:rFonts w:hint="eastAsia"/>
        </w:rPr>
        <w:lastRenderedPageBreak/>
        <w:t>In September 2022, a total of 26 sampling quadrats (0.5 m × 0.5 m) were established across the four colonization-year patches based on field condition and actual patch distribution. Specifically, 6 quadrats were placed in the 2012 patch, 11 in the 2013 patch, 4 in the 2014 patch, and 5 in the 2015 patch. Quadrats were separated by at least 30 m or were located in independent patches to ensure spatial independence. Elevation of each quadrat was measured using real-time kinematic (RTK) surveying.</w:t>
      </w:r>
    </w:p>
    <w:p w14:paraId="75E14FD3" w14:textId="477D8904" w:rsidR="00303B6D" w:rsidRDefault="00303B6D" w:rsidP="00303B6D">
      <w:pPr>
        <w:rPr>
          <w:rFonts w:hint="eastAsia"/>
        </w:rPr>
      </w:pPr>
      <w:r>
        <w:rPr>
          <w:rFonts w:hint="eastAsia"/>
        </w:rPr>
        <w:t>Within each quadrat, the number of adult plants and flowering or fruiting individuals was recorded. Plant height was measured for the three tallest individuals. One intact and insect-free plant was randomly collected from each quadrat and returned to the laboratory for oven-drying and biomass allocation measurements. In addition, 10 intact mature inflorescences were collected from each quadrat to measure inflorescence length, spikelet number, numbers of filled and unfilled seeds, and thousand-seed weight of filled seeds.</w:t>
      </w:r>
    </w:p>
    <w:p w14:paraId="5FC05899" w14:textId="77777777" w:rsidR="00303B6D" w:rsidRDefault="00303B6D" w:rsidP="00303B6D">
      <w:pPr>
        <w:rPr>
          <w:rFonts w:hint="eastAsia"/>
        </w:rPr>
      </w:pPr>
      <w:r>
        <w:rPr>
          <w:rFonts w:hint="eastAsia"/>
        </w:rPr>
        <w:t>For multi-omics analyses, one S. alterniflora individual was randomly sampled within each quadrat, and 1 to 3 additional individuals were collected from the interval areas between adjacent quadrats. In total, exactly 15 individuals were collected from each patch, yielding 60 leaf samples across the four patches. Leaves were immediately excised, placed into PE tubes, snap-frozen in liquid nitrogen, and transported back to the laboratory for transcriptomic and metabolomic analyses.</w:t>
      </w:r>
    </w:p>
    <w:p w14:paraId="13E2EEA0" w14:textId="77777777" w:rsidR="00ED62C1" w:rsidRPr="00ED62C1" w:rsidRDefault="00ED62C1" w:rsidP="00ED62C1">
      <w:pPr>
        <w:rPr>
          <w:rFonts w:hint="eastAsia"/>
          <w:b/>
          <w:bCs/>
        </w:rPr>
      </w:pPr>
      <w:r w:rsidRPr="00ED62C1">
        <w:rPr>
          <w:rFonts w:hint="eastAsia"/>
          <w:b/>
          <w:bCs/>
        </w:rPr>
        <w:t>2.2 | RNA extraction, transcriptome profiling, and genetic differentiation analyses</w:t>
      </w:r>
    </w:p>
    <w:p w14:paraId="03E91B70" w14:textId="77777777" w:rsidR="00ED62C1" w:rsidRPr="00ED62C1" w:rsidRDefault="00ED62C1" w:rsidP="00ED62C1">
      <w:pPr>
        <w:rPr>
          <w:rFonts w:hint="eastAsia"/>
        </w:rPr>
      </w:pPr>
      <w:r w:rsidRPr="00ED62C1">
        <w:rPr>
          <w:rFonts w:hint="eastAsia"/>
        </w:rPr>
        <w:t xml:space="preserve">To characterize both gene expression variation and genetic differentiation across colonization-year patches, we used the same leaf samples for transcriptomic sequencing and SNP-based analyses. To ensure correspondence between transcriptomic and metabolomic datasets, each leaf sample was divided into two portions for RNA extraction and metabolomic analysis, respectively. Total RNA was extracted from liquid nitrogen-frozen leaves using the </w:t>
      </w:r>
      <w:proofErr w:type="spellStart"/>
      <w:r w:rsidRPr="00ED62C1">
        <w:rPr>
          <w:rFonts w:hint="eastAsia"/>
        </w:rPr>
        <w:t>TRIzol</w:t>
      </w:r>
      <w:proofErr w:type="spellEnd"/>
      <w:r w:rsidRPr="00ED62C1">
        <w:rPr>
          <w:rFonts w:hint="eastAsia"/>
        </w:rPr>
        <w:t xml:space="preserve"> method. RNA quality was assessed using a </w:t>
      </w:r>
      <w:proofErr w:type="spellStart"/>
      <w:r w:rsidRPr="00ED62C1">
        <w:rPr>
          <w:rFonts w:hint="eastAsia"/>
        </w:rPr>
        <w:t>NanoDrop</w:t>
      </w:r>
      <w:proofErr w:type="spellEnd"/>
      <w:r w:rsidRPr="00ED62C1">
        <w:rPr>
          <w:rFonts w:hint="eastAsia"/>
        </w:rPr>
        <w:t xml:space="preserve"> 2000C spectrophotometer (</w:t>
      </w:r>
      <w:proofErr w:type="spellStart"/>
      <w:r w:rsidRPr="00ED62C1">
        <w:rPr>
          <w:rFonts w:hint="eastAsia"/>
        </w:rPr>
        <w:t>Thermo</w:t>
      </w:r>
      <w:proofErr w:type="spellEnd"/>
      <w:r w:rsidRPr="00ED62C1">
        <w:rPr>
          <w:rFonts w:hint="eastAsia"/>
        </w:rPr>
        <w:t xml:space="preserve"> Fisher Scientific, Waltham, MA, USA). cDNA library construction and paired-end sequencing (150 bp) were performed on the Illumina </w:t>
      </w:r>
      <w:proofErr w:type="spellStart"/>
      <w:r w:rsidRPr="00ED62C1">
        <w:rPr>
          <w:rFonts w:hint="eastAsia"/>
        </w:rPr>
        <w:t>NovaSeq</w:t>
      </w:r>
      <w:proofErr w:type="spellEnd"/>
      <w:r w:rsidRPr="00ED62C1">
        <w:rPr>
          <w:rFonts w:hint="eastAsia"/>
        </w:rPr>
        <w:t xml:space="preserve"> 6000 platform (Illumina, San Diego, CA, USA).</w:t>
      </w:r>
    </w:p>
    <w:p w14:paraId="4819BCE0" w14:textId="77777777" w:rsidR="00FD60BD" w:rsidRPr="00FD60BD" w:rsidRDefault="00FD60BD" w:rsidP="00FD60BD">
      <w:pPr>
        <w:rPr>
          <w:rFonts w:hint="eastAsia"/>
        </w:rPr>
      </w:pPr>
      <w:r w:rsidRPr="00FD60BD">
        <w:rPr>
          <w:rFonts w:hint="eastAsia"/>
        </w:rPr>
        <w:t xml:space="preserve">Raw transcriptomic reads were first assessed for sequence quality using </w:t>
      </w:r>
      <w:proofErr w:type="spellStart"/>
      <w:r w:rsidRPr="00FD60BD">
        <w:rPr>
          <w:rFonts w:hint="eastAsia"/>
        </w:rPr>
        <w:t>FastQC</w:t>
      </w:r>
      <w:proofErr w:type="spellEnd"/>
      <w:r w:rsidRPr="00FD60BD">
        <w:rPr>
          <w:rFonts w:hint="eastAsia"/>
        </w:rPr>
        <w:t xml:space="preserve"> (Andrews, 2010). After quality control, clean reads were mapped to the Spartina alterniflora reference genome, which was obtained from previously published data in the China National </w:t>
      </w:r>
      <w:proofErr w:type="spellStart"/>
      <w:r w:rsidRPr="00FD60BD">
        <w:rPr>
          <w:rFonts w:hint="eastAsia"/>
        </w:rPr>
        <w:t>GeneBank</w:t>
      </w:r>
      <w:proofErr w:type="spellEnd"/>
      <w:r w:rsidRPr="00FD60BD">
        <w:rPr>
          <w:rFonts w:hint="eastAsia"/>
        </w:rPr>
        <w:t xml:space="preserve"> Database (Wu et al., 2022). To improve functional annotation, the reference genome was re-annotated using the </w:t>
      </w:r>
      <w:proofErr w:type="spellStart"/>
      <w:r w:rsidRPr="00FD60BD">
        <w:rPr>
          <w:rFonts w:hint="eastAsia"/>
        </w:rPr>
        <w:t>InterPro</w:t>
      </w:r>
      <w:proofErr w:type="spellEnd"/>
      <w:r w:rsidRPr="00FD60BD">
        <w:rPr>
          <w:rFonts w:hint="eastAsia"/>
        </w:rPr>
        <w:t xml:space="preserve"> database (Blum et al., 2021). High-quality reads were aligned to the reference genome using STAR v2.7.1 (</w:t>
      </w:r>
      <w:proofErr w:type="spellStart"/>
      <w:r w:rsidRPr="00FD60BD">
        <w:rPr>
          <w:rFonts w:hint="eastAsia"/>
        </w:rPr>
        <w:t>Dobin</w:t>
      </w:r>
      <w:proofErr w:type="spellEnd"/>
      <w:r w:rsidRPr="00FD60BD">
        <w:rPr>
          <w:rFonts w:hint="eastAsia"/>
        </w:rPr>
        <w:t xml:space="preserve"> et al., 2013), raw gene counts were generated with </w:t>
      </w:r>
      <w:proofErr w:type="spellStart"/>
      <w:r w:rsidRPr="00FD60BD">
        <w:rPr>
          <w:rFonts w:hint="eastAsia"/>
        </w:rPr>
        <w:t>featureCounts</w:t>
      </w:r>
      <w:proofErr w:type="spellEnd"/>
      <w:r w:rsidRPr="00FD60BD">
        <w:rPr>
          <w:rFonts w:hint="eastAsia"/>
        </w:rPr>
        <w:t xml:space="preserve"> v2.0.6 </w:t>
      </w:r>
      <w:r w:rsidRPr="00FD60BD">
        <w:rPr>
          <w:rFonts w:hint="eastAsia"/>
        </w:rPr>
        <w:lastRenderedPageBreak/>
        <w:t>(Liao et al., 2014), and count data were normalized using DESeq2 (Love et al., 2014).</w:t>
      </w:r>
    </w:p>
    <w:p w14:paraId="25151CB5" w14:textId="77777777" w:rsidR="00ED62C1" w:rsidRPr="00ED62C1" w:rsidRDefault="00ED62C1" w:rsidP="00ED62C1">
      <w:pPr>
        <w:rPr>
          <w:rFonts w:hint="eastAsia"/>
        </w:rPr>
      </w:pPr>
      <w:r w:rsidRPr="00ED62C1">
        <w:rPr>
          <w:rFonts w:hint="eastAsia"/>
        </w:rPr>
        <w:t xml:space="preserve">To identify gene expression patterns associated with different colonization-year patches, normalized transcriptomic data were subjected to soft clustering using the </w:t>
      </w:r>
      <w:proofErr w:type="spellStart"/>
      <w:r w:rsidRPr="00ED62C1">
        <w:rPr>
          <w:rFonts w:hint="eastAsia"/>
        </w:rPr>
        <w:t>Mfuzz</w:t>
      </w:r>
      <w:proofErr w:type="spellEnd"/>
      <w:r w:rsidRPr="00ED62C1">
        <w:rPr>
          <w:rFonts w:hint="eastAsia"/>
        </w:rPr>
        <w:t xml:space="preserve"> package (Kumar &amp; </w:t>
      </w:r>
      <w:proofErr w:type="spellStart"/>
      <w:r w:rsidRPr="00ED62C1">
        <w:rPr>
          <w:rFonts w:hint="eastAsia"/>
        </w:rPr>
        <w:t>Futschik</w:t>
      </w:r>
      <w:proofErr w:type="spellEnd"/>
      <w:r w:rsidRPr="00ED62C1">
        <w:rPr>
          <w:rFonts w:hint="eastAsia"/>
        </w:rPr>
        <w:t xml:space="preserve">, 2007). The four colonization-year patches were treated as an ordered gradient for clustering. The optimal cluster number was determined based on minimum centroid distance. Transcripts with membership values &gt; 0.5 were defined as core genes in each cluster, and these core gene sets were further </w:t>
      </w:r>
      <w:proofErr w:type="spellStart"/>
      <w:r w:rsidRPr="00ED62C1">
        <w:rPr>
          <w:rFonts w:hint="eastAsia"/>
        </w:rPr>
        <w:t>analysed</w:t>
      </w:r>
      <w:proofErr w:type="spellEnd"/>
      <w:r w:rsidRPr="00ED62C1">
        <w:rPr>
          <w:rFonts w:hint="eastAsia"/>
        </w:rPr>
        <w:t xml:space="preserve"> by Gene Ontology (GO) enrichment using </w:t>
      </w:r>
      <w:proofErr w:type="spellStart"/>
      <w:r w:rsidRPr="00ED62C1">
        <w:rPr>
          <w:rFonts w:hint="eastAsia"/>
        </w:rPr>
        <w:t>clusterProfiler</w:t>
      </w:r>
      <w:proofErr w:type="spellEnd"/>
      <w:r w:rsidRPr="00ED62C1">
        <w:rPr>
          <w:rFonts w:hint="eastAsia"/>
        </w:rPr>
        <w:t xml:space="preserve"> (Yu et al., 2012). Redundant GO terms were further summarized using </w:t>
      </w:r>
      <w:proofErr w:type="spellStart"/>
      <w:r w:rsidRPr="00ED62C1">
        <w:rPr>
          <w:rFonts w:hint="eastAsia"/>
        </w:rPr>
        <w:t>rrvgo</w:t>
      </w:r>
      <w:proofErr w:type="spellEnd"/>
      <w:r w:rsidRPr="00ED62C1">
        <w:rPr>
          <w:rFonts w:hint="eastAsia"/>
        </w:rPr>
        <w:t xml:space="preserve"> (</w:t>
      </w:r>
      <w:proofErr w:type="spellStart"/>
      <w:r w:rsidRPr="00ED62C1">
        <w:rPr>
          <w:rFonts w:hint="eastAsia"/>
        </w:rPr>
        <w:t>Sayols</w:t>
      </w:r>
      <w:proofErr w:type="spellEnd"/>
      <w:r w:rsidRPr="00ED62C1">
        <w:rPr>
          <w:rFonts w:hint="eastAsia"/>
        </w:rPr>
        <w:t>, 2023).</w:t>
      </w:r>
    </w:p>
    <w:p w14:paraId="35FB1782" w14:textId="77777777" w:rsidR="00ED62C1" w:rsidRPr="00ED62C1" w:rsidRDefault="00ED62C1" w:rsidP="00ED62C1">
      <w:pPr>
        <w:rPr>
          <w:rFonts w:hint="eastAsia"/>
        </w:rPr>
      </w:pPr>
      <w:r w:rsidRPr="00ED62C1">
        <w:rPr>
          <w:rFonts w:hint="eastAsia"/>
        </w:rPr>
        <w:t xml:space="preserve">To assess genetic differentiation among colonization-year patches, sequence variants were called from the alignment files and filtered to retain high-quality SNPs using the GATK pipeline (McKenna et al., 2010) and </w:t>
      </w:r>
      <w:proofErr w:type="spellStart"/>
      <w:r w:rsidRPr="00ED62C1">
        <w:rPr>
          <w:rFonts w:hint="eastAsia"/>
        </w:rPr>
        <w:t>SAMtools</w:t>
      </w:r>
      <w:proofErr w:type="spellEnd"/>
      <w:r w:rsidRPr="00ED62C1">
        <w:rPr>
          <w:rFonts w:hint="eastAsia"/>
        </w:rPr>
        <w:t xml:space="preserve"> (Li et al., 2009a). Additional SNP filtering and downstream genotype processing were conducted using </w:t>
      </w:r>
      <w:proofErr w:type="spellStart"/>
      <w:r w:rsidRPr="00ED62C1">
        <w:rPr>
          <w:rFonts w:hint="eastAsia"/>
        </w:rPr>
        <w:t>VCFtools</w:t>
      </w:r>
      <w:proofErr w:type="spellEnd"/>
      <w:r w:rsidRPr="00ED62C1">
        <w:rPr>
          <w:rFonts w:hint="eastAsia"/>
        </w:rPr>
        <w:t xml:space="preserve"> (</w:t>
      </w:r>
      <w:proofErr w:type="spellStart"/>
      <w:r w:rsidRPr="00ED62C1">
        <w:rPr>
          <w:rFonts w:hint="eastAsia"/>
        </w:rPr>
        <w:t>Danecek</w:t>
      </w:r>
      <w:proofErr w:type="spellEnd"/>
      <w:r w:rsidRPr="00ED62C1">
        <w:rPr>
          <w:rFonts w:hint="eastAsia"/>
        </w:rPr>
        <w:t xml:space="preserve"> et al., 2011) and PLINK/PLINK 2 (Purcell et al., 2007; Chang et al., 2015). The retained SNPs were used to (1) estimate pairwise relatedness among individuals, (2) quantify genetic differentiation and nucleotide diversity for each patch relative to the other three patches, and (3) identify significantly differentiated SNPs for subsequent principal component analysis (PCA).</w:t>
      </w:r>
    </w:p>
    <w:p w14:paraId="7CC1A233" w14:textId="77777777" w:rsidR="00ED62C1" w:rsidRPr="00ED62C1" w:rsidRDefault="00ED62C1" w:rsidP="00ED62C1">
      <w:pPr>
        <w:rPr>
          <w:rFonts w:hint="eastAsia"/>
          <w:b/>
          <w:bCs/>
        </w:rPr>
      </w:pPr>
      <w:r w:rsidRPr="00ED62C1">
        <w:rPr>
          <w:rFonts w:hint="eastAsia"/>
          <w:b/>
          <w:bCs/>
        </w:rPr>
        <w:t>2.3 | Untargeted metabolomics</w:t>
      </w:r>
    </w:p>
    <w:p w14:paraId="2B7885C6" w14:textId="77777777" w:rsidR="00ED62C1" w:rsidRPr="00ED62C1" w:rsidRDefault="00ED62C1" w:rsidP="00ED62C1">
      <w:pPr>
        <w:rPr>
          <w:rFonts w:hint="eastAsia"/>
        </w:rPr>
      </w:pPr>
      <w:r w:rsidRPr="00ED62C1">
        <w:rPr>
          <w:rFonts w:hint="eastAsia"/>
        </w:rPr>
        <w:t xml:space="preserve">The remaining half of each leaf sample was used for untargeted metabolomic analysis. Metabolite extraction and liquid chromatography–mass spectrometry (LC–MS) analysis were conducted by </w:t>
      </w:r>
      <w:proofErr w:type="spellStart"/>
      <w:r w:rsidRPr="00ED62C1">
        <w:rPr>
          <w:rFonts w:hint="eastAsia"/>
        </w:rPr>
        <w:t>Novogene</w:t>
      </w:r>
      <w:proofErr w:type="spellEnd"/>
      <w:r w:rsidRPr="00ED62C1">
        <w:rPr>
          <w:rFonts w:hint="eastAsia"/>
        </w:rPr>
        <w:t xml:space="preserve"> Bioinformatics Technology Co., Ltd. Raw mass spectrometry data were converted into standard formats and processed in </w:t>
      </w:r>
      <w:proofErr w:type="spellStart"/>
      <w:r w:rsidRPr="00ED62C1">
        <w:rPr>
          <w:rFonts w:hint="eastAsia"/>
        </w:rPr>
        <w:t>MZmine</w:t>
      </w:r>
      <w:proofErr w:type="spellEnd"/>
      <w:r w:rsidRPr="00ED62C1">
        <w:rPr>
          <w:rFonts w:hint="eastAsia"/>
        </w:rPr>
        <w:t xml:space="preserve"> v4.8 for peak detection, deconvolution, isotope grouping, peak alignment, and gap filling. Only metabolite features with MS/MS fragmentation information were retained for further analysis.</w:t>
      </w:r>
    </w:p>
    <w:p w14:paraId="49B0D186" w14:textId="7B0188F6" w:rsidR="00ED62C1" w:rsidRPr="00ED62C1" w:rsidRDefault="00FC5445" w:rsidP="00ED62C1">
      <w:pPr>
        <w:rPr>
          <w:rFonts w:hint="eastAsia"/>
        </w:rPr>
      </w:pPr>
      <w:r w:rsidRPr="00FC5445">
        <w:rPr>
          <w:rFonts w:hint="eastAsia"/>
        </w:rPr>
        <w:t>Metabolite features were then annotated using SIRIUS v</w:t>
      </w:r>
      <w:r>
        <w:rPr>
          <w:rFonts w:hint="eastAsia"/>
        </w:rPr>
        <w:t>6</w:t>
      </w:r>
      <w:r w:rsidRPr="00FC5445">
        <w:rPr>
          <w:rFonts w:hint="eastAsia"/>
        </w:rPr>
        <w:t>.3.0 (Dü</w:t>
      </w:r>
      <w:proofErr w:type="spellStart"/>
      <w:r w:rsidRPr="00FC5445">
        <w:rPr>
          <w:rFonts w:hint="eastAsia"/>
        </w:rPr>
        <w:t>hrkop</w:t>
      </w:r>
      <w:proofErr w:type="spellEnd"/>
      <w:r w:rsidRPr="00FC5445">
        <w:rPr>
          <w:rFonts w:hint="eastAsia"/>
        </w:rPr>
        <w:t xml:space="preserve"> et al., 2019) and its associated modules for molecular formula prediction, structural annotation, and compound classification. Feature-based molecular networking was further conducted on the GNPS platform (Wang et al., 2016) to assist metabolite </w:t>
      </w:r>
      <w:proofErr w:type="spellStart"/>
      <w:proofErr w:type="gramStart"/>
      <w:r w:rsidRPr="00FC5445">
        <w:rPr>
          <w:rFonts w:hint="eastAsia"/>
        </w:rPr>
        <w:t>annotation.</w:t>
      </w:r>
      <w:r w:rsidR="00ED62C1" w:rsidRPr="00ED62C1">
        <w:rPr>
          <w:rFonts w:hint="eastAsia"/>
        </w:rPr>
        <w:t>The</w:t>
      </w:r>
      <w:proofErr w:type="spellEnd"/>
      <w:proofErr w:type="gramEnd"/>
      <w:r w:rsidR="00ED62C1" w:rsidRPr="00ED62C1">
        <w:rPr>
          <w:rFonts w:hint="eastAsia"/>
        </w:rPr>
        <w:t xml:space="preserve"> final annotations from GNPS and SIRIUS were integrated and converted into KEGG identifiers for downstream pathway analysis. Metabolite annotation confidence was classified with reference to the framework proposed by </w:t>
      </w:r>
      <w:proofErr w:type="spellStart"/>
      <w:r w:rsidR="00ED62C1" w:rsidRPr="00ED62C1">
        <w:rPr>
          <w:rFonts w:hint="eastAsia"/>
        </w:rPr>
        <w:t>Schymanski</w:t>
      </w:r>
      <w:proofErr w:type="spellEnd"/>
      <w:r w:rsidR="00ED62C1" w:rsidRPr="00ED62C1">
        <w:rPr>
          <w:rFonts w:hint="eastAsia"/>
        </w:rPr>
        <w:t xml:space="preserve"> et al. (2014) for communicating confidence in small-molecule identification based on high-resolution mass spectrometry.</w:t>
      </w:r>
    </w:p>
    <w:p w14:paraId="1F62DE4B" w14:textId="77777777" w:rsidR="00ED62C1" w:rsidRPr="00ED62C1" w:rsidRDefault="00ED62C1" w:rsidP="00ED62C1">
      <w:pPr>
        <w:rPr>
          <w:rFonts w:hint="eastAsia"/>
        </w:rPr>
      </w:pPr>
      <w:r w:rsidRPr="00ED62C1">
        <w:rPr>
          <w:rFonts w:hint="eastAsia"/>
        </w:rPr>
        <w:t xml:space="preserve">Because strong batch effects remained evident after testing multiple correction </w:t>
      </w:r>
      <w:r w:rsidRPr="00ED62C1">
        <w:rPr>
          <w:rFonts w:hint="eastAsia"/>
        </w:rPr>
        <w:lastRenderedPageBreak/>
        <w:t>approaches, and no method satisfactorily removed batch-associated separation without risking distortion of the biological structure, only samples from the second batch were retained for downstream metabolomic analyses. After exclusion of batch 1, the retained metabolomic sample sizes were 10, 15, 15, and 10 for the 2012, 2013, 2014, and 2015 patches, respectively. This reduction in sample size and balance should be considered when interpreting metabolome-based patterns.</w:t>
      </w:r>
    </w:p>
    <w:p w14:paraId="2EF6AA34" w14:textId="77777777" w:rsidR="00ED62C1" w:rsidRPr="00ED62C1" w:rsidRDefault="00ED62C1" w:rsidP="00ED62C1">
      <w:pPr>
        <w:rPr>
          <w:rFonts w:hint="eastAsia"/>
          <w:b/>
          <w:bCs/>
        </w:rPr>
      </w:pPr>
      <w:r w:rsidRPr="00ED62C1">
        <w:rPr>
          <w:rFonts w:hint="eastAsia"/>
          <w:b/>
          <w:bCs/>
        </w:rPr>
        <w:t>2.4 | Bayesian hierarchical model</w:t>
      </w:r>
    </w:p>
    <w:p w14:paraId="7B4851C7" w14:textId="77777777" w:rsidR="00303B6D" w:rsidRDefault="00303B6D" w:rsidP="00ED62C1">
      <w:pPr>
        <w:rPr>
          <w:rFonts w:hint="eastAsia"/>
        </w:rPr>
      </w:pPr>
      <w:r w:rsidRPr="00303B6D">
        <w:rPr>
          <w:rFonts w:hint="eastAsia"/>
        </w:rPr>
        <w:t xml:space="preserve">To integrate phenotypic, transcriptomic, metabolomic, genetic, and spatial information within a common analytical framework, we constructed an integrative Bayesian hierarchical model. Before model fitting, all datasets were cross-matched by sample identity, and only samples for which phenotypic, metabolomic, transcriptomic, and SNP data were simultaneously available and unaffected by batch-effect exclusions were retained. This strict filtering resulted in a final set of 20 strictly matched samples used for hierarchical modeling. These samples naturally mirrored the unequal initial field design, distributing across the </w:t>
      </w:r>
      <w:proofErr w:type="spellStart"/>
      <w:r w:rsidRPr="00303B6D">
        <w:rPr>
          <w:rFonts w:hint="eastAsia"/>
        </w:rPr>
        <w:t>chronosequence</w:t>
      </w:r>
      <w:proofErr w:type="spellEnd"/>
      <w:r w:rsidRPr="00303B6D">
        <w:rPr>
          <w:rFonts w:hint="eastAsia"/>
        </w:rPr>
        <w:t xml:space="preserve"> as follows: six samples from 2012 (matching quadrats 1–6; IDs: 2012_4_1, 2012_6_2, 2012_8_3, 2012_10_4, 2012_12_5, 2012_14_6), six samples from 2013 (matching quadrats 1, 3, 4, 6, 7, and 11; IDs: 2013_1_1, 2013_5_3, 2013_8_4, 2013_11_6, 2013_13_7, 2013_20_11), three samples from 2014 (matching quadrats 1, 3, and 4; IDs: 2014_1_1, 2014_9_3, 2014_12_4), and five samples from 2015 (matching quadrats 1–5; IDs: 2015_3_1, 2015_5_2, 2015_10_3, 2015_13_4, 2015_17_5). </w:t>
      </w:r>
    </w:p>
    <w:p w14:paraId="534204B3" w14:textId="5469D61F" w:rsidR="00ED62C1" w:rsidRPr="00ED62C1" w:rsidRDefault="00ED62C1" w:rsidP="00ED62C1">
      <w:pPr>
        <w:rPr>
          <w:rFonts w:hint="eastAsia"/>
        </w:rPr>
      </w:pPr>
      <w:r w:rsidRPr="00ED62C1">
        <w:rPr>
          <w:rFonts w:hint="eastAsia"/>
        </w:rPr>
        <w:t>To reduce dimensionality and obtain comparable summary descriptors across high-dimensional data types, principal component analysis (PCA) was performed separately for spatial position, SNP variation, transcriptomic variation, and metabolomic variation. For each of these datasets, the first principal component (PC1) was used as a univariate summary variable representing the dominant axis of variation. Spatial-position PC1 was derived from quadrat longitude and latitude. PC1 scores for spatial position, SNPs, transcriptomic data, and metabolomic data were normalized prior to model fitting. By contrast, leaf biomass and spikelet number were entered into the model as observed phenotypic variables representing growth and reproductive performance, respectively.</w:t>
      </w:r>
    </w:p>
    <w:p w14:paraId="26BB29EF" w14:textId="77777777" w:rsidR="00ED62C1" w:rsidRPr="00ED62C1" w:rsidRDefault="00ED62C1" w:rsidP="00ED62C1">
      <w:pPr>
        <w:rPr>
          <w:rFonts w:hint="eastAsia"/>
        </w:rPr>
      </w:pPr>
      <w:r w:rsidRPr="00ED62C1">
        <w:rPr>
          <w:rFonts w:hint="eastAsia"/>
        </w:rPr>
        <w:t>The hierarchical model was structured in two layers. In the first layer, transcriptomic and metabolomic PC1 scores were modeled as responses to spatial position and SNP variation. In the second layer, phenotypic responses were modeled as functions of the transcriptomic and metabolomic components estimated in the first layer. Leaf biomass was used as the growth-related phenotypic response, and spikelet number was used as the reproductive phenotypic response.</w:t>
      </w:r>
    </w:p>
    <w:p w14:paraId="754486AB" w14:textId="77777777" w:rsidR="00ED62C1" w:rsidRPr="00ED62C1" w:rsidRDefault="00ED62C1" w:rsidP="00ED62C1">
      <w:pPr>
        <w:rPr>
          <w:rFonts w:hint="eastAsia"/>
        </w:rPr>
      </w:pPr>
      <w:r w:rsidRPr="00ED62C1">
        <w:rPr>
          <w:rFonts w:hint="eastAsia"/>
        </w:rPr>
        <w:lastRenderedPageBreak/>
        <w:t>The model included both fixed effects and sample-level random effects. Growth and reproductive responses were modeled jointly so that their covariance structure could be estimated simultaneously within the Bayesian framework. Weakly informative priors were assigned to model parameters, and hyperpriors were used for variance terms to allow shrinkage and reduce the risk of overparameterization.</w:t>
      </w:r>
    </w:p>
    <w:p w14:paraId="60EF4DF2" w14:textId="77777777" w:rsidR="00ED62C1" w:rsidRPr="00ED62C1" w:rsidRDefault="00ED62C1" w:rsidP="00ED62C1">
      <w:pPr>
        <w:rPr>
          <w:rFonts w:hint="eastAsia"/>
        </w:rPr>
      </w:pPr>
      <w:r w:rsidRPr="00ED62C1">
        <w:rPr>
          <w:rFonts w:hint="eastAsia"/>
        </w:rPr>
        <w:t>All parameters were jointly estimated using a Metropolis–Hastings Markov chain Monte Carlo (MCMC) algorithm. Posterior means and 95% credible intervals were used to summarize parameter estimates, and posterior probabilities were used to evaluate the directionality of effects. Additional details of data preprocessing, variable construction, model specification, prior distributions, and MCMC implementation are provided in Supplementary Text S7.</w:t>
      </w:r>
    </w:p>
    <w:p w14:paraId="6E82DDFC" w14:textId="77777777" w:rsidR="00ED62C1" w:rsidRPr="00ED62C1" w:rsidRDefault="00ED62C1" w:rsidP="00ED62C1">
      <w:pPr>
        <w:rPr>
          <w:rFonts w:hint="eastAsia"/>
          <w:b/>
          <w:bCs/>
        </w:rPr>
      </w:pPr>
      <w:r w:rsidRPr="00ED62C1">
        <w:rPr>
          <w:rFonts w:hint="eastAsia"/>
          <w:b/>
          <w:bCs/>
        </w:rPr>
        <w:t>2.5 | Statistical analyses</w:t>
      </w:r>
    </w:p>
    <w:p w14:paraId="2D8B1106" w14:textId="129EFB18" w:rsidR="00ED62C1" w:rsidRPr="00ED62C1" w:rsidRDefault="00ED62C1" w:rsidP="00ED62C1">
      <w:pPr>
        <w:rPr>
          <w:rFonts w:hint="eastAsia"/>
        </w:rPr>
      </w:pPr>
      <w:r w:rsidRPr="00ED62C1">
        <w:rPr>
          <w:rFonts w:hint="eastAsia"/>
        </w:rPr>
        <w:t xml:space="preserve">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w:t>
      </w:r>
      <w:r w:rsidR="00C7305B" w:rsidRPr="00C7305B">
        <w:t>GO and KEGG enrichment analyses were used to identify biological processes and metabolic pathways associated with patch-level molecular differentiation at the microgeographic scale.</w:t>
      </w:r>
      <w:r w:rsidRPr="00ED62C1">
        <w:rPr>
          <w:rFonts w:hint="eastAsia"/>
        </w:rPr>
        <w:t xml:space="preserve"> The Bayesian hierarchical model was used to quantify the direct and indirect relationships among patch position, genetic variation, multi-omics variation, and phenotypic traits.</w:t>
      </w:r>
    </w:p>
    <w:p w14:paraId="23C8ABFE" w14:textId="77777777" w:rsidR="00EC509A" w:rsidRDefault="00EC509A">
      <w:pPr>
        <w:rPr>
          <w:rFonts w:hint="eastAsia"/>
        </w:rPr>
      </w:pPr>
    </w:p>
    <w:p w14:paraId="64CED1D8" w14:textId="77777777" w:rsidR="000920A9" w:rsidRPr="000920A9" w:rsidRDefault="000920A9" w:rsidP="000920A9">
      <w:pPr>
        <w:rPr>
          <w:rFonts w:hint="eastAsia"/>
          <w:b/>
          <w:bCs/>
        </w:rPr>
      </w:pPr>
      <w:r w:rsidRPr="000920A9">
        <w:rPr>
          <w:b/>
          <w:bCs/>
        </w:rPr>
        <w:t>3 | RESULTS</w:t>
      </w:r>
    </w:p>
    <w:p w14:paraId="6D5538DD" w14:textId="77777777" w:rsidR="000920A9" w:rsidRPr="000920A9" w:rsidRDefault="000920A9" w:rsidP="000920A9">
      <w:pPr>
        <w:rPr>
          <w:rFonts w:hint="eastAsia"/>
          <w:b/>
          <w:bCs/>
        </w:rPr>
      </w:pPr>
      <w:r w:rsidRPr="000920A9">
        <w:rPr>
          <w:b/>
          <w:bCs/>
        </w:rPr>
        <w:t>3.1 | Phenotypic variation across colonization-year patches</w:t>
      </w:r>
    </w:p>
    <w:p w14:paraId="7973579D" w14:textId="77777777" w:rsidR="000920A9" w:rsidRPr="000920A9" w:rsidRDefault="000920A9" w:rsidP="000920A9">
      <w:pPr>
        <w:rPr>
          <w:rFonts w:hint="eastAsia"/>
        </w:rPr>
      </w:pPr>
      <w:r w:rsidRPr="000920A9">
        <w:t>To characterize phenotypic differentiation across the microgeographic invasion system, we measured aboveground biomass allocation, morphological traits, and reproductive traits in </w:t>
      </w:r>
      <w:r w:rsidRPr="000920A9">
        <w:rPr>
          <w:i/>
          <w:iCs/>
        </w:rPr>
        <w:t>Spartina alterniflora</w:t>
      </w:r>
      <w:r w:rsidRPr="000920A9">
        <w:t xml:space="preserve"> quadrats distributed among patches assigned to different colonization years in the </w:t>
      </w:r>
      <w:proofErr w:type="spellStart"/>
      <w:r w:rsidRPr="000920A9">
        <w:t>Zhangjiang</w:t>
      </w:r>
      <w:proofErr w:type="spellEnd"/>
      <w:r w:rsidRPr="000920A9">
        <w:t xml:space="preserve"> Estuary (Fig. 1a; Fig. S1a). Across patches, several measured aboveground traits differed significantly, including stem biomass, shoot biomass, leaf biomass, and inflorescence biomass (Fig. 1b–e). In addition, flowering stem density, plant height, inflorescence length, and spikelet number also varied among colonization-year patches (Fig. S1b–e).</w:t>
      </w:r>
    </w:p>
    <w:p w14:paraId="58F52070" w14:textId="77777777" w:rsidR="000920A9" w:rsidRPr="000920A9" w:rsidRDefault="000920A9" w:rsidP="000920A9">
      <w:pPr>
        <w:rPr>
          <w:rFonts w:hint="eastAsia"/>
        </w:rPr>
      </w:pPr>
      <w:r w:rsidRPr="000920A9">
        <w:t xml:space="preserve">Taken together, these results indicate that nearby patches distinguished by colonization year were differentiated in the measured aboveground traits. Because the study design </w:t>
      </w:r>
      <w:r w:rsidRPr="000920A9">
        <w:lastRenderedPageBreak/>
        <w:t>is observational, these phenotypic differences are described here as patch-level differentiation rather than direct evidence of temporal change.</w:t>
      </w:r>
    </w:p>
    <w:p w14:paraId="410E2920" w14:textId="5EE80630" w:rsidR="00ED62C1" w:rsidRDefault="00ED62C1" w:rsidP="00ED62C1">
      <w:pPr>
        <w:rPr>
          <w:rFonts w:hint="eastAsia"/>
          <w:b/>
          <w:bCs/>
        </w:rPr>
      </w:pPr>
      <w:r>
        <w:rPr>
          <w:noProof/>
        </w:rPr>
        <w:drawing>
          <wp:inline distT="0" distB="0" distL="0" distR="0" wp14:anchorId="06423696" wp14:editId="1F20A149">
            <wp:extent cx="5274310" cy="6908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7" cstate="print">
                      <a:extLst>
                        <a:ext uri="{28A0092B-C50C-407E-A947-70E740481C1C}">
                          <a14:useLocalDpi xmlns:a14="http://schemas.microsoft.com/office/drawing/2010/main" val="0"/>
                        </a:ext>
                      </a:extLst>
                    </a:blip>
                    <a:srcRect l="31522" r="11206"/>
                    <a:stretch/>
                  </pic:blipFill>
                  <pic:spPr bwMode="auto">
                    <a:xfrm>
                      <a:off x="0" y="0"/>
                      <a:ext cx="5274310" cy="6908165"/>
                    </a:xfrm>
                    <a:prstGeom prst="rect">
                      <a:avLst/>
                    </a:prstGeom>
                    <a:ln>
                      <a:noFill/>
                    </a:ln>
                    <a:extLst>
                      <a:ext uri="{53640926-AAD7-44D8-BBD7-CCE9431645EC}">
                        <a14:shadowObscured xmlns:a14="http://schemas.microsoft.com/office/drawing/2010/main"/>
                      </a:ext>
                    </a:extLst>
                  </pic:spPr>
                </pic:pic>
              </a:graphicData>
            </a:graphic>
          </wp:inline>
        </w:drawing>
      </w:r>
    </w:p>
    <w:p w14:paraId="706E86E5" w14:textId="5C0CB10C" w:rsidR="00ED62C1" w:rsidRPr="00ED62C1" w:rsidRDefault="00ED62C1" w:rsidP="00ED62C1">
      <w:pPr>
        <w:rPr>
          <w:rFonts w:hint="eastAsia"/>
          <w:b/>
          <w:bCs/>
        </w:rPr>
      </w:pPr>
      <w:r w:rsidRPr="00ED62C1">
        <w:rPr>
          <w:rFonts w:hint="eastAsia"/>
          <w:b/>
          <w:bCs/>
        </w:rPr>
        <w:t xml:space="preserve">Figure 1 | Sampling design and differences in aboveground organ biomass among Spartina alterniflora patches with different colonization years in the </w:t>
      </w:r>
      <w:proofErr w:type="spellStart"/>
      <w:r w:rsidRPr="00ED62C1">
        <w:rPr>
          <w:rFonts w:hint="eastAsia"/>
          <w:b/>
          <w:bCs/>
        </w:rPr>
        <w:t>Zhangjiang</w:t>
      </w:r>
      <w:proofErr w:type="spellEnd"/>
      <w:r w:rsidRPr="00ED62C1">
        <w:rPr>
          <w:rFonts w:hint="eastAsia"/>
          <w:b/>
          <w:bCs/>
        </w:rPr>
        <w:t xml:space="preserve"> Estuary.</w:t>
      </w:r>
      <w:r w:rsidRPr="00ED62C1">
        <w:rPr>
          <w:rFonts w:hint="eastAsia"/>
          <w:b/>
          <w:bCs/>
        </w:rPr>
        <w:br/>
        <w:t xml:space="preserve">(a) Based on colonization year identified from satellite imagery, the </w:t>
      </w:r>
      <w:r w:rsidRPr="00ED62C1">
        <w:rPr>
          <w:rFonts w:hint="eastAsia"/>
          <w:b/>
          <w:bCs/>
          <w:i/>
        </w:rPr>
        <w:t>S. alterniflora</w:t>
      </w:r>
      <w:r w:rsidRPr="00ED62C1">
        <w:rPr>
          <w:rFonts w:hint="eastAsia"/>
          <w:b/>
          <w:bCs/>
        </w:rPr>
        <w:t xml:space="preserve"> population in the </w:t>
      </w:r>
      <w:proofErr w:type="spellStart"/>
      <w:r w:rsidRPr="00ED62C1">
        <w:rPr>
          <w:rFonts w:hint="eastAsia"/>
          <w:b/>
          <w:bCs/>
        </w:rPr>
        <w:t>Zhangjiang</w:t>
      </w:r>
      <w:proofErr w:type="spellEnd"/>
      <w:r w:rsidRPr="00ED62C1">
        <w:rPr>
          <w:rFonts w:hint="eastAsia"/>
          <w:b/>
          <w:bCs/>
        </w:rPr>
        <w:t xml:space="preserve"> Estuary was divided into four patches established in </w:t>
      </w:r>
      <w:r w:rsidRPr="00ED62C1">
        <w:rPr>
          <w:rFonts w:hint="eastAsia"/>
          <w:b/>
          <w:bCs/>
        </w:rPr>
        <w:lastRenderedPageBreak/>
        <w:t>2012, 2013, 2014, and 2015. Red, green, blue, and yellow points indicate sampling locations in the 2012, 2013, 2014, and 2015 patches, respectively. According to microgeographic habitat conditions, the population was further classified into three zones: the estuary zone near the river mouth, the competition zone adjacent to mangroves, and the dense zone located in the population core. Blue, green, and yellow ellipses denote the estuary, competition, and dense zones, respectively.</w:t>
      </w:r>
      <w:r w:rsidRPr="00ED62C1">
        <w:rPr>
          <w:rFonts w:hint="eastAsia"/>
          <w:b/>
          <w:bCs/>
        </w:rPr>
        <w:br/>
        <w:t>(b–e) Differences in biomass among the four patches of different colonization years for (b) stem biomass, (c) shoot biomass, (d) leaf biomass, and (e) inflorescence biomass. Different letters above boxplots indicate significant differences among patches (</w:t>
      </w:r>
      <w:r w:rsidRPr="00ED62C1">
        <w:rPr>
          <w:rFonts w:hint="eastAsia"/>
          <w:b/>
          <w:bCs/>
          <w:i/>
        </w:rPr>
        <w:t>P</w:t>
      </w:r>
      <w:r w:rsidRPr="00ED62C1">
        <w:rPr>
          <w:rFonts w:hint="eastAsia"/>
          <w:b/>
          <w:bCs/>
        </w:rPr>
        <w:t xml:space="preserve"> &lt; 0.05).</w:t>
      </w:r>
    </w:p>
    <w:p w14:paraId="626EB9F6" w14:textId="77777777" w:rsidR="000920A9" w:rsidRPr="000920A9" w:rsidRDefault="000920A9" w:rsidP="000920A9">
      <w:pPr>
        <w:rPr>
          <w:rFonts w:hint="eastAsia"/>
          <w:b/>
          <w:bCs/>
        </w:rPr>
      </w:pPr>
      <w:r w:rsidRPr="000920A9">
        <w:rPr>
          <w:b/>
          <w:bCs/>
        </w:rPr>
        <w:t>3.2 | Transcriptomic and metabolomic differentiation across patches</w:t>
      </w:r>
    </w:p>
    <w:p w14:paraId="4CE0FE7D" w14:textId="77777777" w:rsidR="000920A9" w:rsidRPr="000920A9" w:rsidRDefault="000920A9" w:rsidP="000920A9">
      <w:pPr>
        <w:rPr>
          <w:rFonts w:hint="eastAsia"/>
        </w:rPr>
      </w:pPr>
      <w:r w:rsidRPr="000920A9">
        <w:t xml:space="preserve">We next examined whether colonization-year patches also differed at the leaf molecular level. Transcriptomic sequencing of leaf tissue identified 73,711 expressed genes with the sequencing and mapping statistics summarized in Table S3. Principal component analysis of normalized transcriptomic data showed differentiation among samples from different colonization-year patches (Fig. 2a). </w:t>
      </w:r>
      <w:proofErr w:type="spellStart"/>
      <w:r w:rsidRPr="000920A9">
        <w:t>Mfuzz</w:t>
      </w:r>
      <w:proofErr w:type="spellEnd"/>
      <w:r w:rsidRPr="000920A9">
        <w:t xml:space="preserve"> clustering identified four major expression-pattern groups across the patch gradient (Fig. S2</w:t>
      </w:r>
      <w:proofErr w:type="gramStart"/>
      <w:r w:rsidRPr="000920A9">
        <w:t>a,c</w:t>
      </w:r>
      <w:proofErr w:type="gramEnd"/>
      <w:r w:rsidRPr="000920A9">
        <w:t>), with 12,026, 10,033, 5,453, and 10,196 core genes assigned to the four clusters, respectively. Gene Ontology enrichment analyses suggested that these clusters were associated with different functional categories across patches (Fig. 2c–f), including stress- and defense-related categories in the 2012 patch, photosynthesis-related categories in the 2013 and 2014 patches, and developmental or transport-related categories in the 2015 patch.</w:t>
      </w:r>
    </w:p>
    <w:p w14:paraId="6E8FDF5E" w14:textId="77777777" w:rsidR="000920A9" w:rsidRPr="000920A9" w:rsidRDefault="000920A9" w:rsidP="000920A9">
      <w:pPr>
        <w:rPr>
          <w:rFonts w:hint="eastAsia"/>
        </w:rPr>
      </w:pPr>
      <w:r w:rsidRPr="000920A9">
        <w:t xml:space="preserve">Untargeted metabolomic profiling detected 68,574 MS2 features, of which 1,109 were structurally annotated and 143 could be mapped to KEGG identifiers (Table S5). Because strong batch effects remained after testing multiple correction approaches, only samples from batch 2 were retained for downstream metabolomic analyses (see Methods). Principal component analysis of the retained metabolomic dataset showed differentiation among colonization-year patches (Fig. 2b). </w:t>
      </w:r>
      <w:proofErr w:type="spellStart"/>
      <w:r w:rsidRPr="000920A9">
        <w:t>Mfuzz</w:t>
      </w:r>
      <w:proofErr w:type="spellEnd"/>
      <w:r w:rsidRPr="000920A9">
        <w:t xml:space="preserve"> clustering of the retained metabolomic data identified four major metabolite-pattern groups across the patch gradient (Fig. S2b,d), and KEGG enrichment analyses suggested that different pathway categories were associated with different patches (Fig. 2g), including flavonoid biosynthesis and glycerophospholipid metabolism in the 2012 patch, carbon fixation and aminoacyl-tRNA biosynthesis in the 2013 patch, starch and sucrose metabolism in the 2014 patch, and glutathione and alpha-linolenic acid metabolism in the 2015 patch.</w:t>
      </w:r>
    </w:p>
    <w:p w14:paraId="207910D0" w14:textId="77777777" w:rsidR="000920A9" w:rsidRPr="000920A9" w:rsidRDefault="000920A9" w:rsidP="000920A9">
      <w:pPr>
        <w:rPr>
          <w:rFonts w:hint="eastAsia"/>
          <w:b/>
          <w:bCs/>
        </w:rPr>
      </w:pPr>
      <w:r w:rsidRPr="000920A9">
        <w:t xml:space="preserve">Overall, both transcriptomic and metabolomic analyses supported leaf-level molecular differentiation among colonization-year patches. However, metabolomic results should </w:t>
      </w:r>
      <w:r w:rsidRPr="000920A9">
        <w:lastRenderedPageBreak/>
        <w:t>be interpreted in light of the batch-related sample exclusion described above.</w:t>
      </w:r>
    </w:p>
    <w:p w14:paraId="50FC2E32" w14:textId="18C61EA2" w:rsidR="00ED62C1" w:rsidRDefault="00ED62C1" w:rsidP="00ED62C1">
      <w:pPr>
        <w:rPr>
          <w:rFonts w:hint="eastAsia"/>
          <w:b/>
          <w:bCs/>
        </w:rPr>
      </w:pPr>
      <w:r>
        <w:rPr>
          <w:noProof/>
        </w:rPr>
        <w:drawing>
          <wp:inline distT="0" distB="0" distL="0" distR="0" wp14:anchorId="0391E2E1" wp14:editId="318AD9F9">
            <wp:extent cx="5274310" cy="7376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376795"/>
                    </a:xfrm>
                    <a:prstGeom prst="rect">
                      <a:avLst/>
                    </a:prstGeom>
                  </pic:spPr>
                </pic:pic>
              </a:graphicData>
            </a:graphic>
          </wp:inline>
        </w:drawing>
      </w:r>
    </w:p>
    <w:p w14:paraId="3C48897B" w14:textId="48728BFB" w:rsidR="00ED62C1" w:rsidRPr="00ED62C1" w:rsidRDefault="00ED62C1" w:rsidP="00ED62C1">
      <w:pPr>
        <w:rPr>
          <w:rFonts w:hint="eastAsia"/>
          <w:b/>
          <w:bCs/>
        </w:rPr>
      </w:pPr>
      <w:r w:rsidRPr="00ED62C1">
        <w:rPr>
          <w:rFonts w:hint="eastAsia"/>
          <w:b/>
          <w:bCs/>
        </w:rPr>
        <w:t>Figure 2 | Transcriptomic and metabolomic variation among Spartina alterniflora patches with different colonization years and their functional enrichment patterns.</w:t>
      </w:r>
      <w:r w:rsidRPr="00ED62C1">
        <w:rPr>
          <w:rFonts w:hint="eastAsia"/>
          <w:b/>
          <w:bCs/>
        </w:rPr>
        <w:br/>
        <w:t xml:space="preserve">(a) Principal component analysis (PCA) of the transcriptome. (b) Principal component analysis (PCA) of the metabolome. Red, green, blue, and yellow points </w:t>
      </w:r>
      <w:r w:rsidRPr="00ED62C1">
        <w:rPr>
          <w:rFonts w:hint="eastAsia"/>
          <w:b/>
          <w:bCs/>
        </w:rPr>
        <w:lastRenderedPageBreak/>
        <w:t>represent samples from patches established in 2012, 2013, 2014, and 2015, respectively.</w:t>
      </w:r>
      <w:r w:rsidRPr="00ED62C1">
        <w:rPr>
          <w:rFonts w:hint="eastAsia"/>
          <w:b/>
          <w:bCs/>
        </w:rPr>
        <w:br/>
        <w:t>(c–f) Two-dimensional visualization of Gene Ontology (GO) enrichment for highly expressed gene sets in patches established in different years: (c) 2012, (d) 2013, (e) 2014, and (f) 2015.</w:t>
      </w:r>
      <w:r w:rsidRPr="00ED62C1">
        <w:rPr>
          <w:rFonts w:hint="eastAsia"/>
          <w:b/>
          <w:bCs/>
        </w:rPr>
        <w:br/>
        <w:t>(g) KEGG pathway enrichment analysis of highly abundant metabolites across patches with different colonization years. The y-axis shows KEGG pathways and the x-axis shows colonization-year patches. Red, green, blue, and yellow points represent the 2012, 2013, 2014, and 2015 patches, respectively. Point size indicates the number of metabolites mapped to each pathway, and color intensity indicates the significance level of enrichment (</w:t>
      </w:r>
      <w:r w:rsidRPr="00ED62C1">
        <w:rPr>
          <w:rFonts w:hint="eastAsia"/>
          <w:b/>
          <w:bCs/>
          <w:i/>
        </w:rPr>
        <w:t>P</w:t>
      </w:r>
      <w:r w:rsidRPr="00ED62C1">
        <w:rPr>
          <w:rFonts w:hint="eastAsia"/>
          <w:b/>
          <w:bCs/>
        </w:rPr>
        <w:t xml:space="preserve"> value).</w:t>
      </w:r>
    </w:p>
    <w:p w14:paraId="4B96CFAF" w14:textId="77777777" w:rsidR="000920A9" w:rsidRPr="000920A9" w:rsidRDefault="000920A9" w:rsidP="000920A9">
      <w:pPr>
        <w:rPr>
          <w:rFonts w:hint="eastAsia"/>
          <w:b/>
          <w:bCs/>
        </w:rPr>
      </w:pPr>
      <w:r w:rsidRPr="000920A9">
        <w:rPr>
          <w:b/>
          <w:bCs/>
        </w:rPr>
        <w:t>3.3 | Genetic differentiation and integrative hierarchical modeling</w:t>
      </w:r>
    </w:p>
    <w:p w14:paraId="73AA4C68" w14:textId="77777777" w:rsidR="000920A9" w:rsidRPr="000920A9" w:rsidRDefault="000920A9" w:rsidP="000920A9">
      <w:pPr>
        <w:rPr>
          <w:rFonts w:hint="eastAsia"/>
        </w:rPr>
      </w:pPr>
      <w:r w:rsidRPr="000920A9">
        <w:t>To evaluate whether patch-level differentiation was also reflected in genetic structure, we analyzed SNP variation across the microgeographic sampling system. Pairwise relatedness analyses showed non-random structure among individuals (Fig. 3a). PCA based on the differentiated SNP set identified separation among samples from different colonization-year patches (Fig. 3b), indicating genetic differentiation across the sampled invasion patches.</w:t>
      </w:r>
    </w:p>
    <w:p w14:paraId="674217D5" w14:textId="77777777" w:rsidR="000920A9" w:rsidRPr="000920A9" w:rsidRDefault="000920A9" w:rsidP="000920A9">
      <w:pPr>
        <w:rPr>
          <w:rFonts w:hint="eastAsia"/>
        </w:rPr>
      </w:pPr>
      <w:r w:rsidRPr="000920A9">
        <w:t>We then used a two-stage Bayesian hierarchical model to integrate spatial position, SNP variation, transcriptomic variation, metabolomic variation, and phenotypic responses. The model was fitted to a strictly matched subset of 20 samples for which phenotypic, SNP, transcriptomic, and metabolomic data were all available after batch-related filtering. These samples were unevenly distributed across patches (2012: 6; 2013: 6; 2014: 3; 2015: 5). To obtain comparable low-dimensional summaries across data layers, spatial position, SNP variation, transcriptomic variation, and metabolomic variation were each represented by their first principal component (PC1), which explained 15.95%, 21.99%, 17.9%, and 10.0% of the variance in the respective datasets.</w:t>
      </w:r>
    </w:p>
    <w:p w14:paraId="6D992F80" w14:textId="08219912" w:rsidR="000920A9" w:rsidRPr="000920A9" w:rsidRDefault="000920A9" w:rsidP="000920A9">
      <w:pPr>
        <w:rPr>
          <w:rFonts w:hint="eastAsia"/>
        </w:rPr>
      </w:pPr>
      <w:r w:rsidRPr="000920A9">
        <w:t>Within this integrative framework, spatial position was positively associated with SNP PC1 (</w:t>
      </w:r>
      <w:proofErr w:type="gramStart"/>
      <w:r w:rsidRPr="000920A9">
        <w:t>P(</w:t>
      </w:r>
      <w:proofErr w:type="gramEnd"/>
      <w:r w:rsidRPr="000920A9">
        <w:t xml:space="preserve">E &gt; 0) = 1; Fig. 3c; Table S4), transcriptomic PC1 (P(E &gt; 0) = 1 for location </w:t>
      </w:r>
      <w:r w:rsidR="000D21F2">
        <w:rPr>
          <w:rFonts w:hint="eastAsia"/>
        </w:rPr>
        <w:t>to</w:t>
      </w:r>
      <w:r w:rsidRPr="000920A9">
        <w:t xml:space="preserve"> transcriptome; Fig. 3d; Table S4), and metabolomic PC1 (P(E &gt; 0) = 1 for location </w:t>
      </w:r>
      <w:r w:rsidR="000D21F2">
        <w:rPr>
          <w:rFonts w:hint="eastAsia"/>
        </w:rPr>
        <w:t>to</w:t>
      </w:r>
      <w:r w:rsidRPr="000920A9">
        <w:t xml:space="preserve"> metabolome; Fig. 3e; Table S4). Transcriptomic and metabolomic summaries were also positively associated with one another (</w:t>
      </w:r>
      <w:proofErr w:type="gramStart"/>
      <w:r w:rsidRPr="000920A9">
        <w:t>P(</w:t>
      </w:r>
      <w:proofErr w:type="gramEnd"/>
      <w:r w:rsidRPr="000920A9">
        <w:t xml:space="preserve">E &gt; 0) = 0.997 for transcriptome </w:t>
      </w:r>
      <w:r w:rsidR="000D21F2">
        <w:rPr>
          <w:rFonts w:hint="eastAsia"/>
        </w:rPr>
        <w:t>to</w:t>
      </w:r>
      <w:r w:rsidRPr="000920A9">
        <w:t xml:space="preserve"> metabolome; Fig. 3e; Table S4). By contrast, posterior estimates linking transcriptomic and metabolomic summaries to the two measured aboveground traits included in the model, leaf biomass and spikelet number, were weaker and more uncertain. For example, the posterior mean for the metabolome </w:t>
      </w:r>
      <w:r w:rsidR="000D21F2">
        <w:rPr>
          <w:rFonts w:hint="eastAsia"/>
        </w:rPr>
        <w:t>to</w:t>
      </w:r>
      <w:r w:rsidRPr="000920A9">
        <w:t xml:space="preserve"> leaf biomass parameter was </w:t>
      </w:r>
      <w:r w:rsidRPr="000920A9">
        <w:lastRenderedPageBreak/>
        <w:t xml:space="preserve">negative (mean = -0.5796), but its 95% credible interval overlapped zero (-2.6063 to 0.6833), and the posterior probability of a positive effect was 0.212 (Table S4). Similarly, the posterior means for transcriptome </w:t>
      </w:r>
      <w:r w:rsidR="000D21F2">
        <w:rPr>
          <w:rFonts w:hint="eastAsia"/>
        </w:rPr>
        <w:t>to</w:t>
      </w:r>
      <w:r w:rsidRPr="000920A9">
        <w:t xml:space="preserve"> leaf biomass, transcriptome </w:t>
      </w:r>
      <w:r w:rsidR="000D21F2">
        <w:rPr>
          <w:rFonts w:hint="eastAsia"/>
        </w:rPr>
        <w:t>to</w:t>
      </w:r>
      <w:r w:rsidRPr="000920A9">
        <w:t xml:space="preserve"> spikelet number, and metabolome </w:t>
      </w:r>
      <w:r w:rsidR="000D21F2">
        <w:rPr>
          <w:rFonts w:hint="eastAsia"/>
        </w:rPr>
        <w:t>to</w:t>
      </w:r>
      <w:r w:rsidRPr="000920A9">
        <w:t xml:space="preserve"> spikelet number were associated with broad credible intervals overlapping zero (Table S4).</w:t>
      </w:r>
      <w:r w:rsidR="000D21F2" w:rsidRPr="000D21F2">
        <w:rPr>
          <w:rFonts w:ascii="Segoe UI" w:hAnsi="Segoe UI" w:cs="Segoe UI"/>
          <w:color w:val="666666"/>
          <w:spacing w:val="4"/>
          <w:sz w:val="21"/>
          <w:szCs w:val="21"/>
          <w:shd w:val="clear" w:color="auto" w:fill="FFFFFF"/>
        </w:rPr>
        <w:t xml:space="preserve"> </w:t>
      </w:r>
      <w:r w:rsidR="000D21F2" w:rsidRPr="000D21F2">
        <w:t>Model-fit comparisons between observed values and posterior predictive means are shown in Fig. S3 and are presented here as descriptive summaries of internal model fit rather than as independent validation of predictive performance.</w:t>
      </w:r>
    </w:p>
    <w:p w14:paraId="28C03BA3" w14:textId="77777777" w:rsidR="000920A9" w:rsidRPr="000920A9" w:rsidRDefault="000920A9" w:rsidP="000920A9">
      <w:pPr>
        <w:rPr>
          <w:rFonts w:hint="eastAsia"/>
        </w:rPr>
      </w:pPr>
      <w:r w:rsidRPr="000920A9">
        <w:t>Taken together, the hierarchical model supported coordinated associations among spatial position, genetic differentiation, and leaf-level molecular summaries in the matched dataset. In contrast, the same model provided weaker evidence for direct associations between leaf-level omics summaries and the measured aboveground traits included in the model.</w:t>
      </w:r>
    </w:p>
    <w:p w14:paraId="241BB517" w14:textId="1FB26BD7" w:rsidR="00ED62C1" w:rsidRDefault="00ED62C1">
      <w:pPr>
        <w:rPr>
          <w:rFonts w:hint="eastAsia"/>
        </w:rPr>
      </w:pPr>
      <w:r>
        <w:rPr>
          <w:rFonts w:hint="eastAsia"/>
          <w:noProof/>
        </w:rPr>
        <w:lastRenderedPageBreak/>
        <w:drawing>
          <wp:inline distT="0" distB="0" distL="0" distR="0" wp14:anchorId="1ADFD42D" wp14:editId="6CD76A94">
            <wp:extent cx="5610225" cy="7303555"/>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rotWithShape="1">
                    <a:blip r:embed="rId9" cstate="print">
                      <a:extLst>
                        <a:ext uri="{28A0092B-C50C-407E-A947-70E740481C1C}">
                          <a14:useLocalDpi xmlns:a14="http://schemas.microsoft.com/office/drawing/2010/main" val="0"/>
                        </a:ext>
                      </a:extLst>
                    </a:blip>
                    <a:srcRect r="40766"/>
                    <a:stretch/>
                  </pic:blipFill>
                  <pic:spPr bwMode="auto">
                    <a:xfrm>
                      <a:off x="0" y="0"/>
                      <a:ext cx="5631364" cy="7331075"/>
                    </a:xfrm>
                    <a:prstGeom prst="rect">
                      <a:avLst/>
                    </a:prstGeom>
                    <a:ln>
                      <a:noFill/>
                    </a:ln>
                    <a:extLst>
                      <a:ext uri="{53640926-AAD7-44D8-BBD7-CCE9431645EC}">
                        <a14:shadowObscured xmlns:a14="http://schemas.microsoft.com/office/drawing/2010/main"/>
                      </a:ext>
                    </a:extLst>
                  </pic:spPr>
                </pic:pic>
              </a:graphicData>
            </a:graphic>
          </wp:inline>
        </w:drawing>
      </w:r>
    </w:p>
    <w:p w14:paraId="4788DBE2" w14:textId="5080B390" w:rsidR="00ED62C1" w:rsidRPr="00ED62C1" w:rsidRDefault="00ED62C1" w:rsidP="00ED62C1">
      <w:pPr>
        <w:rPr>
          <w:rFonts w:hint="eastAsia"/>
        </w:rPr>
      </w:pPr>
      <w:r w:rsidRPr="00ED62C1">
        <w:rPr>
          <w:rFonts w:hint="eastAsia"/>
          <w:b/>
          <w:bCs/>
        </w:rPr>
        <w:t>Figure 3 | Genetic structure and hierarchical response relationships among Spartina alterniflora patches with different colonization years.</w:t>
      </w:r>
      <w:r w:rsidRPr="00ED62C1">
        <w:rPr>
          <w:rFonts w:hint="eastAsia"/>
        </w:rPr>
        <w:br/>
        <w:t>(a) Heatmap of pairwise relatedness among all individuals; darker colors indicate closer relatedness.</w:t>
      </w:r>
      <w:r w:rsidRPr="00ED62C1">
        <w:rPr>
          <w:rFonts w:hint="eastAsia"/>
        </w:rPr>
        <w:br/>
        <w:t>(b) PCA based on significantly differentiated SNPs. Red, green, blue, and yellow points represent samples from patches established in 2012, 2013, 2014, and 2015, respectively.</w:t>
      </w:r>
      <w:r w:rsidRPr="00ED62C1">
        <w:rPr>
          <w:rFonts w:hint="eastAsia"/>
        </w:rPr>
        <w:br/>
      </w:r>
      <w:r w:rsidRPr="00ED62C1">
        <w:rPr>
          <w:rFonts w:hint="eastAsia"/>
        </w:rPr>
        <w:lastRenderedPageBreak/>
        <w:t xml:space="preserve">(c–g) Bayesian hierarchical model integrating patch location, genetic variation, multi-omics variation, and phenotypic responses. </w:t>
      </w:r>
      <w:r w:rsidR="00C7305B" w:rsidRPr="00C7305B">
        <w:t xml:space="preserve">Posterior means and posterior probabilities of effect direction, </w:t>
      </w:r>
      <w:proofErr w:type="gramStart"/>
      <w:r w:rsidR="00C7305B" w:rsidRPr="00C7305B">
        <w:t>P(</w:t>
      </w:r>
      <w:proofErr w:type="gramEnd"/>
      <w:r w:rsidR="00C7305B" w:rsidRPr="00C7305B">
        <w:t>E &gt; 0), are shown for each parameter (see Materials and Methods). Parameter estimates should be interpreted together with their credible intervals (Table S4), particularly for pathways with broad uncertainty</w:t>
      </w:r>
      <w:r w:rsidR="00C7305B">
        <w:rPr>
          <w:rFonts w:hint="eastAsia"/>
        </w:rPr>
        <w:t xml:space="preserve"> </w:t>
      </w:r>
      <w:r w:rsidR="00C7305B" w:rsidRPr="00C7305B">
        <w:t>.</w:t>
      </w:r>
      <w:r w:rsidRPr="00ED62C1">
        <w:rPr>
          <w:rFonts w:hint="eastAsia"/>
        </w:rPr>
        <w:t>Panels represent (c) location → genetics, (d) location and genetics → transcriptome, (e) location, genetics, and transcriptome → metabolome, (f) transcriptome → growth and reproductive traits, and (g) metabolome → growth and reproductive traits.</w:t>
      </w:r>
    </w:p>
    <w:p w14:paraId="64289B3B" w14:textId="77777777" w:rsidR="000D21F2" w:rsidRPr="000D21F2" w:rsidRDefault="000D21F2" w:rsidP="000D21F2">
      <w:pPr>
        <w:rPr>
          <w:rFonts w:hint="eastAsia"/>
          <w:b/>
          <w:bCs/>
        </w:rPr>
      </w:pPr>
      <w:r w:rsidRPr="000D21F2">
        <w:rPr>
          <w:b/>
          <w:bCs/>
        </w:rPr>
        <w:t>4 | DISCUSSION</w:t>
      </w:r>
    </w:p>
    <w:p w14:paraId="04D80A64" w14:textId="77777777" w:rsidR="000D21F2" w:rsidRPr="000D21F2" w:rsidRDefault="000D21F2" w:rsidP="000D21F2">
      <w:pPr>
        <w:rPr>
          <w:rFonts w:hint="eastAsia"/>
          <w:b/>
          <w:bCs/>
        </w:rPr>
      </w:pPr>
      <w:r w:rsidRPr="000D21F2">
        <w:rPr>
          <w:b/>
          <w:bCs/>
        </w:rPr>
        <w:t>4.1 | Microgeographic differentiation across biological levels</w:t>
      </w:r>
    </w:p>
    <w:p w14:paraId="6F135DA4" w14:textId="77777777" w:rsidR="000D21F2" w:rsidRPr="000D21F2" w:rsidRDefault="000D21F2" w:rsidP="000D21F2">
      <w:pPr>
        <w:rPr>
          <w:rFonts w:hint="eastAsia"/>
        </w:rPr>
      </w:pPr>
      <w:r w:rsidRPr="000D21F2">
        <w:t>Our results show that nearby </w:t>
      </w:r>
      <w:r w:rsidRPr="000D21F2">
        <w:rPr>
          <w:i/>
          <w:iCs/>
        </w:rPr>
        <w:t>Spartina alterniflora</w:t>
      </w:r>
      <w:r w:rsidRPr="000D21F2">
        <w:t> patches distinguished by colonization year differed across multiple biological levels, including measured aboveground traits, SNP-based genetic structure, and leaf-level transcriptomic and metabolomic profiles. This pattern supports the presence of pronounced microgeographic differentiation within a spatially restricted invasion system. Previous work on </w:t>
      </w:r>
      <w:r w:rsidRPr="000D21F2">
        <w:rPr>
          <w:i/>
          <w:iCs/>
        </w:rPr>
        <w:t>S. alterniflora</w:t>
      </w:r>
      <w:r w:rsidRPr="000D21F2">
        <w:t> has emphasized broad-scale geographic differentiation across latitudinal or regional gradients (Qiao et al., 2019), whereas the present study highlights that biologically meaningful differentiation can also be observed among nearby invasion patches within a single estuarine landscape.</w:t>
      </w:r>
    </w:p>
    <w:p w14:paraId="54FC4913" w14:textId="5749A5E6" w:rsidR="000D21F2" w:rsidRPr="000D21F2" w:rsidRDefault="000D21F2" w:rsidP="000D21F2">
      <w:pPr>
        <w:rPr>
          <w:rFonts w:hint="eastAsia"/>
        </w:rPr>
      </w:pPr>
      <w:r w:rsidRPr="000D21F2">
        <w:t>This multilevel differentiation is noteworthy because the sampled patches were geographically close yet associated with different colonization histories and local habitat contexts. At the same time, we interpret these differences conservatively. In the present system, patch-level differentiation could arise through several non-exclusive processes, including founder effects, clonal structure, spatial sorting, plastic or acclimatory responses, and environmentally associated </w:t>
      </w:r>
      <w:proofErr w:type="gramStart"/>
      <w:r w:rsidRPr="000D21F2">
        <w:t>filtering</w:t>
      </w:r>
      <w:r w:rsidR="00216129" w:rsidRPr="00216129">
        <w:rPr>
          <w:rFonts w:hint="eastAsia"/>
        </w:rPr>
        <w:t>(</w:t>
      </w:r>
      <w:proofErr w:type="gramEnd"/>
      <w:r w:rsidR="00216129" w:rsidRPr="00216129">
        <w:rPr>
          <w:rFonts w:hint="eastAsia"/>
        </w:rPr>
        <w:t>Richards et al., 2006; Dlugosch &amp; Parker, 2008; Nicotra et al., 2010)</w:t>
      </w:r>
      <w:r w:rsidRPr="000D21F2">
        <w:t>. The current study does not separate these alternatives definitively, but it does indicate that differentiation across spatially proximate invasion patches is detectable at phenotypic, genetic, and leaf molecular levels.</w:t>
      </w:r>
    </w:p>
    <w:p w14:paraId="6D8C3857" w14:textId="322F8B3A" w:rsidR="000D21F2" w:rsidRPr="000D21F2" w:rsidRDefault="000D21F2" w:rsidP="000D21F2">
      <w:pPr>
        <w:rPr>
          <w:rFonts w:hint="eastAsia"/>
          <w:b/>
          <w:bCs/>
        </w:rPr>
      </w:pPr>
    </w:p>
    <w:p w14:paraId="375A44A9" w14:textId="77777777" w:rsidR="000D21F2" w:rsidRPr="000D21F2" w:rsidRDefault="000D21F2" w:rsidP="000D21F2">
      <w:pPr>
        <w:rPr>
          <w:rFonts w:hint="eastAsia"/>
          <w:b/>
          <w:bCs/>
        </w:rPr>
      </w:pPr>
      <w:r w:rsidRPr="000D21F2">
        <w:rPr>
          <w:b/>
          <w:bCs/>
        </w:rPr>
        <w:t>4.2 | Spatially structured differentiation in an observational chronosequence</w:t>
      </w:r>
    </w:p>
    <w:p w14:paraId="1D08E655" w14:textId="77777777" w:rsidR="000D21F2" w:rsidRPr="000D21F2" w:rsidRDefault="000D21F2" w:rsidP="000D21F2">
      <w:pPr>
        <w:rPr>
          <w:rFonts w:hint="eastAsia"/>
        </w:rPr>
      </w:pPr>
      <w:r w:rsidRPr="000D21F2">
        <w:t>A major goal of this study was to examine whether an observational chronosequence could reveal coordinated patterns across spatial, genetic, and molecular levels during local invasion. The hierarchical model suggested positive associations among spatial position, SNP-based genetic differentiation, and leaf-</w:t>
      </w:r>
      <w:r w:rsidRPr="000D21F2">
        <w:lastRenderedPageBreak/>
        <w:t>level molecular summaries. This result is consistent with the idea that patch position within the invasion landscape is linked to both genetic and physiological differentiation. However, such patterns should not be interpreted as direct proof of rapid evolution in a strict sense.</w:t>
      </w:r>
    </w:p>
    <w:p w14:paraId="797903AC" w14:textId="77777777" w:rsidR="000D21F2" w:rsidRPr="000D21F2" w:rsidRDefault="000D21F2" w:rsidP="000D21F2">
      <w:pPr>
        <w:rPr>
          <w:rFonts w:hint="eastAsia"/>
        </w:rPr>
      </w:pPr>
      <w:r w:rsidRPr="000D21F2">
        <w:t>Because our design is based on a space-for-time chronosequence rather than repeated temporal sampling or experimental manipulation, the observed patch differences cannot by themselves distinguish among several possible processes. For example, SNP structure among patches may reflect founder effects during sequential establishment, non-random clonal expansion, local environmental heterogeneity, spatial sorting, or combinations of these processes. Likewise, transcriptomic and metabolomic differences may reflect immediate physiological adjustment to patch-specific conditions rather than evolutionary change per se. For this reason, we interpret the present results as evidence of spatially structured differentiation across an observational chronosequence, not as a definitive demonstration of a causal temporal pathway or a fully resolved case of rapid adaptive evolution.</w:t>
      </w:r>
    </w:p>
    <w:p w14:paraId="328ED18D" w14:textId="77777777" w:rsidR="000D21F2" w:rsidRPr="000D21F2" w:rsidRDefault="000D21F2" w:rsidP="000D21F2">
      <w:pPr>
        <w:rPr>
          <w:rFonts w:hint="eastAsia"/>
          <w:b/>
          <w:bCs/>
        </w:rPr>
      </w:pPr>
      <w:r w:rsidRPr="000D21F2">
        <w:t>This distinction is important for how the study is positioned within invasion biology and molecular ecology. The main contribution of the chronosequence is that it allows nearby patches to be compared within a shared invasion landscape, thereby revealing how differentiation may be distributed across biological levels. Future work based on temporal resampling, common-garden approaches, reciprocal transplants, or explicit environmental measurements will be needed to determine the relative contributions of evolutionary, demographic, and physiological processes.</w:t>
      </w:r>
    </w:p>
    <w:p w14:paraId="2C09CFA3" w14:textId="4C6AA457" w:rsidR="000D21F2" w:rsidRPr="000D21F2" w:rsidRDefault="000D21F2" w:rsidP="000D21F2">
      <w:pPr>
        <w:rPr>
          <w:rFonts w:hint="eastAsia"/>
          <w:b/>
          <w:bCs/>
        </w:rPr>
      </w:pPr>
    </w:p>
    <w:p w14:paraId="0F6F69A6" w14:textId="77777777" w:rsidR="000D21F2" w:rsidRPr="000D21F2" w:rsidRDefault="000D21F2" w:rsidP="000D21F2">
      <w:pPr>
        <w:rPr>
          <w:rFonts w:hint="eastAsia"/>
          <w:b/>
          <w:bCs/>
        </w:rPr>
      </w:pPr>
      <w:r w:rsidRPr="000D21F2">
        <w:rPr>
          <w:b/>
          <w:bCs/>
        </w:rPr>
        <w:t>4.3 | Coordinated leaf-level molecular shifts across patches</w:t>
      </w:r>
    </w:p>
    <w:p w14:paraId="4034B915" w14:textId="77777777" w:rsidR="000D21F2" w:rsidRPr="000D21F2" w:rsidRDefault="000D21F2" w:rsidP="000D21F2">
      <w:pPr>
        <w:rPr>
          <w:rFonts w:hint="eastAsia"/>
        </w:rPr>
      </w:pPr>
      <w:r w:rsidRPr="000D21F2">
        <w:t>Despite these inferential limits, the leaf transcriptomic and metabolomic analyses consistently supported molecular differentiation among colonization-year patches. Transcriptomic clustering and functional enrichment analyses suggested that different patches were associated with different leaf-level expression profiles, while the retained metabolomic dataset also showed differentiation among patches. Within the integrative model, transcriptomic and metabolomic summaries were positively associated with one another, suggesting coordination between these two molecular layers in the matched dataset.</w:t>
      </w:r>
    </w:p>
    <w:p w14:paraId="41AD21D0" w14:textId="77777777" w:rsidR="000D21F2" w:rsidRPr="000D21F2" w:rsidRDefault="000D21F2" w:rsidP="000D21F2">
      <w:pPr>
        <w:rPr>
          <w:rFonts w:hint="eastAsia"/>
        </w:rPr>
      </w:pPr>
      <w:r w:rsidRPr="000D21F2">
        <w:t>One interpretation is that leaf tissues act as sensitive interfaces to local environmental heterogeneity in this clonal marsh invader. Salt stress, redox variation, inundation differen</w:t>
      </w:r>
      <w:r w:rsidRPr="000D21F2">
        <w:lastRenderedPageBreak/>
        <w:t>ces, competition, and density-dependent light environments are all plausible contributors to patch-level physiological differentiation in estuarine habitats (Mendelssohn &amp; Morris, 2000; Pennings et al., 2005). The enrichment patterns observed here are broadly consistent with this view, in that different patches were associated with distinct functional categories related to stress response, photosynthetic activity, development, and transport. At the same time, these interpretations should remain cautious. Our molecular summaries were based on leaf tissue only, and the hierarchical model further reduced high-dimensional transcriptomic and metabolomic data to PC1 scores. The current results therefore support broad coordination in leaf-level molecular differentiation, but they do not provide a complete description of the underlying physiological architecture.</w:t>
      </w:r>
    </w:p>
    <w:p w14:paraId="29F6F178" w14:textId="58F3B284" w:rsidR="000D21F2" w:rsidRPr="000D21F2" w:rsidRDefault="000D21F2" w:rsidP="000D21F2">
      <w:pPr>
        <w:rPr>
          <w:rFonts w:hint="eastAsia"/>
        </w:rPr>
      </w:pPr>
      <w:r w:rsidRPr="000D21F2">
        <w:t>This limitation is especially relevant for metabolomics. Because strong batch effects could not be removed satisfactorily, only batch</w:t>
      </w:r>
      <w:r>
        <w:rPr>
          <w:rFonts w:hint="eastAsia"/>
        </w:rPr>
        <w:t>-</w:t>
      </w:r>
      <w:r w:rsidRPr="000D21F2">
        <w:t>2 samples were retained for downstream analyses. Although this conservative choice reduced the risk of misleading correction artifacts, it also narrowed the metabolomic basis for inference and may have affected representativeness across patches. Accordingly, metabolomic patterns in this study are best interpreted as evidence of patch-associated leaf molecular differentiation under a restricted analytical subset rather than as an exhaustive description of metabolomic structure across the full invasion system.</w:t>
      </w:r>
    </w:p>
    <w:p w14:paraId="019A5852" w14:textId="6D2F58B2" w:rsidR="000D21F2" w:rsidRPr="000D21F2" w:rsidRDefault="000D21F2" w:rsidP="000D21F2">
      <w:pPr>
        <w:rPr>
          <w:rFonts w:hint="eastAsia"/>
          <w:b/>
          <w:bCs/>
        </w:rPr>
      </w:pPr>
    </w:p>
    <w:p w14:paraId="193AFF75" w14:textId="77777777" w:rsidR="000D21F2" w:rsidRPr="000D21F2" w:rsidRDefault="000D21F2" w:rsidP="000D21F2">
      <w:pPr>
        <w:rPr>
          <w:rFonts w:hint="eastAsia"/>
          <w:b/>
          <w:bCs/>
        </w:rPr>
      </w:pPr>
      <w:r w:rsidRPr="000D21F2">
        <w:rPr>
          <w:b/>
          <w:bCs/>
        </w:rPr>
        <w:t>4.4 | Weak direct association between leaf-level molecular summaries and measured aboveground traits</w:t>
      </w:r>
    </w:p>
    <w:p w14:paraId="0766F1CB" w14:textId="77777777" w:rsidR="000D21F2" w:rsidRPr="000D21F2" w:rsidRDefault="000D21F2" w:rsidP="000D21F2">
      <w:pPr>
        <w:rPr>
          <w:rFonts w:hint="eastAsia"/>
        </w:rPr>
      </w:pPr>
      <w:r w:rsidRPr="000D21F2">
        <w:t>A central outcome of the integrative model was that leaf-level molecular summaries showed weaker and more uncertain direct associations with the two measured aboveground traits included in the model, leaf biomass and spikelet number, than did the associations observed among spatial, genetic, and molecular summaries. We interpret this result conservatively. It may indicate that variation in leaf-level molecular state does not translate straightforwardly into the measured aboveground traits in the matched dataset. However, it could also reflect limited statistical power, dimensional compression of high-dimensional omics data, the restricted phenotypic scope of the model, or organ-level mismatch between leaf molecular measurements and higher-level performance traits.</w:t>
      </w:r>
    </w:p>
    <w:p w14:paraId="13569FE6" w14:textId="77777777" w:rsidR="000D21F2" w:rsidRPr="000D21F2" w:rsidRDefault="000D21F2" w:rsidP="000D21F2">
      <w:pPr>
        <w:rPr>
          <w:rFonts w:hint="eastAsia"/>
        </w:rPr>
      </w:pPr>
      <w:r w:rsidRPr="000D21F2">
        <w:t>This distinction is important. In the present study, “weak direct association” should not be treated as equivalent to definitive system-</w:t>
      </w:r>
      <w:r w:rsidRPr="000D21F2">
        <w:lastRenderedPageBreak/>
        <w:t>wide decoupling. The hierarchical model was fitted to only 20 strictly matched samples, with uneven representation across patches, and each high-dimensional layer was represented by PC1 alone. Under these conditions, the model is best viewed as an integrative and exploratory framework for assessing cross-level association patterns rather than as a strong mechanistic path model. The broad credible intervals for several phenotype-linked parameters support this cautious interpretation.</w:t>
      </w:r>
    </w:p>
    <w:p w14:paraId="7D40FDA6" w14:textId="3649AA10" w:rsidR="000D21F2" w:rsidRPr="000D21F2" w:rsidRDefault="000D21F2" w:rsidP="000D21F2">
      <w:pPr>
        <w:rPr>
          <w:rFonts w:hint="eastAsia"/>
        </w:rPr>
      </w:pPr>
      <w:r w:rsidRPr="000D21F2">
        <w:t>Even so, the observed pattern is biologically informative. It suggests that differentiation across biological levels may be scale dependent, with leaf-level molecular variation capturing one aspect of local response while biomass allocation and reproductive output reflect more cumulative processes. In clonal plants such as </w:t>
      </w:r>
      <w:r w:rsidRPr="000D21F2">
        <w:rPr>
          <w:i/>
          <w:iCs/>
        </w:rPr>
        <w:t>S. alterniflora</w:t>
      </w:r>
      <w:r w:rsidRPr="000D21F2">
        <w:t>, these higher-level traits may depend not only on leaf physiology but also on belowground organs, stored resources, developmental timing, and local environmental </w:t>
      </w:r>
      <w:proofErr w:type="gramStart"/>
      <w:r w:rsidRPr="000D21F2">
        <w:t>forcing</w:t>
      </w:r>
      <w:r w:rsidR="00535881" w:rsidRPr="00216129">
        <w:rPr>
          <w:rFonts w:hint="eastAsia"/>
        </w:rPr>
        <w:t>(</w:t>
      </w:r>
      <w:proofErr w:type="gramEnd"/>
      <w:r w:rsidR="00535881" w:rsidRPr="00216129">
        <w:rPr>
          <w:rFonts w:hint="eastAsia"/>
        </w:rPr>
        <w:t>Liao et al., 2007)</w:t>
      </w:r>
      <w:r w:rsidRPr="000D21F2">
        <w:t>. Because root, rhizome, and direct soil measurements were not included here, the present data cannot determine how strongly these unmeasured processes contribute. Nevertheless, the results caution against assuming that leaf-level omics alone will necessarily provide strong direct prediction of the measured aboveground traits used to describe invasion performance.</w:t>
      </w:r>
      <w:r w:rsidR="00216129" w:rsidRPr="00216129">
        <w:rPr>
          <w:rFonts w:hint="eastAsia"/>
        </w:rPr>
        <w:t xml:space="preserve"> </w:t>
      </w:r>
    </w:p>
    <w:p w14:paraId="414FCF9D" w14:textId="389953C4" w:rsidR="000D21F2" w:rsidRPr="000D21F2" w:rsidRDefault="000D21F2" w:rsidP="000D21F2">
      <w:pPr>
        <w:rPr>
          <w:rFonts w:hint="eastAsia"/>
          <w:b/>
          <w:bCs/>
        </w:rPr>
      </w:pPr>
    </w:p>
    <w:p w14:paraId="2DDC9779" w14:textId="77777777" w:rsidR="000D21F2" w:rsidRPr="000D21F2" w:rsidRDefault="000D21F2" w:rsidP="000D21F2">
      <w:pPr>
        <w:rPr>
          <w:rFonts w:hint="eastAsia"/>
          <w:b/>
          <w:bCs/>
        </w:rPr>
      </w:pPr>
      <w:r w:rsidRPr="000D21F2">
        <w:rPr>
          <w:b/>
          <w:bCs/>
        </w:rPr>
        <w:t>4.5 | Scope, limitations, and implications</w:t>
      </w:r>
    </w:p>
    <w:p w14:paraId="02ABC3D8" w14:textId="77777777" w:rsidR="000D21F2" w:rsidRPr="000D21F2" w:rsidRDefault="000D21F2" w:rsidP="000D21F2">
      <w:pPr>
        <w:rPr>
          <w:rFonts w:hint="eastAsia"/>
        </w:rPr>
      </w:pPr>
      <w:r w:rsidRPr="000D21F2">
        <w:t>Several limitations define the scope of inference in this study. First, the chronosequence provides an observational space-for-time framework rather than direct temporal evidence. Second, the hierarchical model relied on a strictly matched subset of 20 samples, with unequal patch representation. Third, spatial, genetic, transcriptomic, and metabolomic variation were summarized using the first principal component of each dataset, which necessarily compresses information and may not capture the trait-relevant axes of variation. Fourth, metabolomic inference is conditioned on batch-related sample exclusion. Finally, the modeled phenotypic responses were limited to leaf biomass and spikelet number and therefore do not represent whole-plant performance, clone-level expansion, or belowground allocation directly.</w:t>
      </w:r>
    </w:p>
    <w:p w14:paraId="1284E281" w14:textId="77777777" w:rsidR="000D21F2" w:rsidRPr="000D21F2" w:rsidRDefault="000D21F2" w:rsidP="000D21F2">
      <w:pPr>
        <w:rPr>
          <w:rFonts w:hint="eastAsia"/>
        </w:rPr>
      </w:pPr>
      <w:r w:rsidRPr="000D21F2">
        <w:t>These limitations do not remove the value of the study, but they do narrow its strongest defensible contribution. The present results identify microgeographic differentiation across multiple biological levels in an invasive clonal grass and suggest that coordination among spatial position, genetic structure, and leaf-</w:t>
      </w:r>
      <w:r w:rsidRPr="000D21F2">
        <w:lastRenderedPageBreak/>
        <w:t>level molecular variation can coexist with weaker direct associations to the measured aboveground traits available in the matched dataset. In this sense, the study contributes to molecular ecology by illustrating that differentiation across biological levels may be structured but not uniformly aligned, especially in field systems where different traits capture different temporal and organizational scales.</w:t>
      </w:r>
    </w:p>
    <w:p w14:paraId="0EF228B7" w14:textId="77777777" w:rsidR="000D21F2" w:rsidRPr="000D21F2" w:rsidRDefault="000D21F2" w:rsidP="000D21F2">
      <w:pPr>
        <w:rPr>
          <w:rFonts w:hint="eastAsia"/>
        </w:rPr>
      </w:pPr>
      <w:r w:rsidRPr="000D21F2">
        <w:t>Future studies could build on this framework by incorporating repeated temporal sampling, direct measurements of salinity, nutrient status, and redox conditions, root and rhizome traits, and broader phenotypic or multi-organ molecular profiling. Such work will be important for determining whether the weak direct associations observed here reflect true scale dependence in biological organization, incomplete phenotypic representation, or the current limits of sample size and dimensional reduction. More broadly, our results highlight the importance of evaluating how strongly different biological layers correspond, rather than assuming that significant molecular differentiation necessarily maps directly onto the phenotypic traits most commonly measured in invasion ecology.</w:t>
      </w:r>
    </w:p>
    <w:p w14:paraId="43E6B28B" w14:textId="77777777" w:rsidR="00ED62C1" w:rsidRPr="000D21F2" w:rsidRDefault="00ED62C1" w:rsidP="00ED62C1">
      <w:pPr>
        <w:rPr>
          <w:rFonts w:hint="eastAsia"/>
        </w:rPr>
      </w:pPr>
    </w:p>
    <w:p w14:paraId="2BD9CB34" w14:textId="77777777" w:rsidR="00216129" w:rsidRPr="00216129" w:rsidRDefault="00216129" w:rsidP="00216129">
      <w:pPr>
        <w:rPr>
          <w:rFonts w:hint="eastAsia"/>
          <w:b/>
          <w:bCs/>
        </w:rPr>
      </w:pPr>
      <w:r w:rsidRPr="00216129">
        <w:rPr>
          <w:b/>
          <w:bCs/>
        </w:rPr>
        <w:t>References</w:t>
      </w:r>
    </w:p>
    <w:p w14:paraId="5D55495A" w14:textId="77777777" w:rsidR="00216129" w:rsidRPr="00216129" w:rsidRDefault="00216129" w:rsidP="00216129">
      <w:pPr>
        <w:rPr>
          <w:rFonts w:hint="eastAsia"/>
        </w:rPr>
      </w:pPr>
      <w:r w:rsidRPr="00216129">
        <w:t>Andrews, S. (2010). </w:t>
      </w:r>
      <w:proofErr w:type="spellStart"/>
      <w:r w:rsidRPr="00216129">
        <w:rPr>
          <w:i/>
          <w:iCs/>
        </w:rPr>
        <w:t>FastQC</w:t>
      </w:r>
      <w:proofErr w:type="spellEnd"/>
      <w:r w:rsidRPr="00216129">
        <w:rPr>
          <w:i/>
          <w:iCs/>
        </w:rPr>
        <w:t>: a quality control tool for high throughput sequence data</w:t>
      </w:r>
      <w:r w:rsidRPr="00216129">
        <w:t xml:space="preserve">. </w:t>
      </w:r>
      <w:proofErr w:type="spellStart"/>
      <w:r w:rsidRPr="00216129">
        <w:t>Babraham</w:t>
      </w:r>
      <w:proofErr w:type="spellEnd"/>
      <w:r w:rsidRPr="00216129">
        <w:t xml:space="preserve"> Bioinformatics.</w:t>
      </w:r>
    </w:p>
    <w:p w14:paraId="2BEBFC21" w14:textId="77777777" w:rsidR="00216129" w:rsidRPr="00216129" w:rsidRDefault="00216129" w:rsidP="00216129">
      <w:pPr>
        <w:rPr>
          <w:rFonts w:hint="eastAsia"/>
        </w:rPr>
      </w:pPr>
      <w:r w:rsidRPr="00216129">
        <w:t xml:space="preserve">Blum, M., Chang, H. Y., </w:t>
      </w:r>
      <w:proofErr w:type="spellStart"/>
      <w:r w:rsidRPr="00216129">
        <w:t>Chuguransky</w:t>
      </w:r>
      <w:proofErr w:type="spellEnd"/>
      <w:r w:rsidRPr="00216129">
        <w:t xml:space="preserve">, S., Grego, T., </w:t>
      </w:r>
      <w:proofErr w:type="spellStart"/>
      <w:r w:rsidRPr="00216129">
        <w:t>Kandasaamy</w:t>
      </w:r>
      <w:proofErr w:type="spellEnd"/>
      <w:r w:rsidRPr="00216129">
        <w:t>, S., Mitchell, A., Nuka, G., Paysan-</w:t>
      </w:r>
      <w:proofErr w:type="spellStart"/>
      <w:r w:rsidRPr="00216129">
        <w:t>Lafosse</w:t>
      </w:r>
      <w:proofErr w:type="spellEnd"/>
      <w:r w:rsidRPr="00216129">
        <w:t xml:space="preserve">, T., Qureshi, M., Raj, S., Richardson, L., Salazar, G. A., Williams, L., Bork, P., Bridge, A., Gough, J., Haft, D. H., </w:t>
      </w:r>
      <w:proofErr w:type="spellStart"/>
      <w:r w:rsidRPr="00216129">
        <w:t>Letunic</w:t>
      </w:r>
      <w:proofErr w:type="spellEnd"/>
      <w:r w:rsidRPr="00216129">
        <w:t xml:space="preserve">, I., </w:t>
      </w:r>
      <w:proofErr w:type="spellStart"/>
      <w:r w:rsidRPr="00216129">
        <w:t>Marchler</w:t>
      </w:r>
      <w:proofErr w:type="spellEnd"/>
      <w:r w:rsidRPr="00216129">
        <w:t xml:space="preserve">-Bauer, A., Mi, H., ... Finn, R. D. (2021). The </w:t>
      </w:r>
      <w:proofErr w:type="spellStart"/>
      <w:r w:rsidRPr="00216129">
        <w:t>InterPro</w:t>
      </w:r>
      <w:proofErr w:type="spellEnd"/>
      <w:r w:rsidRPr="00216129">
        <w:t xml:space="preserve"> protein families and domains database: 20 years on. </w:t>
      </w:r>
      <w:r w:rsidRPr="00216129">
        <w:rPr>
          <w:i/>
          <w:iCs/>
        </w:rPr>
        <w:t>Nucleic Acids Research, 49</w:t>
      </w:r>
      <w:r w:rsidRPr="00216129">
        <w:t>(D1), D344-D354.</w:t>
      </w:r>
    </w:p>
    <w:p w14:paraId="17345030" w14:textId="77777777" w:rsidR="00216129" w:rsidRPr="00216129" w:rsidRDefault="00216129" w:rsidP="00216129">
      <w:pPr>
        <w:rPr>
          <w:rFonts w:hint="eastAsia"/>
        </w:rPr>
      </w:pPr>
      <w:r w:rsidRPr="00216129">
        <w:t>Chang, C. C., Chow, C. C., Tellier, L. C. A. M., Vattikuti, S., Purcell, S. M., &amp; Lee, J. J. (2015). Second-generation PLINK: Rising to the challenge of larger and richer datasets. </w:t>
      </w:r>
      <w:proofErr w:type="spellStart"/>
      <w:r w:rsidRPr="00216129">
        <w:rPr>
          <w:i/>
          <w:iCs/>
        </w:rPr>
        <w:t>GigaScience</w:t>
      </w:r>
      <w:proofErr w:type="spellEnd"/>
      <w:r w:rsidRPr="00216129">
        <w:rPr>
          <w:i/>
          <w:iCs/>
        </w:rPr>
        <w:t>, 4</w:t>
      </w:r>
      <w:r w:rsidRPr="00216129">
        <w:t>, 7.</w:t>
      </w:r>
    </w:p>
    <w:p w14:paraId="4CF4FEE1" w14:textId="77777777" w:rsidR="00216129" w:rsidRPr="00216129" w:rsidRDefault="00216129" w:rsidP="00216129">
      <w:pPr>
        <w:rPr>
          <w:rFonts w:hint="eastAsia"/>
        </w:rPr>
      </w:pPr>
      <w:proofErr w:type="spellStart"/>
      <w:r w:rsidRPr="00216129">
        <w:t>Danecek</w:t>
      </w:r>
      <w:proofErr w:type="spellEnd"/>
      <w:r w:rsidRPr="00216129">
        <w:t xml:space="preserve">, P., </w:t>
      </w:r>
      <w:proofErr w:type="spellStart"/>
      <w:r w:rsidRPr="00216129">
        <w:t>Auton</w:t>
      </w:r>
      <w:proofErr w:type="spellEnd"/>
      <w:r w:rsidRPr="00216129">
        <w:t xml:space="preserve">, A., </w:t>
      </w:r>
      <w:proofErr w:type="spellStart"/>
      <w:r w:rsidRPr="00216129">
        <w:t>Abecasis</w:t>
      </w:r>
      <w:proofErr w:type="spellEnd"/>
      <w:r w:rsidRPr="00216129">
        <w:t xml:space="preserve">, G., Albers, C. A., Banks, E., </w:t>
      </w:r>
      <w:proofErr w:type="spellStart"/>
      <w:r w:rsidRPr="00216129">
        <w:t>DePristo</w:t>
      </w:r>
      <w:proofErr w:type="spellEnd"/>
      <w:r w:rsidRPr="00216129">
        <w:t xml:space="preserve">, M. A., </w:t>
      </w:r>
      <w:proofErr w:type="spellStart"/>
      <w:r w:rsidRPr="00216129">
        <w:t>Handsaker</w:t>
      </w:r>
      <w:proofErr w:type="spellEnd"/>
      <w:r w:rsidRPr="00216129">
        <w:t xml:space="preserve">, R. E., </w:t>
      </w:r>
      <w:proofErr w:type="spellStart"/>
      <w:r w:rsidRPr="00216129">
        <w:t>Lunter</w:t>
      </w:r>
      <w:proofErr w:type="spellEnd"/>
      <w:r w:rsidRPr="00216129">
        <w:t xml:space="preserve">, G., Marth, G. T., Sherry, S. T., McVean, G., &amp; Durbin, R. (2011). The variant call format and </w:t>
      </w:r>
      <w:proofErr w:type="spellStart"/>
      <w:r w:rsidRPr="00216129">
        <w:t>VCFtools</w:t>
      </w:r>
      <w:proofErr w:type="spellEnd"/>
      <w:r w:rsidRPr="00216129">
        <w:t>. </w:t>
      </w:r>
      <w:r w:rsidRPr="00216129">
        <w:rPr>
          <w:i/>
          <w:iCs/>
        </w:rPr>
        <w:t>Bioinformatics, 27</w:t>
      </w:r>
      <w:r w:rsidRPr="00216129">
        <w:t>(15), 2156-2158.</w:t>
      </w:r>
    </w:p>
    <w:p w14:paraId="6DE2D57A" w14:textId="77777777" w:rsidR="00216129" w:rsidRPr="00216129" w:rsidRDefault="00216129" w:rsidP="00216129">
      <w:pPr>
        <w:rPr>
          <w:rFonts w:hint="eastAsia"/>
        </w:rPr>
      </w:pPr>
      <w:r w:rsidRPr="00216129">
        <w:t>Dlugosch, K. M., &amp; Parker, I. M. (2008). Founding events in species invasions and their genetic consequences. </w:t>
      </w:r>
      <w:r w:rsidRPr="00216129">
        <w:rPr>
          <w:i/>
          <w:iCs/>
        </w:rPr>
        <w:t>Evolution, 62</w:t>
      </w:r>
      <w:r w:rsidRPr="00216129">
        <w:t>(2), 431-449.</w:t>
      </w:r>
    </w:p>
    <w:p w14:paraId="32249E0F" w14:textId="77777777" w:rsidR="00216129" w:rsidRPr="00216129" w:rsidRDefault="00216129" w:rsidP="00216129">
      <w:pPr>
        <w:rPr>
          <w:rFonts w:hint="eastAsia"/>
        </w:rPr>
      </w:pPr>
      <w:proofErr w:type="spellStart"/>
      <w:r w:rsidRPr="00216129">
        <w:t>Dobin</w:t>
      </w:r>
      <w:proofErr w:type="spellEnd"/>
      <w:r w:rsidRPr="00216129">
        <w:t xml:space="preserve">, A., Davis, C. A., Schlesinger, F., </w:t>
      </w:r>
      <w:proofErr w:type="spellStart"/>
      <w:r w:rsidRPr="00216129">
        <w:t>Drenkow</w:t>
      </w:r>
      <w:proofErr w:type="spellEnd"/>
      <w:r w:rsidRPr="00216129">
        <w:t xml:space="preserve">, J., Zaleski, C., Jha, S., </w:t>
      </w:r>
      <w:proofErr w:type="spellStart"/>
      <w:r w:rsidRPr="00216129">
        <w:t>Batut</w:t>
      </w:r>
      <w:proofErr w:type="spellEnd"/>
      <w:r w:rsidRPr="00216129">
        <w:t xml:space="preserve">, P., </w:t>
      </w:r>
      <w:proofErr w:type="spellStart"/>
      <w:r w:rsidRPr="00216129">
        <w:t>Chaisson</w:t>
      </w:r>
      <w:proofErr w:type="spellEnd"/>
      <w:r w:rsidRPr="00216129">
        <w:t xml:space="preserve">, M., &amp; </w:t>
      </w:r>
      <w:proofErr w:type="spellStart"/>
      <w:r w:rsidRPr="00216129">
        <w:t>Gingeras</w:t>
      </w:r>
      <w:proofErr w:type="spellEnd"/>
      <w:r w:rsidRPr="00216129">
        <w:t>, T. R. (2013). STAR: Ultrafast universal RNA-seq aligner. </w:t>
      </w:r>
      <w:r w:rsidRPr="00216129">
        <w:rPr>
          <w:i/>
          <w:iCs/>
        </w:rPr>
        <w:t xml:space="preserve">Bioinformatics, </w:t>
      </w:r>
      <w:r w:rsidRPr="00216129">
        <w:rPr>
          <w:i/>
          <w:iCs/>
        </w:rPr>
        <w:lastRenderedPageBreak/>
        <w:t>29</w:t>
      </w:r>
      <w:r w:rsidRPr="00216129">
        <w:t>(1), 15-21.</w:t>
      </w:r>
    </w:p>
    <w:p w14:paraId="41D07F4A" w14:textId="77777777" w:rsidR="00216129" w:rsidRPr="00216129" w:rsidRDefault="00216129" w:rsidP="00216129">
      <w:pPr>
        <w:rPr>
          <w:rFonts w:hint="eastAsia"/>
        </w:rPr>
      </w:pPr>
      <w:proofErr w:type="spellStart"/>
      <w:r w:rsidRPr="00216129">
        <w:t>Dührkop</w:t>
      </w:r>
      <w:proofErr w:type="spellEnd"/>
      <w:r w:rsidRPr="00216129">
        <w:t xml:space="preserve">, K., </w:t>
      </w:r>
      <w:proofErr w:type="spellStart"/>
      <w:r w:rsidRPr="00216129">
        <w:t>Fleischauer</w:t>
      </w:r>
      <w:proofErr w:type="spellEnd"/>
      <w:r w:rsidRPr="00216129">
        <w:t xml:space="preserve">, M., Ludwig, M., Aksenov, A. A., </w:t>
      </w:r>
      <w:proofErr w:type="spellStart"/>
      <w:r w:rsidRPr="00216129">
        <w:t>Melnik</w:t>
      </w:r>
      <w:proofErr w:type="spellEnd"/>
      <w:r w:rsidRPr="00216129">
        <w:t xml:space="preserve">, A. V., </w:t>
      </w:r>
      <w:proofErr w:type="spellStart"/>
      <w:r w:rsidRPr="00216129">
        <w:t>Meusel</w:t>
      </w:r>
      <w:proofErr w:type="spellEnd"/>
      <w:r w:rsidRPr="00216129">
        <w:t xml:space="preserve">, M., </w:t>
      </w:r>
      <w:proofErr w:type="spellStart"/>
      <w:r w:rsidRPr="00216129">
        <w:t>Dorrestein</w:t>
      </w:r>
      <w:proofErr w:type="spellEnd"/>
      <w:r w:rsidRPr="00216129">
        <w:t xml:space="preserve">, P. C., </w:t>
      </w:r>
      <w:proofErr w:type="spellStart"/>
      <w:r w:rsidRPr="00216129">
        <w:t>Rousu</w:t>
      </w:r>
      <w:proofErr w:type="spellEnd"/>
      <w:r w:rsidRPr="00216129">
        <w:t xml:space="preserve">, J., &amp; </w:t>
      </w:r>
      <w:proofErr w:type="spellStart"/>
      <w:r w:rsidRPr="00216129">
        <w:t>Böcker</w:t>
      </w:r>
      <w:proofErr w:type="spellEnd"/>
      <w:r w:rsidRPr="00216129">
        <w:t>, S. (2019). SIRIUS 4: A rapid tool for turning tandem mass spectra into metabolite structure information. </w:t>
      </w:r>
      <w:r w:rsidRPr="00216129">
        <w:rPr>
          <w:i/>
          <w:iCs/>
        </w:rPr>
        <w:t>Nature Methods, 16</w:t>
      </w:r>
      <w:r w:rsidRPr="00216129">
        <w:t>(4), 299-302.</w:t>
      </w:r>
    </w:p>
    <w:p w14:paraId="76B00B8D" w14:textId="77777777" w:rsidR="00216129" w:rsidRPr="00216129" w:rsidRDefault="00216129" w:rsidP="00216129">
      <w:pPr>
        <w:rPr>
          <w:rFonts w:hint="eastAsia"/>
        </w:rPr>
      </w:pPr>
      <w:proofErr w:type="spellStart"/>
      <w:r w:rsidRPr="00216129">
        <w:t>Ghalambor</w:t>
      </w:r>
      <w:proofErr w:type="spellEnd"/>
      <w:r w:rsidRPr="00216129">
        <w:t>, C. K., McKay, J. K., Carroll, S. P., &amp; Reznick, D. N. (2007). Adaptive versus non-adaptive phenotypic plasticity and the potential for contemporary adaptation in new environments. </w:t>
      </w:r>
      <w:r w:rsidRPr="00216129">
        <w:rPr>
          <w:i/>
          <w:iCs/>
        </w:rPr>
        <w:t>Functional Ecology, 21</w:t>
      </w:r>
      <w:r w:rsidRPr="00216129">
        <w:t>(3), 394-407.</w:t>
      </w:r>
    </w:p>
    <w:p w14:paraId="5AB81FF9" w14:textId="77777777" w:rsidR="00216129" w:rsidRPr="00216129" w:rsidRDefault="00216129" w:rsidP="00216129">
      <w:pPr>
        <w:rPr>
          <w:rFonts w:hint="eastAsia"/>
        </w:rPr>
      </w:pPr>
      <w:r w:rsidRPr="00216129">
        <w:t xml:space="preserve">Kumar, L., &amp; </w:t>
      </w:r>
      <w:proofErr w:type="spellStart"/>
      <w:r w:rsidRPr="00216129">
        <w:t>Futschik</w:t>
      </w:r>
      <w:proofErr w:type="spellEnd"/>
      <w:r w:rsidRPr="00216129">
        <w:t xml:space="preserve">, M. E. (2007). </w:t>
      </w:r>
      <w:proofErr w:type="spellStart"/>
      <w:r w:rsidRPr="00216129">
        <w:t>Mfuzz</w:t>
      </w:r>
      <w:proofErr w:type="spellEnd"/>
      <w:r w:rsidRPr="00216129">
        <w:t>: A software package for soft clustering of microarray data. </w:t>
      </w:r>
      <w:r w:rsidRPr="00216129">
        <w:rPr>
          <w:i/>
          <w:iCs/>
        </w:rPr>
        <w:t>Bioinformation, 2</w:t>
      </w:r>
      <w:r w:rsidRPr="00216129">
        <w:t>(1), 5-7.</w:t>
      </w:r>
    </w:p>
    <w:p w14:paraId="64AF881E" w14:textId="77777777" w:rsidR="00216129" w:rsidRPr="00216129" w:rsidRDefault="00216129" w:rsidP="00216129">
      <w:pPr>
        <w:rPr>
          <w:rFonts w:hint="eastAsia"/>
        </w:rPr>
      </w:pPr>
      <w:r w:rsidRPr="00216129">
        <w:t xml:space="preserve">Li, H., </w:t>
      </w:r>
      <w:proofErr w:type="spellStart"/>
      <w:r w:rsidRPr="00216129">
        <w:t>Handsaker</w:t>
      </w:r>
      <w:proofErr w:type="spellEnd"/>
      <w:r w:rsidRPr="00216129">
        <w:t xml:space="preserve">, B., </w:t>
      </w:r>
      <w:proofErr w:type="spellStart"/>
      <w:r w:rsidRPr="00216129">
        <w:t>Wysoker</w:t>
      </w:r>
      <w:proofErr w:type="spellEnd"/>
      <w:r w:rsidRPr="00216129">
        <w:t xml:space="preserve">, A., Fennell, T., Ruan, J., Homer, N., Marth, G., </w:t>
      </w:r>
      <w:proofErr w:type="spellStart"/>
      <w:r w:rsidRPr="00216129">
        <w:t>Abecasis</w:t>
      </w:r>
      <w:proofErr w:type="spellEnd"/>
      <w:r w:rsidRPr="00216129">
        <w:t xml:space="preserve">, G., &amp; Durbin, R. (2009). The Sequence Alignment/Map format and </w:t>
      </w:r>
      <w:proofErr w:type="spellStart"/>
      <w:r w:rsidRPr="00216129">
        <w:t>SAMtools</w:t>
      </w:r>
      <w:proofErr w:type="spellEnd"/>
      <w:r w:rsidRPr="00216129">
        <w:t>. </w:t>
      </w:r>
      <w:r w:rsidRPr="00216129">
        <w:rPr>
          <w:i/>
          <w:iCs/>
        </w:rPr>
        <w:t>Bioinformatics, 25</w:t>
      </w:r>
      <w:r w:rsidRPr="00216129">
        <w:t>(16), 2078-2079.</w:t>
      </w:r>
    </w:p>
    <w:p w14:paraId="3D05DFFC" w14:textId="77777777" w:rsidR="00216129" w:rsidRPr="00216129" w:rsidRDefault="00216129" w:rsidP="00216129">
      <w:pPr>
        <w:rPr>
          <w:rFonts w:hint="eastAsia"/>
        </w:rPr>
      </w:pPr>
      <w:r w:rsidRPr="00216129">
        <w:t xml:space="preserve">Liao, C., Luo, Y., Jiang, L., </w:t>
      </w:r>
      <w:proofErr w:type="spellStart"/>
      <w:r w:rsidRPr="00216129">
        <w:t>Kuang</w:t>
      </w:r>
      <w:proofErr w:type="spellEnd"/>
      <w:r w:rsidRPr="00216129">
        <w:t>, X., Markley, L. R., &amp; Shen, Z. (2007). Biomass and carbon dynamics of </w:t>
      </w:r>
      <w:r w:rsidRPr="00216129">
        <w:rPr>
          <w:i/>
          <w:iCs/>
        </w:rPr>
        <w:t>Spartina alterniflora</w:t>
      </w:r>
      <w:r w:rsidRPr="00216129">
        <w:t> invading coastal wetlands in the Yangtze Estuary, China. </w:t>
      </w:r>
      <w:r w:rsidRPr="00216129">
        <w:rPr>
          <w:i/>
          <w:iCs/>
        </w:rPr>
        <w:t>Science of the Total Environment, 376</w:t>
      </w:r>
      <w:r w:rsidRPr="00216129">
        <w:t>(1-3), 5-15.</w:t>
      </w:r>
    </w:p>
    <w:p w14:paraId="256E8E68" w14:textId="77777777" w:rsidR="00216129" w:rsidRPr="00216129" w:rsidRDefault="00216129" w:rsidP="00216129">
      <w:pPr>
        <w:rPr>
          <w:rFonts w:hint="eastAsia"/>
        </w:rPr>
      </w:pPr>
      <w:r w:rsidRPr="00216129">
        <w:t xml:space="preserve">Liao, Y., Smyth, G. K., &amp; Shi, W. (2014). </w:t>
      </w:r>
      <w:proofErr w:type="spellStart"/>
      <w:r w:rsidRPr="00216129">
        <w:t>featureCounts</w:t>
      </w:r>
      <w:proofErr w:type="spellEnd"/>
      <w:r w:rsidRPr="00216129">
        <w:t xml:space="preserve">: An efficient </w:t>
      </w:r>
      <w:proofErr w:type="gramStart"/>
      <w:r w:rsidRPr="00216129">
        <w:t>general purpose</w:t>
      </w:r>
      <w:proofErr w:type="gramEnd"/>
      <w:r w:rsidRPr="00216129">
        <w:t xml:space="preserve"> program for assigning sequence reads to genomic features. </w:t>
      </w:r>
      <w:r w:rsidRPr="00216129">
        <w:rPr>
          <w:i/>
          <w:iCs/>
        </w:rPr>
        <w:t>Bioinformatics, 30</w:t>
      </w:r>
      <w:r w:rsidRPr="00216129">
        <w:t>(7), 923-930.</w:t>
      </w:r>
    </w:p>
    <w:p w14:paraId="1D59E6AD" w14:textId="77777777" w:rsidR="00216129" w:rsidRPr="00216129" w:rsidRDefault="00216129" w:rsidP="00216129">
      <w:pPr>
        <w:rPr>
          <w:rFonts w:hint="eastAsia"/>
        </w:rPr>
      </w:pPr>
      <w:r w:rsidRPr="00216129">
        <w:t>Love, M. I., Huber, W., &amp; Anders, S. (2014). Moderated estimation of fold change and dispersion for RNA-seq data with DESeq2. </w:t>
      </w:r>
      <w:r w:rsidRPr="00216129">
        <w:rPr>
          <w:i/>
          <w:iCs/>
        </w:rPr>
        <w:t>Genome Biology, 15</w:t>
      </w:r>
      <w:r w:rsidRPr="00216129">
        <w:t>, 550.</w:t>
      </w:r>
    </w:p>
    <w:p w14:paraId="1CF34BD9" w14:textId="77777777" w:rsidR="00216129" w:rsidRPr="00216129" w:rsidRDefault="00216129" w:rsidP="00216129">
      <w:pPr>
        <w:rPr>
          <w:rFonts w:hint="eastAsia"/>
        </w:rPr>
      </w:pPr>
      <w:r w:rsidRPr="00216129">
        <w:t xml:space="preserve">McKenna, A., Hanna, M., Banks, E., </w:t>
      </w:r>
      <w:proofErr w:type="spellStart"/>
      <w:r w:rsidRPr="00216129">
        <w:t>Sivachenko</w:t>
      </w:r>
      <w:proofErr w:type="spellEnd"/>
      <w:r w:rsidRPr="00216129">
        <w:t xml:space="preserve">, A., </w:t>
      </w:r>
      <w:proofErr w:type="spellStart"/>
      <w:r w:rsidRPr="00216129">
        <w:t>Cibulskis</w:t>
      </w:r>
      <w:proofErr w:type="spellEnd"/>
      <w:r w:rsidRPr="00216129">
        <w:t xml:space="preserve">, K., </w:t>
      </w:r>
      <w:proofErr w:type="spellStart"/>
      <w:r w:rsidRPr="00216129">
        <w:t>Kernytsky</w:t>
      </w:r>
      <w:proofErr w:type="spellEnd"/>
      <w:r w:rsidRPr="00216129">
        <w:t xml:space="preserve">, A., </w:t>
      </w:r>
      <w:proofErr w:type="spellStart"/>
      <w:r w:rsidRPr="00216129">
        <w:t>Garimella</w:t>
      </w:r>
      <w:proofErr w:type="spellEnd"/>
      <w:r w:rsidRPr="00216129">
        <w:t xml:space="preserve">, K., </w:t>
      </w:r>
      <w:proofErr w:type="spellStart"/>
      <w:r w:rsidRPr="00216129">
        <w:t>Altshuler</w:t>
      </w:r>
      <w:proofErr w:type="spellEnd"/>
      <w:r w:rsidRPr="00216129">
        <w:t xml:space="preserve">, D., Gabriel, S., Daly, M., &amp; </w:t>
      </w:r>
      <w:proofErr w:type="spellStart"/>
      <w:r w:rsidRPr="00216129">
        <w:t>DePristo</w:t>
      </w:r>
      <w:proofErr w:type="spellEnd"/>
      <w:r w:rsidRPr="00216129">
        <w:t>, M. A. (2010). The Genome Analysis Toolkit: A MapReduce framework for analyzing next-generation DNA sequencing data. </w:t>
      </w:r>
      <w:r w:rsidRPr="00216129">
        <w:rPr>
          <w:i/>
          <w:iCs/>
        </w:rPr>
        <w:t>Genome Research, 20</w:t>
      </w:r>
      <w:r w:rsidRPr="00216129">
        <w:t>(9), 1297-1303.</w:t>
      </w:r>
    </w:p>
    <w:p w14:paraId="3CB184DF" w14:textId="77777777" w:rsidR="00216129" w:rsidRPr="00216129" w:rsidRDefault="00216129" w:rsidP="00216129">
      <w:pPr>
        <w:rPr>
          <w:rFonts w:hint="eastAsia"/>
        </w:rPr>
      </w:pPr>
      <w:r w:rsidRPr="00216129">
        <w:t>Mendelssohn, I. A., &amp; Morris, J. T. (2000). Eco-physiological controls on the productivity of </w:t>
      </w:r>
      <w:r w:rsidRPr="00216129">
        <w:rPr>
          <w:i/>
          <w:iCs/>
        </w:rPr>
        <w:t>Spartina alterniflora</w:t>
      </w:r>
      <w:r w:rsidRPr="00216129">
        <w:t xml:space="preserve"> Loisel. In M. P. Weinstein &amp; D. A. </w:t>
      </w:r>
      <w:proofErr w:type="spellStart"/>
      <w:r w:rsidRPr="00216129">
        <w:t>Kreeger</w:t>
      </w:r>
      <w:proofErr w:type="spellEnd"/>
      <w:r w:rsidRPr="00216129">
        <w:t xml:space="preserve"> (Eds.), </w:t>
      </w:r>
      <w:r w:rsidRPr="00216129">
        <w:rPr>
          <w:i/>
          <w:iCs/>
        </w:rPr>
        <w:t>Concepts and controversies in tidal marsh ecology</w:t>
      </w:r>
      <w:r w:rsidRPr="00216129">
        <w:t> (pp. 59-80). Springer.</w:t>
      </w:r>
    </w:p>
    <w:p w14:paraId="01432BF8" w14:textId="77777777" w:rsidR="00216129" w:rsidRPr="00216129" w:rsidRDefault="00216129" w:rsidP="00216129">
      <w:pPr>
        <w:rPr>
          <w:rFonts w:hint="eastAsia"/>
        </w:rPr>
      </w:pPr>
      <w:r w:rsidRPr="00216129">
        <w:t xml:space="preserve">Nicotra, A. B., Atkin, O. K., Bonser, S. P., Davidson, A. M., Finnegan, E. J., </w:t>
      </w:r>
      <w:proofErr w:type="spellStart"/>
      <w:r w:rsidRPr="00216129">
        <w:t>Mathesius</w:t>
      </w:r>
      <w:proofErr w:type="spellEnd"/>
      <w:r w:rsidRPr="00216129">
        <w:t xml:space="preserve">, U., Poot, P., </w:t>
      </w:r>
      <w:proofErr w:type="spellStart"/>
      <w:r w:rsidRPr="00216129">
        <w:t>Purugganan</w:t>
      </w:r>
      <w:proofErr w:type="spellEnd"/>
      <w:r w:rsidRPr="00216129">
        <w:t xml:space="preserve">, M. D., Richards, C. L., Valladares, F., &amp; van </w:t>
      </w:r>
      <w:proofErr w:type="spellStart"/>
      <w:r w:rsidRPr="00216129">
        <w:t>Kleunen</w:t>
      </w:r>
      <w:proofErr w:type="spellEnd"/>
      <w:r w:rsidRPr="00216129">
        <w:t>, M. (2010). Plant phenotypic plasticity in a changing climate. </w:t>
      </w:r>
      <w:r w:rsidRPr="00216129">
        <w:rPr>
          <w:i/>
          <w:iCs/>
        </w:rPr>
        <w:t>Trends in Plant Science, 15</w:t>
      </w:r>
      <w:r w:rsidRPr="00216129">
        <w:t>(12), 684-692.</w:t>
      </w:r>
    </w:p>
    <w:p w14:paraId="08FA6B1D" w14:textId="77777777" w:rsidR="00216129" w:rsidRPr="00216129" w:rsidRDefault="00216129" w:rsidP="00216129">
      <w:pPr>
        <w:rPr>
          <w:rFonts w:hint="eastAsia"/>
        </w:rPr>
      </w:pPr>
      <w:proofErr w:type="spellStart"/>
      <w:r w:rsidRPr="00216129">
        <w:t>Pennings</w:t>
      </w:r>
      <w:proofErr w:type="spellEnd"/>
      <w:r w:rsidRPr="00216129">
        <w:t xml:space="preserve">, S. C., Grant, M. B., &amp; </w:t>
      </w:r>
      <w:proofErr w:type="spellStart"/>
      <w:r w:rsidRPr="00216129">
        <w:t>Bertness</w:t>
      </w:r>
      <w:proofErr w:type="spellEnd"/>
      <w:r w:rsidRPr="00216129">
        <w:t>, M. D. (2005). Plant zonation in low-latitude salt marshes: Disentangling the roles of flooding, salinity and competition. </w:t>
      </w:r>
      <w:r w:rsidRPr="00216129">
        <w:rPr>
          <w:i/>
          <w:iCs/>
        </w:rPr>
        <w:t xml:space="preserve">Journal of </w:t>
      </w:r>
      <w:r w:rsidRPr="00216129">
        <w:rPr>
          <w:i/>
          <w:iCs/>
        </w:rPr>
        <w:lastRenderedPageBreak/>
        <w:t>Ecology, 93</w:t>
      </w:r>
      <w:r w:rsidRPr="00216129">
        <w:t>(1), 159-167.</w:t>
      </w:r>
    </w:p>
    <w:p w14:paraId="09EBFCD9" w14:textId="77777777" w:rsidR="00216129" w:rsidRPr="00216129" w:rsidRDefault="00216129" w:rsidP="00216129">
      <w:pPr>
        <w:rPr>
          <w:rFonts w:hint="eastAsia"/>
        </w:rPr>
      </w:pPr>
      <w:r w:rsidRPr="00216129">
        <w:t xml:space="preserve">Purcell, S., Neale, B., Todd-Brown, K., Thomas, L., Ferreira, M. A. R., Bender, D., </w:t>
      </w:r>
      <w:proofErr w:type="spellStart"/>
      <w:r w:rsidRPr="00216129">
        <w:t>Maller</w:t>
      </w:r>
      <w:proofErr w:type="spellEnd"/>
      <w:r w:rsidRPr="00216129">
        <w:t xml:space="preserve">, J., </w:t>
      </w:r>
      <w:proofErr w:type="spellStart"/>
      <w:r w:rsidRPr="00216129">
        <w:t>Sklar</w:t>
      </w:r>
      <w:proofErr w:type="spellEnd"/>
      <w:r w:rsidRPr="00216129">
        <w:t>, P., de Bakker, P. I. W., Daly, M. J., &amp; Sham, P. C. (2007). PLINK: A tool set for whole-genome association and population-based linkage analyses. </w:t>
      </w:r>
      <w:r w:rsidRPr="00216129">
        <w:rPr>
          <w:i/>
          <w:iCs/>
        </w:rPr>
        <w:t>American Journal of Human Genetics, 81</w:t>
      </w:r>
      <w:r w:rsidRPr="00216129">
        <w:t>(3), 559-575.</w:t>
      </w:r>
    </w:p>
    <w:p w14:paraId="3D4FD07C" w14:textId="77777777" w:rsidR="00216129" w:rsidRPr="00216129" w:rsidRDefault="00216129" w:rsidP="00216129">
      <w:pPr>
        <w:rPr>
          <w:rFonts w:hint="eastAsia"/>
        </w:rPr>
      </w:pPr>
      <w:proofErr w:type="spellStart"/>
      <w:r w:rsidRPr="00216129">
        <w:t>Qiao</w:t>
      </w:r>
      <w:proofErr w:type="spellEnd"/>
      <w:r w:rsidRPr="00216129">
        <w:t>, H., Liu, W., Zhang, Y., Li, Q., &amp; Qi, X. (2019). Rapid adaptation of the invasive salt marsh weed </w:t>
      </w:r>
      <w:r w:rsidRPr="00216129">
        <w:rPr>
          <w:i/>
          <w:iCs/>
        </w:rPr>
        <w:t>Spartina alterniflora</w:t>
      </w:r>
      <w:r w:rsidRPr="00216129">
        <w:t> along large geographical gradients. </w:t>
      </w:r>
      <w:r w:rsidRPr="00216129">
        <w:rPr>
          <w:i/>
          <w:iCs/>
        </w:rPr>
        <w:t>Molecular Ecology, 28</w:t>
      </w:r>
      <w:r w:rsidRPr="00216129">
        <w:t>(20), 4528-4541.</w:t>
      </w:r>
    </w:p>
    <w:p w14:paraId="39FDF75B" w14:textId="77777777" w:rsidR="00216129" w:rsidRPr="00216129" w:rsidRDefault="00216129" w:rsidP="00216129">
      <w:pPr>
        <w:rPr>
          <w:rFonts w:hint="eastAsia"/>
        </w:rPr>
      </w:pPr>
      <w:r w:rsidRPr="00216129">
        <w:t>Ren, G., Zhao, Q., Peng, J., Zeng, J., Jian, S., Zhang, Y., Tu, P., Li, B., &amp; Ding, J. (2019). </w:t>
      </w:r>
      <w:r w:rsidRPr="00216129">
        <w:rPr>
          <w:i/>
          <w:iCs/>
        </w:rPr>
        <w:t>Spartina alterniflora</w:t>
      </w:r>
      <w:r w:rsidRPr="00216129">
        <w:t> in eastern China: Ecological threat and management. </w:t>
      </w:r>
      <w:r w:rsidRPr="00216129">
        <w:rPr>
          <w:i/>
          <w:iCs/>
        </w:rPr>
        <w:t>Ecology and Evolution, 9</w:t>
      </w:r>
      <w:r w:rsidRPr="00216129">
        <w:t>(18), 10455-10467.</w:t>
      </w:r>
    </w:p>
    <w:p w14:paraId="5F07392B" w14:textId="77777777" w:rsidR="00216129" w:rsidRPr="00216129" w:rsidRDefault="00216129" w:rsidP="00216129">
      <w:pPr>
        <w:rPr>
          <w:rFonts w:hint="eastAsia"/>
        </w:rPr>
      </w:pPr>
      <w:r w:rsidRPr="00216129">
        <w:t xml:space="preserve">Richards, C. L., </w:t>
      </w:r>
      <w:proofErr w:type="spellStart"/>
      <w:r w:rsidRPr="00216129">
        <w:t>Bossdorf</w:t>
      </w:r>
      <w:proofErr w:type="spellEnd"/>
      <w:r w:rsidRPr="00216129">
        <w:t xml:space="preserve">, O., </w:t>
      </w:r>
      <w:proofErr w:type="spellStart"/>
      <w:r w:rsidRPr="00216129">
        <w:t>Muth</w:t>
      </w:r>
      <w:proofErr w:type="spellEnd"/>
      <w:r w:rsidRPr="00216129">
        <w:t xml:space="preserve">, N. Z., </w:t>
      </w:r>
      <w:proofErr w:type="spellStart"/>
      <w:r w:rsidRPr="00216129">
        <w:t>Gurevitch</w:t>
      </w:r>
      <w:proofErr w:type="spellEnd"/>
      <w:r w:rsidRPr="00216129">
        <w:t xml:space="preserve">, J., &amp; </w:t>
      </w:r>
      <w:proofErr w:type="spellStart"/>
      <w:r w:rsidRPr="00216129">
        <w:t>Pigliucci</w:t>
      </w:r>
      <w:proofErr w:type="spellEnd"/>
      <w:r w:rsidRPr="00216129">
        <w:t>, M. (2006). Jack of all trades, master of some? On the role of phenotypic plasticity in plant invasions. </w:t>
      </w:r>
      <w:r w:rsidRPr="00216129">
        <w:rPr>
          <w:i/>
          <w:iCs/>
        </w:rPr>
        <w:t>Ecology Letters, 9</w:t>
      </w:r>
      <w:r w:rsidRPr="00216129">
        <w:t>(8), 981-993.</w:t>
      </w:r>
    </w:p>
    <w:p w14:paraId="33292207" w14:textId="77777777" w:rsidR="00216129" w:rsidRPr="00216129" w:rsidRDefault="00216129" w:rsidP="00216129">
      <w:pPr>
        <w:rPr>
          <w:rFonts w:hint="eastAsia"/>
        </w:rPr>
      </w:pPr>
      <w:proofErr w:type="spellStart"/>
      <w:r w:rsidRPr="00216129">
        <w:t>Sayols</w:t>
      </w:r>
      <w:proofErr w:type="spellEnd"/>
      <w:r w:rsidRPr="00216129">
        <w:t xml:space="preserve">, S. (2023). </w:t>
      </w:r>
      <w:proofErr w:type="spellStart"/>
      <w:r w:rsidRPr="00216129">
        <w:t>rrvgo</w:t>
      </w:r>
      <w:proofErr w:type="spellEnd"/>
      <w:r w:rsidRPr="00216129">
        <w:t>: A Bioconductor package for interpreting lists of Gene Ontology terms. </w:t>
      </w:r>
      <w:proofErr w:type="spellStart"/>
      <w:r w:rsidRPr="00216129">
        <w:rPr>
          <w:i/>
          <w:iCs/>
        </w:rPr>
        <w:t>microPublication</w:t>
      </w:r>
      <w:proofErr w:type="spellEnd"/>
      <w:r w:rsidRPr="00216129">
        <w:rPr>
          <w:i/>
          <w:iCs/>
        </w:rPr>
        <w:t xml:space="preserve"> Biology</w:t>
      </w:r>
      <w:r w:rsidRPr="00216129">
        <w:t>. </w:t>
      </w:r>
      <w:hyperlink r:id="rId10" w:tgtFrame="_blank" w:history="1">
        <w:r w:rsidRPr="00216129">
          <w:rPr>
            <w:rStyle w:val="af2"/>
          </w:rPr>
          <w:t>https://doi.org/10.17912/micropub.biology.000811</w:t>
        </w:r>
      </w:hyperlink>
    </w:p>
    <w:p w14:paraId="4C0B469A" w14:textId="77777777" w:rsidR="00216129" w:rsidRPr="00216129" w:rsidRDefault="00216129" w:rsidP="00216129">
      <w:pPr>
        <w:rPr>
          <w:rFonts w:hint="eastAsia"/>
        </w:rPr>
      </w:pPr>
      <w:proofErr w:type="spellStart"/>
      <w:r w:rsidRPr="00216129">
        <w:t>Schymanski</w:t>
      </w:r>
      <w:proofErr w:type="spellEnd"/>
      <w:r w:rsidRPr="00216129">
        <w:t xml:space="preserve">, E. L., Jeon, J., </w:t>
      </w:r>
      <w:proofErr w:type="spellStart"/>
      <w:r w:rsidRPr="00216129">
        <w:t>Gulde</w:t>
      </w:r>
      <w:proofErr w:type="spellEnd"/>
      <w:r w:rsidRPr="00216129">
        <w:t xml:space="preserve">, R., </w:t>
      </w:r>
      <w:proofErr w:type="spellStart"/>
      <w:r w:rsidRPr="00216129">
        <w:t>Fenner</w:t>
      </w:r>
      <w:proofErr w:type="spellEnd"/>
      <w:r w:rsidRPr="00216129">
        <w:t xml:space="preserve">, K., Ruff, M., Singer, H. P., &amp; </w:t>
      </w:r>
      <w:proofErr w:type="spellStart"/>
      <w:r w:rsidRPr="00216129">
        <w:t>Hollender</w:t>
      </w:r>
      <w:proofErr w:type="spellEnd"/>
      <w:r w:rsidRPr="00216129">
        <w:t>, J. (2014). Identifying small molecules via high resolution mass spectrometry: Communicating confidence. </w:t>
      </w:r>
      <w:r w:rsidRPr="00216129">
        <w:rPr>
          <w:i/>
          <w:iCs/>
        </w:rPr>
        <w:t>Environmental Science &amp; Technology, 48</w:t>
      </w:r>
      <w:r w:rsidRPr="00216129">
        <w:t>(4), 2097-2098.</w:t>
      </w:r>
    </w:p>
    <w:p w14:paraId="67A0568A" w14:textId="77777777" w:rsidR="00216129" w:rsidRPr="00216129" w:rsidRDefault="00216129" w:rsidP="00216129">
      <w:pPr>
        <w:rPr>
          <w:rFonts w:hint="eastAsia"/>
        </w:rPr>
      </w:pPr>
      <w:proofErr w:type="spellStart"/>
      <w:r w:rsidRPr="00216129">
        <w:t>Scossa</w:t>
      </w:r>
      <w:proofErr w:type="spellEnd"/>
      <w:r w:rsidRPr="00216129">
        <w:t xml:space="preserve">, F., </w:t>
      </w:r>
      <w:proofErr w:type="spellStart"/>
      <w:r w:rsidRPr="00216129">
        <w:t>Alseekh</w:t>
      </w:r>
      <w:proofErr w:type="spellEnd"/>
      <w:r w:rsidRPr="00216129">
        <w:t xml:space="preserve">, S., &amp; </w:t>
      </w:r>
      <w:proofErr w:type="spellStart"/>
      <w:r w:rsidRPr="00216129">
        <w:t>Fernie</w:t>
      </w:r>
      <w:proofErr w:type="spellEnd"/>
      <w:r w:rsidRPr="00216129">
        <w:t>, A. R. (2021). Integrating multi-omics data for crop improvement. </w:t>
      </w:r>
      <w:r w:rsidRPr="00216129">
        <w:rPr>
          <w:i/>
          <w:iCs/>
        </w:rPr>
        <w:t>Journal of Plant Physiology, 257</w:t>
      </w:r>
      <w:r w:rsidRPr="00216129">
        <w:t>, 153352.</w:t>
      </w:r>
    </w:p>
    <w:p w14:paraId="0D24C8BF" w14:textId="77777777" w:rsidR="00216129" w:rsidRPr="00216129" w:rsidRDefault="00216129" w:rsidP="00216129">
      <w:pPr>
        <w:rPr>
          <w:rFonts w:hint="eastAsia"/>
        </w:rPr>
      </w:pPr>
      <w:r w:rsidRPr="00216129">
        <w:t>Strong, D. R., &amp; Ayres, D. R. (2013). Ecological and evolutionary alterations of coastal salt marshes by introduced </w:t>
      </w:r>
      <w:r w:rsidRPr="00216129">
        <w:rPr>
          <w:i/>
          <w:iCs/>
        </w:rPr>
        <w:t>Spartina</w:t>
      </w:r>
      <w:r w:rsidRPr="00216129">
        <w:t>. </w:t>
      </w:r>
      <w:r w:rsidRPr="00216129">
        <w:rPr>
          <w:i/>
          <w:iCs/>
        </w:rPr>
        <w:t>Annual Review of Ecology, Evolution, and Systematics, 44</w:t>
      </w:r>
      <w:r w:rsidRPr="00216129">
        <w:t>, 389-409.</w:t>
      </w:r>
    </w:p>
    <w:p w14:paraId="57360E58" w14:textId="77777777" w:rsidR="00216129" w:rsidRPr="00216129" w:rsidRDefault="00216129" w:rsidP="00216129">
      <w:pPr>
        <w:rPr>
          <w:rFonts w:hint="eastAsia"/>
        </w:rPr>
      </w:pPr>
      <w:r w:rsidRPr="00216129">
        <w:t xml:space="preserve">Wang, M., Carver, J. J., Phelan, V. V., Sanchez, L. M., Garg, N., Peng, Y., Nguyen, D. D., Watrous, J., Kapono, C. A., </w:t>
      </w:r>
      <w:proofErr w:type="spellStart"/>
      <w:r w:rsidRPr="00216129">
        <w:t>Luzzatto-Knaan</w:t>
      </w:r>
      <w:proofErr w:type="spellEnd"/>
      <w:r w:rsidRPr="00216129">
        <w:t xml:space="preserve">, T., Porto, C., </w:t>
      </w:r>
      <w:proofErr w:type="spellStart"/>
      <w:r w:rsidRPr="00216129">
        <w:t>Bouslimani</w:t>
      </w:r>
      <w:proofErr w:type="spellEnd"/>
      <w:r w:rsidRPr="00216129">
        <w:t xml:space="preserve">, A., </w:t>
      </w:r>
      <w:proofErr w:type="spellStart"/>
      <w:r w:rsidRPr="00216129">
        <w:t>Melnik</w:t>
      </w:r>
      <w:proofErr w:type="spellEnd"/>
      <w:r w:rsidRPr="00216129">
        <w:t xml:space="preserve">, A. V., Meehan, M. J., Liu, W.-T., </w:t>
      </w:r>
      <w:proofErr w:type="spellStart"/>
      <w:r w:rsidRPr="00216129">
        <w:t>Crüsemann</w:t>
      </w:r>
      <w:proofErr w:type="spellEnd"/>
      <w:r w:rsidRPr="00216129">
        <w:t xml:space="preserve">, M., Boudreau, P. D., </w:t>
      </w:r>
      <w:proofErr w:type="spellStart"/>
      <w:r w:rsidRPr="00216129">
        <w:t>Esquenazi</w:t>
      </w:r>
      <w:proofErr w:type="spellEnd"/>
      <w:r w:rsidRPr="00216129">
        <w:t xml:space="preserve">, E., Sandoval-Calderón, M., ... </w:t>
      </w:r>
      <w:proofErr w:type="spellStart"/>
      <w:r w:rsidRPr="00216129">
        <w:t>Dorrestein</w:t>
      </w:r>
      <w:proofErr w:type="spellEnd"/>
      <w:r w:rsidRPr="00216129">
        <w:t>, P. C. (2016). Sharing and community curation of mass spectrometry data with Global Natural Products Social Molecular Networking. </w:t>
      </w:r>
      <w:r w:rsidRPr="00216129">
        <w:rPr>
          <w:i/>
          <w:iCs/>
        </w:rPr>
        <w:t>Nature Biotechnology, 34</w:t>
      </w:r>
      <w:r w:rsidRPr="00216129">
        <w:t>(8), 828-837.</w:t>
      </w:r>
    </w:p>
    <w:p w14:paraId="4FD12055" w14:textId="77777777" w:rsidR="00216129" w:rsidRPr="00216129" w:rsidRDefault="00216129" w:rsidP="00216129">
      <w:pPr>
        <w:rPr>
          <w:rFonts w:hint="eastAsia"/>
        </w:rPr>
      </w:pPr>
      <w:r w:rsidRPr="00216129">
        <w:t>Wu, Z., Wang, F., Li, X., Liu, J., Xiao, X., Zhang, Y., Lin, Y., &amp; et al. (2022). A chromosome-level reference genome of the invasive plant </w:t>
      </w:r>
      <w:r w:rsidRPr="00216129">
        <w:rPr>
          <w:i/>
          <w:iCs/>
        </w:rPr>
        <w:t>Spartina alterniflora</w:t>
      </w:r>
      <w:r w:rsidRPr="00216129">
        <w:t> provides insights into its environmental adaptation. </w:t>
      </w:r>
      <w:r w:rsidRPr="00216129">
        <w:rPr>
          <w:i/>
          <w:iCs/>
        </w:rPr>
        <w:t>Molecular Ecology Resources, 22</w:t>
      </w:r>
      <w:r w:rsidRPr="00216129">
        <w:t>(5), 1837-1854.</w:t>
      </w:r>
    </w:p>
    <w:p w14:paraId="24D238F8" w14:textId="77777777" w:rsidR="00216129" w:rsidRPr="00216129" w:rsidRDefault="00216129" w:rsidP="00216129">
      <w:pPr>
        <w:rPr>
          <w:rFonts w:hint="eastAsia"/>
        </w:rPr>
      </w:pPr>
      <w:r w:rsidRPr="00216129">
        <w:lastRenderedPageBreak/>
        <w:t xml:space="preserve">Yu, G., Wang, L.-G., Han, Y., &amp; He, Q.-Y. (2012). </w:t>
      </w:r>
      <w:proofErr w:type="spellStart"/>
      <w:r w:rsidRPr="00216129">
        <w:t>clusterProfiler</w:t>
      </w:r>
      <w:proofErr w:type="spellEnd"/>
      <w:r w:rsidRPr="00216129">
        <w:t>: An R package for comparing biological themes among gene clusters. </w:t>
      </w:r>
      <w:r w:rsidRPr="00216129">
        <w:rPr>
          <w:i/>
          <w:iCs/>
        </w:rPr>
        <w:t>OMICS, 16</w:t>
      </w:r>
      <w:r w:rsidRPr="00216129">
        <w:t>(5), 284-287.</w:t>
      </w:r>
    </w:p>
    <w:p w14:paraId="2FE03EA3" w14:textId="77777777" w:rsidR="00216129" w:rsidRPr="00216129" w:rsidRDefault="00216129" w:rsidP="00216129">
      <w:pPr>
        <w:rPr>
          <w:rFonts w:hint="eastAsia"/>
        </w:rPr>
      </w:pPr>
      <w:proofErr w:type="spellStart"/>
      <w:r w:rsidRPr="00216129">
        <w:t>Zenni</w:t>
      </w:r>
      <w:proofErr w:type="spellEnd"/>
      <w:r w:rsidRPr="00216129">
        <w:t xml:space="preserve">, R. D., Bailey, J. K., &amp; </w:t>
      </w:r>
      <w:proofErr w:type="spellStart"/>
      <w:r w:rsidRPr="00216129">
        <w:t>Simberloff</w:t>
      </w:r>
      <w:proofErr w:type="spellEnd"/>
      <w:r w:rsidRPr="00216129">
        <w:t>, D. (2014). Rapid evolution and local adaptation in a major invasive species. </w:t>
      </w:r>
      <w:r w:rsidRPr="00216129">
        <w:rPr>
          <w:i/>
          <w:iCs/>
        </w:rPr>
        <w:t>Evolutionary Ecology, 28</w:t>
      </w:r>
      <w:r w:rsidRPr="00216129">
        <w:t>, 431-446.</w:t>
      </w:r>
    </w:p>
    <w:p w14:paraId="48CFC410" w14:textId="77777777" w:rsidR="00216129" w:rsidRPr="00216129" w:rsidRDefault="00216129" w:rsidP="00216129">
      <w:pPr>
        <w:rPr>
          <w:rFonts w:hint="eastAsia"/>
        </w:rPr>
      </w:pPr>
      <w:r w:rsidRPr="00216129">
        <w:t>Zhang, Y., Ding, W., Zhao, H., Yang, R., &amp; Ouyang, X. (2012). Impact of </w:t>
      </w:r>
      <w:r w:rsidRPr="00216129">
        <w:rPr>
          <w:i/>
          <w:iCs/>
        </w:rPr>
        <w:t>Spartina alterniflora</w:t>
      </w:r>
      <w:r w:rsidRPr="00216129">
        <w:t> invasion on the benthic faunal communities in a mangrove wetland. </w:t>
      </w:r>
      <w:r w:rsidRPr="00216129">
        <w:rPr>
          <w:i/>
          <w:iCs/>
        </w:rPr>
        <w:t>Estuarine, Coastal and Shelf Science, 97</w:t>
      </w:r>
      <w:r w:rsidRPr="00216129">
        <w:t>, 85-92.</w:t>
      </w:r>
    </w:p>
    <w:p w14:paraId="7EA7953D" w14:textId="2DF1211E" w:rsidR="00ED62C1" w:rsidRPr="00ED62C1" w:rsidRDefault="00ED62C1">
      <w:pPr>
        <w:rPr>
          <w:rFonts w:hint="eastAsia"/>
        </w:rPr>
      </w:pPr>
    </w:p>
    <w:sectPr w:rsidR="00ED62C1" w:rsidRPr="00ED6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52AE5" w14:textId="77777777" w:rsidR="000E73CD" w:rsidRDefault="000E73CD" w:rsidP="00303B6D">
      <w:pPr>
        <w:spacing w:after="0" w:line="240" w:lineRule="auto"/>
        <w:rPr>
          <w:rFonts w:hint="eastAsia"/>
        </w:rPr>
      </w:pPr>
      <w:r>
        <w:separator/>
      </w:r>
    </w:p>
  </w:endnote>
  <w:endnote w:type="continuationSeparator" w:id="0">
    <w:p w14:paraId="524F6388" w14:textId="77777777" w:rsidR="000E73CD" w:rsidRDefault="000E73CD" w:rsidP="00303B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4BCBA" w14:textId="77777777" w:rsidR="000E73CD" w:rsidRDefault="000E73CD" w:rsidP="00303B6D">
      <w:pPr>
        <w:spacing w:after="0" w:line="240" w:lineRule="auto"/>
        <w:rPr>
          <w:rFonts w:hint="eastAsia"/>
        </w:rPr>
      </w:pPr>
      <w:r>
        <w:separator/>
      </w:r>
    </w:p>
  </w:footnote>
  <w:footnote w:type="continuationSeparator" w:id="0">
    <w:p w14:paraId="2C6A2E31" w14:textId="77777777" w:rsidR="000E73CD" w:rsidRDefault="000E73CD" w:rsidP="00303B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B690B"/>
    <w:multiLevelType w:val="multilevel"/>
    <w:tmpl w:val="4A30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70"/>
    <w:rsid w:val="000920A9"/>
    <w:rsid w:val="000D21F2"/>
    <w:rsid w:val="000E6882"/>
    <w:rsid w:val="000E73CD"/>
    <w:rsid w:val="001532B0"/>
    <w:rsid w:val="001C7272"/>
    <w:rsid w:val="001D11B1"/>
    <w:rsid w:val="002045C7"/>
    <w:rsid w:val="00216129"/>
    <w:rsid w:val="002F13DF"/>
    <w:rsid w:val="00303B6D"/>
    <w:rsid w:val="00312F0E"/>
    <w:rsid w:val="00351688"/>
    <w:rsid w:val="00352399"/>
    <w:rsid w:val="0036649A"/>
    <w:rsid w:val="003847CB"/>
    <w:rsid w:val="003E3733"/>
    <w:rsid w:val="00437DE8"/>
    <w:rsid w:val="004B4C10"/>
    <w:rsid w:val="005112BC"/>
    <w:rsid w:val="00535881"/>
    <w:rsid w:val="005C3623"/>
    <w:rsid w:val="005D3BD8"/>
    <w:rsid w:val="005F11DC"/>
    <w:rsid w:val="00610625"/>
    <w:rsid w:val="00623D21"/>
    <w:rsid w:val="006602A2"/>
    <w:rsid w:val="00696534"/>
    <w:rsid w:val="006B7734"/>
    <w:rsid w:val="00764F5E"/>
    <w:rsid w:val="00863524"/>
    <w:rsid w:val="008D54F6"/>
    <w:rsid w:val="008E14A0"/>
    <w:rsid w:val="00935B77"/>
    <w:rsid w:val="009A3166"/>
    <w:rsid w:val="009E4C89"/>
    <w:rsid w:val="009E5776"/>
    <w:rsid w:val="009F3DBE"/>
    <w:rsid w:val="00A57A34"/>
    <w:rsid w:val="00A95D0E"/>
    <w:rsid w:val="00AB2370"/>
    <w:rsid w:val="00B92C6D"/>
    <w:rsid w:val="00C0301E"/>
    <w:rsid w:val="00C7305B"/>
    <w:rsid w:val="00D27E3B"/>
    <w:rsid w:val="00D31200"/>
    <w:rsid w:val="00E43DA9"/>
    <w:rsid w:val="00EA4336"/>
    <w:rsid w:val="00EC509A"/>
    <w:rsid w:val="00ED62C1"/>
    <w:rsid w:val="00F75ABD"/>
    <w:rsid w:val="00F76914"/>
    <w:rsid w:val="00FC5445"/>
    <w:rsid w:val="00FD6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16BA"/>
  <w15:chartTrackingRefBased/>
  <w15:docId w15:val="{BA18EE3F-F2E3-4FFE-A5E5-AF1F9DE7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2C1"/>
    <w:pPr>
      <w:widowControl w:val="0"/>
    </w:pPr>
  </w:style>
  <w:style w:type="paragraph" w:styleId="1">
    <w:name w:val="heading 1"/>
    <w:basedOn w:val="a"/>
    <w:next w:val="a"/>
    <w:link w:val="10"/>
    <w:uiPriority w:val="9"/>
    <w:qFormat/>
    <w:rsid w:val="00AB23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23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23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23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23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23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23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23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23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23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23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23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2370"/>
    <w:rPr>
      <w:rFonts w:cstheme="majorBidi"/>
      <w:color w:val="0F4761" w:themeColor="accent1" w:themeShade="BF"/>
      <w:sz w:val="28"/>
      <w:szCs w:val="28"/>
    </w:rPr>
  </w:style>
  <w:style w:type="character" w:customStyle="1" w:styleId="50">
    <w:name w:val="标题 5 字符"/>
    <w:basedOn w:val="a0"/>
    <w:link w:val="5"/>
    <w:uiPriority w:val="9"/>
    <w:semiHidden/>
    <w:rsid w:val="00AB2370"/>
    <w:rPr>
      <w:rFonts w:cstheme="majorBidi"/>
      <w:color w:val="0F4761" w:themeColor="accent1" w:themeShade="BF"/>
      <w:sz w:val="24"/>
    </w:rPr>
  </w:style>
  <w:style w:type="character" w:customStyle="1" w:styleId="60">
    <w:name w:val="标题 6 字符"/>
    <w:basedOn w:val="a0"/>
    <w:link w:val="6"/>
    <w:uiPriority w:val="9"/>
    <w:semiHidden/>
    <w:rsid w:val="00AB2370"/>
    <w:rPr>
      <w:rFonts w:cstheme="majorBidi"/>
      <w:b/>
      <w:bCs/>
      <w:color w:val="0F4761" w:themeColor="accent1" w:themeShade="BF"/>
    </w:rPr>
  </w:style>
  <w:style w:type="character" w:customStyle="1" w:styleId="70">
    <w:name w:val="标题 7 字符"/>
    <w:basedOn w:val="a0"/>
    <w:link w:val="7"/>
    <w:uiPriority w:val="9"/>
    <w:semiHidden/>
    <w:rsid w:val="00AB2370"/>
    <w:rPr>
      <w:rFonts w:cstheme="majorBidi"/>
      <w:b/>
      <w:bCs/>
      <w:color w:val="595959" w:themeColor="text1" w:themeTint="A6"/>
    </w:rPr>
  </w:style>
  <w:style w:type="character" w:customStyle="1" w:styleId="80">
    <w:name w:val="标题 8 字符"/>
    <w:basedOn w:val="a0"/>
    <w:link w:val="8"/>
    <w:uiPriority w:val="9"/>
    <w:semiHidden/>
    <w:rsid w:val="00AB2370"/>
    <w:rPr>
      <w:rFonts w:cstheme="majorBidi"/>
      <w:color w:val="595959" w:themeColor="text1" w:themeTint="A6"/>
    </w:rPr>
  </w:style>
  <w:style w:type="character" w:customStyle="1" w:styleId="90">
    <w:name w:val="标题 9 字符"/>
    <w:basedOn w:val="a0"/>
    <w:link w:val="9"/>
    <w:uiPriority w:val="9"/>
    <w:semiHidden/>
    <w:rsid w:val="00AB2370"/>
    <w:rPr>
      <w:rFonts w:eastAsiaTheme="majorEastAsia" w:cstheme="majorBidi"/>
      <w:color w:val="595959" w:themeColor="text1" w:themeTint="A6"/>
    </w:rPr>
  </w:style>
  <w:style w:type="paragraph" w:styleId="a3">
    <w:name w:val="Title"/>
    <w:basedOn w:val="a"/>
    <w:next w:val="a"/>
    <w:link w:val="a4"/>
    <w:uiPriority w:val="10"/>
    <w:qFormat/>
    <w:rsid w:val="00AB23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2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3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370"/>
    <w:pPr>
      <w:spacing w:before="160"/>
      <w:jc w:val="center"/>
    </w:pPr>
    <w:rPr>
      <w:i/>
      <w:iCs/>
      <w:color w:val="404040" w:themeColor="text1" w:themeTint="BF"/>
    </w:rPr>
  </w:style>
  <w:style w:type="character" w:customStyle="1" w:styleId="a8">
    <w:name w:val="引用 字符"/>
    <w:basedOn w:val="a0"/>
    <w:link w:val="a7"/>
    <w:uiPriority w:val="29"/>
    <w:rsid w:val="00AB2370"/>
    <w:rPr>
      <w:i/>
      <w:iCs/>
      <w:color w:val="404040" w:themeColor="text1" w:themeTint="BF"/>
    </w:rPr>
  </w:style>
  <w:style w:type="paragraph" w:styleId="a9">
    <w:name w:val="List Paragraph"/>
    <w:basedOn w:val="a"/>
    <w:uiPriority w:val="34"/>
    <w:qFormat/>
    <w:rsid w:val="00AB2370"/>
    <w:pPr>
      <w:ind w:left="720"/>
      <w:contextualSpacing/>
    </w:pPr>
  </w:style>
  <w:style w:type="character" w:styleId="aa">
    <w:name w:val="Intense Emphasis"/>
    <w:basedOn w:val="a0"/>
    <w:uiPriority w:val="21"/>
    <w:qFormat/>
    <w:rsid w:val="00AB2370"/>
    <w:rPr>
      <w:i/>
      <w:iCs/>
      <w:color w:val="0F4761" w:themeColor="accent1" w:themeShade="BF"/>
    </w:rPr>
  </w:style>
  <w:style w:type="paragraph" w:styleId="ab">
    <w:name w:val="Intense Quote"/>
    <w:basedOn w:val="a"/>
    <w:next w:val="a"/>
    <w:link w:val="ac"/>
    <w:uiPriority w:val="30"/>
    <w:qFormat/>
    <w:rsid w:val="00A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2370"/>
    <w:rPr>
      <w:i/>
      <w:iCs/>
      <w:color w:val="0F4761" w:themeColor="accent1" w:themeShade="BF"/>
    </w:rPr>
  </w:style>
  <w:style w:type="character" w:styleId="ad">
    <w:name w:val="Intense Reference"/>
    <w:basedOn w:val="a0"/>
    <w:uiPriority w:val="32"/>
    <w:qFormat/>
    <w:rsid w:val="00AB2370"/>
    <w:rPr>
      <w:b/>
      <w:bCs/>
      <w:smallCaps/>
      <w:color w:val="0F4761" w:themeColor="accent1" w:themeShade="BF"/>
      <w:spacing w:val="5"/>
    </w:rPr>
  </w:style>
  <w:style w:type="paragraph" w:styleId="ae">
    <w:name w:val="header"/>
    <w:basedOn w:val="a"/>
    <w:link w:val="af"/>
    <w:uiPriority w:val="99"/>
    <w:unhideWhenUsed/>
    <w:rsid w:val="00303B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03B6D"/>
    <w:rPr>
      <w:sz w:val="18"/>
      <w:szCs w:val="18"/>
    </w:rPr>
  </w:style>
  <w:style w:type="paragraph" w:styleId="af0">
    <w:name w:val="footer"/>
    <w:basedOn w:val="a"/>
    <w:link w:val="af1"/>
    <w:uiPriority w:val="99"/>
    <w:unhideWhenUsed/>
    <w:rsid w:val="00303B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03B6D"/>
    <w:rPr>
      <w:sz w:val="18"/>
      <w:szCs w:val="18"/>
    </w:rPr>
  </w:style>
  <w:style w:type="character" w:styleId="af2">
    <w:name w:val="Hyperlink"/>
    <w:basedOn w:val="a0"/>
    <w:uiPriority w:val="99"/>
    <w:unhideWhenUsed/>
    <w:rsid w:val="003847CB"/>
    <w:rPr>
      <w:color w:val="467886" w:themeColor="hyperlink"/>
      <w:u w:val="single"/>
    </w:rPr>
  </w:style>
  <w:style w:type="character" w:styleId="af3">
    <w:name w:val="Unresolved Mention"/>
    <w:basedOn w:val="a0"/>
    <w:uiPriority w:val="99"/>
    <w:semiHidden/>
    <w:unhideWhenUsed/>
    <w:rsid w:val="00384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6755">
      <w:bodyDiv w:val="1"/>
      <w:marLeft w:val="0"/>
      <w:marRight w:val="0"/>
      <w:marTop w:val="0"/>
      <w:marBottom w:val="0"/>
      <w:divBdr>
        <w:top w:val="none" w:sz="0" w:space="0" w:color="auto"/>
        <w:left w:val="none" w:sz="0" w:space="0" w:color="auto"/>
        <w:bottom w:val="none" w:sz="0" w:space="0" w:color="auto"/>
        <w:right w:val="none" w:sz="0" w:space="0" w:color="auto"/>
      </w:divBdr>
    </w:div>
    <w:div w:id="248194759">
      <w:bodyDiv w:val="1"/>
      <w:marLeft w:val="0"/>
      <w:marRight w:val="0"/>
      <w:marTop w:val="0"/>
      <w:marBottom w:val="0"/>
      <w:divBdr>
        <w:top w:val="none" w:sz="0" w:space="0" w:color="auto"/>
        <w:left w:val="none" w:sz="0" w:space="0" w:color="auto"/>
        <w:bottom w:val="none" w:sz="0" w:space="0" w:color="auto"/>
        <w:right w:val="none" w:sz="0" w:space="0" w:color="auto"/>
      </w:divBdr>
    </w:div>
    <w:div w:id="255944666">
      <w:bodyDiv w:val="1"/>
      <w:marLeft w:val="0"/>
      <w:marRight w:val="0"/>
      <w:marTop w:val="0"/>
      <w:marBottom w:val="0"/>
      <w:divBdr>
        <w:top w:val="none" w:sz="0" w:space="0" w:color="auto"/>
        <w:left w:val="none" w:sz="0" w:space="0" w:color="auto"/>
        <w:bottom w:val="none" w:sz="0" w:space="0" w:color="auto"/>
        <w:right w:val="none" w:sz="0" w:space="0" w:color="auto"/>
      </w:divBdr>
    </w:div>
    <w:div w:id="308897728">
      <w:bodyDiv w:val="1"/>
      <w:marLeft w:val="0"/>
      <w:marRight w:val="0"/>
      <w:marTop w:val="0"/>
      <w:marBottom w:val="0"/>
      <w:divBdr>
        <w:top w:val="none" w:sz="0" w:space="0" w:color="auto"/>
        <w:left w:val="none" w:sz="0" w:space="0" w:color="auto"/>
        <w:bottom w:val="none" w:sz="0" w:space="0" w:color="auto"/>
        <w:right w:val="none" w:sz="0" w:space="0" w:color="auto"/>
      </w:divBdr>
    </w:div>
    <w:div w:id="355930226">
      <w:bodyDiv w:val="1"/>
      <w:marLeft w:val="0"/>
      <w:marRight w:val="0"/>
      <w:marTop w:val="0"/>
      <w:marBottom w:val="0"/>
      <w:divBdr>
        <w:top w:val="none" w:sz="0" w:space="0" w:color="auto"/>
        <w:left w:val="none" w:sz="0" w:space="0" w:color="auto"/>
        <w:bottom w:val="none" w:sz="0" w:space="0" w:color="auto"/>
        <w:right w:val="none" w:sz="0" w:space="0" w:color="auto"/>
      </w:divBdr>
    </w:div>
    <w:div w:id="371809701">
      <w:bodyDiv w:val="1"/>
      <w:marLeft w:val="0"/>
      <w:marRight w:val="0"/>
      <w:marTop w:val="0"/>
      <w:marBottom w:val="0"/>
      <w:divBdr>
        <w:top w:val="none" w:sz="0" w:space="0" w:color="auto"/>
        <w:left w:val="none" w:sz="0" w:space="0" w:color="auto"/>
        <w:bottom w:val="none" w:sz="0" w:space="0" w:color="auto"/>
        <w:right w:val="none" w:sz="0" w:space="0" w:color="auto"/>
      </w:divBdr>
    </w:div>
    <w:div w:id="484277534">
      <w:bodyDiv w:val="1"/>
      <w:marLeft w:val="0"/>
      <w:marRight w:val="0"/>
      <w:marTop w:val="0"/>
      <w:marBottom w:val="0"/>
      <w:divBdr>
        <w:top w:val="none" w:sz="0" w:space="0" w:color="auto"/>
        <w:left w:val="none" w:sz="0" w:space="0" w:color="auto"/>
        <w:bottom w:val="none" w:sz="0" w:space="0" w:color="auto"/>
        <w:right w:val="none" w:sz="0" w:space="0" w:color="auto"/>
      </w:divBdr>
    </w:div>
    <w:div w:id="505943168">
      <w:bodyDiv w:val="1"/>
      <w:marLeft w:val="0"/>
      <w:marRight w:val="0"/>
      <w:marTop w:val="0"/>
      <w:marBottom w:val="0"/>
      <w:divBdr>
        <w:top w:val="none" w:sz="0" w:space="0" w:color="auto"/>
        <w:left w:val="none" w:sz="0" w:space="0" w:color="auto"/>
        <w:bottom w:val="none" w:sz="0" w:space="0" w:color="auto"/>
        <w:right w:val="none" w:sz="0" w:space="0" w:color="auto"/>
      </w:divBdr>
    </w:div>
    <w:div w:id="677197823">
      <w:bodyDiv w:val="1"/>
      <w:marLeft w:val="0"/>
      <w:marRight w:val="0"/>
      <w:marTop w:val="0"/>
      <w:marBottom w:val="0"/>
      <w:divBdr>
        <w:top w:val="none" w:sz="0" w:space="0" w:color="auto"/>
        <w:left w:val="none" w:sz="0" w:space="0" w:color="auto"/>
        <w:bottom w:val="none" w:sz="0" w:space="0" w:color="auto"/>
        <w:right w:val="none" w:sz="0" w:space="0" w:color="auto"/>
      </w:divBdr>
    </w:div>
    <w:div w:id="689573959">
      <w:bodyDiv w:val="1"/>
      <w:marLeft w:val="0"/>
      <w:marRight w:val="0"/>
      <w:marTop w:val="0"/>
      <w:marBottom w:val="0"/>
      <w:divBdr>
        <w:top w:val="none" w:sz="0" w:space="0" w:color="auto"/>
        <w:left w:val="none" w:sz="0" w:space="0" w:color="auto"/>
        <w:bottom w:val="none" w:sz="0" w:space="0" w:color="auto"/>
        <w:right w:val="none" w:sz="0" w:space="0" w:color="auto"/>
      </w:divBdr>
    </w:div>
    <w:div w:id="702286067">
      <w:bodyDiv w:val="1"/>
      <w:marLeft w:val="0"/>
      <w:marRight w:val="0"/>
      <w:marTop w:val="0"/>
      <w:marBottom w:val="0"/>
      <w:divBdr>
        <w:top w:val="none" w:sz="0" w:space="0" w:color="auto"/>
        <w:left w:val="none" w:sz="0" w:space="0" w:color="auto"/>
        <w:bottom w:val="none" w:sz="0" w:space="0" w:color="auto"/>
        <w:right w:val="none" w:sz="0" w:space="0" w:color="auto"/>
      </w:divBdr>
      <w:divsChild>
        <w:div w:id="664212639">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739791182">
      <w:bodyDiv w:val="1"/>
      <w:marLeft w:val="0"/>
      <w:marRight w:val="0"/>
      <w:marTop w:val="0"/>
      <w:marBottom w:val="0"/>
      <w:divBdr>
        <w:top w:val="none" w:sz="0" w:space="0" w:color="auto"/>
        <w:left w:val="none" w:sz="0" w:space="0" w:color="auto"/>
        <w:bottom w:val="none" w:sz="0" w:space="0" w:color="auto"/>
        <w:right w:val="none" w:sz="0" w:space="0" w:color="auto"/>
      </w:divBdr>
      <w:divsChild>
        <w:div w:id="113795900">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899091809">
      <w:bodyDiv w:val="1"/>
      <w:marLeft w:val="0"/>
      <w:marRight w:val="0"/>
      <w:marTop w:val="0"/>
      <w:marBottom w:val="0"/>
      <w:divBdr>
        <w:top w:val="none" w:sz="0" w:space="0" w:color="auto"/>
        <w:left w:val="none" w:sz="0" w:space="0" w:color="auto"/>
        <w:bottom w:val="none" w:sz="0" w:space="0" w:color="auto"/>
        <w:right w:val="none" w:sz="0" w:space="0" w:color="auto"/>
      </w:divBdr>
    </w:div>
    <w:div w:id="1000233100">
      <w:bodyDiv w:val="1"/>
      <w:marLeft w:val="0"/>
      <w:marRight w:val="0"/>
      <w:marTop w:val="0"/>
      <w:marBottom w:val="0"/>
      <w:divBdr>
        <w:top w:val="none" w:sz="0" w:space="0" w:color="auto"/>
        <w:left w:val="none" w:sz="0" w:space="0" w:color="auto"/>
        <w:bottom w:val="none" w:sz="0" w:space="0" w:color="auto"/>
        <w:right w:val="none" w:sz="0" w:space="0" w:color="auto"/>
      </w:divBdr>
    </w:div>
    <w:div w:id="1049181770">
      <w:bodyDiv w:val="1"/>
      <w:marLeft w:val="0"/>
      <w:marRight w:val="0"/>
      <w:marTop w:val="0"/>
      <w:marBottom w:val="0"/>
      <w:divBdr>
        <w:top w:val="none" w:sz="0" w:space="0" w:color="auto"/>
        <w:left w:val="none" w:sz="0" w:space="0" w:color="auto"/>
        <w:bottom w:val="none" w:sz="0" w:space="0" w:color="auto"/>
        <w:right w:val="none" w:sz="0" w:space="0" w:color="auto"/>
      </w:divBdr>
    </w:div>
    <w:div w:id="1250653208">
      <w:bodyDiv w:val="1"/>
      <w:marLeft w:val="0"/>
      <w:marRight w:val="0"/>
      <w:marTop w:val="0"/>
      <w:marBottom w:val="0"/>
      <w:divBdr>
        <w:top w:val="none" w:sz="0" w:space="0" w:color="auto"/>
        <w:left w:val="none" w:sz="0" w:space="0" w:color="auto"/>
        <w:bottom w:val="none" w:sz="0" w:space="0" w:color="auto"/>
        <w:right w:val="none" w:sz="0" w:space="0" w:color="auto"/>
      </w:divBdr>
    </w:div>
    <w:div w:id="1260454725">
      <w:bodyDiv w:val="1"/>
      <w:marLeft w:val="0"/>
      <w:marRight w:val="0"/>
      <w:marTop w:val="0"/>
      <w:marBottom w:val="0"/>
      <w:divBdr>
        <w:top w:val="none" w:sz="0" w:space="0" w:color="auto"/>
        <w:left w:val="none" w:sz="0" w:space="0" w:color="auto"/>
        <w:bottom w:val="none" w:sz="0" w:space="0" w:color="auto"/>
        <w:right w:val="none" w:sz="0" w:space="0" w:color="auto"/>
      </w:divBdr>
    </w:div>
    <w:div w:id="1361472956">
      <w:bodyDiv w:val="1"/>
      <w:marLeft w:val="0"/>
      <w:marRight w:val="0"/>
      <w:marTop w:val="0"/>
      <w:marBottom w:val="0"/>
      <w:divBdr>
        <w:top w:val="none" w:sz="0" w:space="0" w:color="auto"/>
        <w:left w:val="none" w:sz="0" w:space="0" w:color="auto"/>
        <w:bottom w:val="none" w:sz="0" w:space="0" w:color="auto"/>
        <w:right w:val="none" w:sz="0" w:space="0" w:color="auto"/>
      </w:divBdr>
      <w:divsChild>
        <w:div w:id="738595197">
          <w:marLeft w:val="0"/>
          <w:marRight w:val="0"/>
          <w:marTop w:val="0"/>
          <w:marBottom w:val="160"/>
          <w:divBdr>
            <w:top w:val="none" w:sz="0" w:space="0" w:color="auto"/>
            <w:left w:val="none" w:sz="0" w:space="0" w:color="auto"/>
            <w:bottom w:val="none" w:sz="0" w:space="0" w:color="auto"/>
            <w:right w:val="none" w:sz="0" w:space="0" w:color="auto"/>
          </w:divBdr>
        </w:div>
        <w:div w:id="16084335">
          <w:marLeft w:val="0"/>
          <w:marRight w:val="0"/>
          <w:marTop w:val="0"/>
          <w:marBottom w:val="160"/>
          <w:divBdr>
            <w:top w:val="none" w:sz="0" w:space="0" w:color="auto"/>
            <w:left w:val="none" w:sz="0" w:space="0" w:color="auto"/>
            <w:bottom w:val="none" w:sz="0" w:space="0" w:color="auto"/>
            <w:right w:val="none" w:sz="0" w:space="0" w:color="auto"/>
          </w:divBdr>
        </w:div>
        <w:div w:id="1686591764">
          <w:marLeft w:val="0"/>
          <w:marRight w:val="0"/>
          <w:marTop w:val="0"/>
          <w:marBottom w:val="160"/>
          <w:divBdr>
            <w:top w:val="none" w:sz="0" w:space="0" w:color="auto"/>
            <w:left w:val="none" w:sz="0" w:space="0" w:color="auto"/>
            <w:bottom w:val="none" w:sz="0" w:space="0" w:color="auto"/>
            <w:right w:val="none" w:sz="0" w:space="0" w:color="auto"/>
          </w:divBdr>
        </w:div>
        <w:div w:id="130711100">
          <w:marLeft w:val="0"/>
          <w:marRight w:val="0"/>
          <w:marTop w:val="0"/>
          <w:marBottom w:val="160"/>
          <w:divBdr>
            <w:top w:val="none" w:sz="0" w:space="0" w:color="auto"/>
            <w:left w:val="none" w:sz="0" w:space="0" w:color="auto"/>
            <w:bottom w:val="none" w:sz="0" w:space="0" w:color="auto"/>
            <w:right w:val="none" w:sz="0" w:space="0" w:color="auto"/>
          </w:divBdr>
        </w:div>
        <w:div w:id="1772310591">
          <w:marLeft w:val="0"/>
          <w:marRight w:val="0"/>
          <w:marTop w:val="0"/>
          <w:marBottom w:val="160"/>
          <w:divBdr>
            <w:top w:val="none" w:sz="0" w:space="0" w:color="auto"/>
            <w:left w:val="none" w:sz="0" w:space="0" w:color="auto"/>
            <w:bottom w:val="none" w:sz="0" w:space="0" w:color="auto"/>
            <w:right w:val="none" w:sz="0" w:space="0" w:color="auto"/>
          </w:divBdr>
        </w:div>
        <w:div w:id="768280315">
          <w:marLeft w:val="0"/>
          <w:marRight w:val="0"/>
          <w:marTop w:val="0"/>
          <w:marBottom w:val="160"/>
          <w:divBdr>
            <w:top w:val="none" w:sz="0" w:space="0" w:color="auto"/>
            <w:left w:val="none" w:sz="0" w:space="0" w:color="auto"/>
            <w:bottom w:val="none" w:sz="0" w:space="0" w:color="auto"/>
            <w:right w:val="none" w:sz="0" w:space="0" w:color="auto"/>
          </w:divBdr>
        </w:div>
      </w:divsChild>
    </w:div>
    <w:div w:id="1384403180">
      <w:bodyDiv w:val="1"/>
      <w:marLeft w:val="0"/>
      <w:marRight w:val="0"/>
      <w:marTop w:val="0"/>
      <w:marBottom w:val="0"/>
      <w:divBdr>
        <w:top w:val="none" w:sz="0" w:space="0" w:color="auto"/>
        <w:left w:val="none" w:sz="0" w:space="0" w:color="auto"/>
        <w:bottom w:val="none" w:sz="0" w:space="0" w:color="auto"/>
        <w:right w:val="none" w:sz="0" w:space="0" w:color="auto"/>
      </w:divBdr>
    </w:div>
    <w:div w:id="1415786370">
      <w:bodyDiv w:val="1"/>
      <w:marLeft w:val="0"/>
      <w:marRight w:val="0"/>
      <w:marTop w:val="0"/>
      <w:marBottom w:val="0"/>
      <w:divBdr>
        <w:top w:val="none" w:sz="0" w:space="0" w:color="auto"/>
        <w:left w:val="none" w:sz="0" w:space="0" w:color="auto"/>
        <w:bottom w:val="none" w:sz="0" w:space="0" w:color="auto"/>
        <w:right w:val="none" w:sz="0" w:space="0" w:color="auto"/>
      </w:divBdr>
      <w:divsChild>
        <w:div w:id="863788791">
          <w:marLeft w:val="0"/>
          <w:marRight w:val="0"/>
          <w:marTop w:val="0"/>
          <w:marBottom w:val="160"/>
          <w:divBdr>
            <w:top w:val="none" w:sz="0" w:space="0" w:color="auto"/>
            <w:left w:val="none" w:sz="0" w:space="0" w:color="auto"/>
            <w:bottom w:val="none" w:sz="0" w:space="0" w:color="auto"/>
            <w:right w:val="none" w:sz="0" w:space="0" w:color="auto"/>
          </w:divBdr>
        </w:div>
        <w:div w:id="1358389477">
          <w:marLeft w:val="0"/>
          <w:marRight w:val="0"/>
          <w:marTop w:val="0"/>
          <w:marBottom w:val="160"/>
          <w:divBdr>
            <w:top w:val="none" w:sz="0" w:space="0" w:color="auto"/>
            <w:left w:val="none" w:sz="0" w:space="0" w:color="auto"/>
            <w:bottom w:val="none" w:sz="0" w:space="0" w:color="auto"/>
            <w:right w:val="none" w:sz="0" w:space="0" w:color="auto"/>
          </w:divBdr>
        </w:div>
        <w:div w:id="1506817737">
          <w:marLeft w:val="0"/>
          <w:marRight w:val="0"/>
          <w:marTop w:val="0"/>
          <w:marBottom w:val="160"/>
          <w:divBdr>
            <w:top w:val="none" w:sz="0" w:space="0" w:color="auto"/>
            <w:left w:val="none" w:sz="0" w:space="0" w:color="auto"/>
            <w:bottom w:val="none" w:sz="0" w:space="0" w:color="auto"/>
            <w:right w:val="none" w:sz="0" w:space="0" w:color="auto"/>
          </w:divBdr>
        </w:div>
        <w:div w:id="1739860741">
          <w:marLeft w:val="0"/>
          <w:marRight w:val="0"/>
          <w:marTop w:val="0"/>
          <w:marBottom w:val="160"/>
          <w:divBdr>
            <w:top w:val="none" w:sz="0" w:space="0" w:color="auto"/>
            <w:left w:val="none" w:sz="0" w:space="0" w:color="auto"/>
            <w:bottom w:val="none" w:sz="0" w:space="0" w:color="auto"/>
            <w:right w:val="none" w:sz="0" w:space="0" w:color="auto"/>
          </w:divBdr>
        </w:div>
        <w:div w:id="2105028475">
          <w:marLeft w:val="0"/>
          <w:marRight w:val="0"/>
          <w:marTop w:val="0"/>
          <w:marBottom w:val="160"/>
          <w:divBdr>
            <w:top w:val="none" w:sz="0" w:space="0" w:color="auto"/>
            <w:left w:val="none" w:sz="0" w:space="0" w:color="auto"/>
            <w:bottom w:val="none" w:sz="0" w:space="0" w:color="auto"/>
            <w:right w:val="none" w:sz="0" w:space="0" w:color="auto"/>
          </w:divBdr>
        </w:div>
        <w:div w:id="300616540">
          <w:marLeft w:val="0"/>
          <w:marRight w:val="0"/>
          <w:marTop w:val="0"/>
          <w:marBottom w:val="160"/>
          <w:divBdr>
            <w:top w:val="none" w:sz="0" w:space="0" w:color="auto"/>
            <w:left w:val="none" w:sz="0" w:space="0" w:color="auto"/>
            <w:bottom w:val="none" w:sz="0" w:space="0" w:color="auto"/>
            <w:right w:val="none" w:sz="0" w:space="0" w:color="auto"/>
          </w:divBdr>
        </w:div>
      </w:divsChild>
    </w:div>
    <w:div w:id="1460146976">
      <w:bodyDiv w:val="1"/>
      <w:marLeft w:val="0"/>
      <w:marRight w:val="0"/>
      <w:marTop w:val="0"/>
      <w:marBottom w:val="0"/>
      <w:divBdr>
        <w:top w:val="none" w:sz="0" w:space="0" w:color="auto"/>
        <w:left w:val="none" w:sz="0" w:space="0" w:color="auto"/>
        <w:bottom w:val="none" w:sz="0" w:space="0" w:color="auto"/>
        <w:right w:val="none" w:sz="0" w:space="0" w:color="auto"/>
      </w:divBdr>
    </w:div>
    <w:div w:id="1464344345">
      <w:bodyDiv w:val="1"/>
      <w:marLeft w:val="0"/>
      <w:marRight w:val="0"/>
      <w:marTop w:val="0"/>
      <w:marBottom w:val="0"/>
      <w:divBdr>
        <w:top w:val="none" w:sz="0" w:space="0" w:color="auto"/>
        <w:left w:val="none" w:sz="0" w:space="0" w:color="auto"/>
        <w:bottom w:val="none" w:sz="0" w:space="0" w:color="auto"/>
        <w:right w:val="none" w:sz="0" w:space="0" w:color="auto"/>
      </w:divBdr>
    </w:div>
    <w:div w:id="1528980716">
      <w:bodyDiv w:val="1"/>
      <w:marLeft w:val="0"/>
      <w:marRight w:val="0"/>
      <w:marTop w:val="0"/>
      <w:marBottom w:val="0"/>
      <w:divBdr>
        <w:top w:val="none" w:sz="0" w:space="0" w:color="auto"/>
        <w:left w:val="none" w:sz="0" w:space="0" w:color="auto"/>
        <w:bottom w:val="none" w:sz="0" w:space="0" w:color="auto"/>
        <w:right w:val="none" w:sz="0" w:space="0" w:color="auto"/>
      </w:divBdr>
    </w:div>
    <w:div w:id="1537504650">
      <w:bodyDiv w:val="1"/>
      <w:marLeft w:val="0"/>
      <w:marRight w:val="0"/>
      <w:marTop w:val="0"/>
      <w:marBottom w:val="0"/>
      <w:divBdr>
        <w:top w:val="none" w:sz="0" w:space="0" w:color="auto"/>
        <w:left w:val="none" w:sz="0" w:space="0" w:color="auto"/>
        <w:bottom w:val="none" w:sz="0" w:space="0" w:color="auto"/>
        <w:right w:val="none" w:sz="0" w:space="0" w:color="auto"/>
      </w:divBdr>
    </w:div>
    <w:div w:id="1634480399">
      <w:bodyDiv w:val="1"/>
      <w:marLeft w:val="0"/>
      <w:marRight w:val="0"/>
      <w:marTop w:val="0"/>
      <w:marBottom w:val="0"/>
      <w:divBdr>
        <w:top w:val="none" w:sz="0" w:space="0" w:color="auto"/>
        <w:left w:val="none" w:sz="0" w:space="0" w:color="auto"/>
        <w:bottom w:val="none" w:sz="0" w:space="0" w:color="auto"/>
        <w:right w:val="none" w:sz="0" w:space="0" w:color="auto"/>
      </w:divBdr>
    </w:div>
    <w:div w:id="1639333904">
      <w:bodyDiv w:val="1"/>
      <w:marLeft w:val="0"/>
      <w:marRight w:val="0"/>
      <w:marTop w:val="0"/>
      <w:marBottom w:val="0"/>
      <w:divBdr>
        <w:top w:val="none" w:sz="0" w:space="0" w:color="auto"/>
        <w:left w:val="none" w:sz="0" w:space="0" w:color="auto"/>
        <w:bottom w:val="none" w:sz="0" w:space="0" w:color="auto"/>
        <w:right w:val="none" w:sz="0" w:space="0" w:color="auto"/>
      </w:divBdr>
    </w:div>
    <w:div w:id="1748724228">
      <w:bodyDiv w:val="1"/>
      <w:marLeft w:val="0"/>
      <w:marRight w:val="0"/>
      <w:marTop w:val="0"/>
      <w:marBottom w:val="0"/>
      <w:divBdr>
        <w:top w:val="none" w:sz="0" w:space="0" w:color="auto"/>
        <w:left w:val="none" w:sz="0" w:space="0" w:color="auto"/>
        <w:bottom w:val="none" w:sz="0" w:space="0" w:color="auto"/>
        <w:right w:val="none" w:sz="0" w:space="0" w:color="auto"/>
      </w:divBdr>
    </w:div>
    <w:div w:id="1784809650">
      <w:bodyDiv w:val="1"/>
      <w:marLeft w:val="0"/>
      <w:marRight w:val="0"/>
      <w:marTop w:val="0"/>
      <w:marBottom w:val="0"/>
      <w:divBdr>
        <w:top w:val="none" w:sz="0" w:space="0" w:color="auto"/>
        <w:left w:val="none" w:sz="0" w:space="0" w:color="auto"/>
        <w:bottom w:val="none" w:sz="0" w:space="0" w:color="auto"/>
        <w:right w:val="none" w:sz="0" w:space="0" w:color="auto"/>
      </w:divBdr>
    </w:div>
    <w:div w:id="1948464195">
      <w:bodyDiv w:val="1"/>
      <w:marLeft w:val="0"/>
      <w:marRight w:val="0"/>
      <w:marTop w:val="0"/>
      <w:marBottom w:val="0"/>
      <w:divBdr>
        <w:top w:val="none" w:sz="0" w:space="0" w:color="auto"/>
        <w:left w:val="none" w:sz="0" w:space="0" w:color="auto"/>
        <w:bottom w:val="none" w:sz="0" w:space="0" w:color="auto"/>
        <w:right w:val="none" w:sz="0" w:space="0" w:color="auto"/>
      </w:divBdr>
    </w:div>
    <w:div w:id="1951741248">
      <w:bodyDiv w:val="1"/>
      <w:marLeft w:val="0"/>
      <w:marRight w:val="0"/>
      <w:marTop w:val="0"/>
      <w:marBottom w:val="0"/>
      <w:divBdr>
        <w:top w:val="none" w:sz="0" w:space="0" w:color="auto"/>
        <w:left w:val="none" w:sz="0" w:space="0" w:color="auto"/>
        <w:bottom w:val="none" w:sz="0" w:space="0" w:color="auto"/>
        <w:right w:val="none" w:sz="0" w:space="0" w:color="auto"/>
      </w:divBdr>
    </w:div>
    <w:div w:id="1967421687">
      <w:bodyDiv w:val="1"/>
      <w:marLeft w:val="0"/>
      <w:marRight w:val="0"/>
      <w:marTop w:val="0"/>
      <w:marBottom w:val="0"/>
      <w:divBdr>
        <w:top w:val="none" w:sz="0" w:space="0" w:color="auto"/>
        <w:left w:val="none" w:sz="0" w:space="0" w:color="auto"/>
        <w:bottom w:val="none" w:sz="0" w:space="0" w:color="auto"/>
        <w:right w:val="none" w:sz="0" w:space="0" w:color="auto"/>
      </w:divBdr>
    </w:div>
    <w:div w:id="1991667654">
      <w:bodyDiv w:val="1"/>
      <w:marLeft w:val="0"/>
      <w:marRight w:val="0"/>
      <w:marTop w:val="0"/>
      <w:marBottom w:val="0"/>
      <w:divBdr>
        <w:top w:val="none" w:sz="0" w:space="0" w:color="auto"/>
        <w:left w:val="none" w:sz="0" w:space="0" w:color="auto"/>
        <w:bottom w:val="none" w:sz="0" w:space="0" w:color="auto"/>
        <w:right w:val="none" w:sz="0" w:space="0" w:color="auto"/>
      </w:divBdr>
    </w:div>
    <w:div w:id="2030521156">
      <w:bodyDiv w:val="1"/>
      <w:marLeft w:val="0"/>
      <w:marRight w:val="0"/>
      <w:marTop w:val="0"/>
      <w:marBottom w:val="0"/>
      <w:divBdr>
        <w:top w:val="none" w:sz="0" w:space="0" w:color="auto"/>
        <w:left w:val="none" w:sz="0" w:space="0" w:color="auto"/>
        <w:bottom w:val="none" w:sz="0" w:space="0" w:color="auto"/>
        <w:right w:val="none" w:sz="0" w:space="0" w:color="auto"/>
      </w:divBdr>
    </w:div>
    <w:div w:id="2034073204">
      <w:bodyDiv w:val="1"/>
      <w:marLeft w:val="0"/>
      <w:marRight w:val="0"/>
      <w:marTop w:val="0"/>
      <w:marBottom w:val="0"/>
      <w:divBdr>
        <w:top w:val="none" w:sz="0" w:space="0" w:color="auto"/>
        <w:left w:val="none" w:sz="0" w:space="0" w:color="auto"/>
        <w:bottom w:val="none" w:sz="0" w:space="0" w:color="auto"/>
        <w:right w:val="none" w:sz="0" w:space="0" w:color="auto"/>
      </w:divBdr>
    </w:div>
    <w:div w:id="2040424866">
      <w:bodyDiv w:val="1"/>
      <w:marLeft w:val="0"/>
      <w:marRight w:val="0"/>
      <w:marTop w:val="0"/>
      <w:marBottom w:val="0"/>
      <w:divBdr>
        <w:top w:val="none" w:sz="0" w:space="0" w:color="auto"/>
        <w:left w:val="none" w:sz="0" w:space="0" w:color="auto"/>
        <w:bottom w:val="none" w:sz="0" w:space="0" w:color="auto"/>
        <w:right w:val="none" w:sz="0" w:space="0" w:color="auto"/>
      </w:divBdr>
    </w:div>
    <w:div w:id="2046129954">
      <w:bodyDiv w:val="1"/>
      <w:marLeft w:val="0"/>
      <w:marRight w:val="0"/>
      <w:marTop w:val="0"/>
      <w:marBottom w:val="0"/>
      <w:divBdr>
        <w:top w:val="none" w:sz="0" w:space="0" w:color="auto"/>
        <w:left w:val="none" w:sz="0" w:space="0" w:color="auto"/>
        <w:bottom w:val="none" w:sz="0" w:space="0" w:color="auto"/>
        <w:right w:val="none" w:sz="0" w:space="0" w:color="auto"/>
      </w:divBdr>
    </w:div>
    <w:div w:id="2123524550">
      <w:bodyDiv w:val="1"/>
      <w:marLeft w:val="0"/>
      <w:marRight w:val="0"/>
      <w:marTop w:val="0"/>
      <w:marBottom w:val="0"/>
      <w:divBdr>
        <w:top w:val="none" w:sz="0" w:space="0" w:color="auto"/>
        <w:left w:val="none" w:sz="0" w:space="0" w:color="auto"/>
        <w:bottom w:val="none" w:sz="0" w:space="0" w:color="auto"/>
        <w:right w:val="none" w:sz="0" w:space="0" w:color="auto"/>
      </w:divBdr>
    </w:div>
    <w:div w:id="212592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7912/micropub.biology.000811" TargetMode="External"/><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6654</Words>
  <Characters>37932</Characters>
  <Application>Microsoft Office Word</Application>
  <DocSecurity>0</DocSecurity>
  <Lines>316</Lines>
  <Paragraphs>88</Paragraphs>
  <ScaleCrop>false</ScaleCrop>
  <Company/>
  <LinksUpToDate>false</LinksUpToDate>
  <CharactersWithSpaces>44498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18</cp:revision>
  <dcterms:created xsi:type="dcterms:W3CDTF">2026-04-26T15:38:00Z</dcterms:created>
  <dcterms:modified xsi:type="dcterms:W3CDTF">2026-04-27T13:55:00Z</dcterms:modified>
</cp:coreProperties>
</file>