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AF8AE" w14:textId="77777777" w:rsidR="00AB2370" w:rsidRPr="00AB2370" w:rsidRDefault="00AB2370" w:rsidP="00AB2370">
      <w:pPr>
        <w:rPr>
          <w:rFonts w:hint="eastAsia"/>
        </w:rPr>
      </w:pPr>
      <w:r w:rsidRPr="00AB2370">
        <w:rPr>
          <w:b/>
          <w:bCs/>
        </w:rPr>
        <w:t>Title:</w:t>
      </w:r>
      <w:r w:rsidRPr="00AB2370">
        <w:br/>
        <w:t>Multi-omics integration reveals a decoupling of leaf-level molecular reprogramming from macroscopic phenotypes during the microgeographic invasion of </w:t>
      </w:r>
      <w:r w:rsidRPr="00AB2370">
        <w:rPr>
          <w:i/>
          <w:iCs/>
        </w:rPr>
        <w:t>Spartina alterniflora</w:t>
      </w:r>
    </w:p>
    <w:p w14:paraId="1FE2E3A2" w14:textId="77777777" w:rsidR="00AB2370" w:rsidRPr="00AB2370" w:rsidRDefault="00AB2370" w:rsidP="00AB2370">
      <w:pPr>
        <w:rPr>
          <w:rFonts w:hint="eastAsia"/>
        </w:rPr>
      </w:pPr>
      <w:r w:rsidRPr="00AB2370">
        <w:rPr>
          <w:b/>
          <w:bCs/>
        </w:rPr>
        <w:t>Abstract:</w:t>
      </w:r>
    </w:p>
    <w:p w14:paraId="69E1977B" w14:textId="77777777" w:rsidR="006B7734" w:rsidRPr="006B7734" w:rsidRDefault="006B7734" w:rsidP="006B7734">
      <w:pPr>
        <w:rPr>
          <w:rFonts w:hint="eastAsia"/>
          <w:b/>
          <w:bCs/>
        </w:rPr>
      </w:pPr>
      <w:r w:rsidRPr="006B7734">
        <w:rPr>
          <w:rFonts w:hint="eastAsia"/>
          <w:b/>
          <w:bCs/>
        </w:rPr>
        <w:t>Background: Invasive plants adapt to novel environments through a combination of genetic sorting and physiological plasticity. While these mechanisms are frequently studied across broad macrogeographic distributions, how spatial establishment, multi-omics dynamics, and whole-plant phenotypes interact during rapid, localized invasions remains unclear.</w:t>
      </w:r>
    </w:p>
    <w:p w14:paraId="0E7D2C98" w14:textId="77777777" w:rsidR="006B7734" w:rsidRPr="006B7734" w:rsidRDefault="006B7734" w:rsidP="006B7734">
      <w:pPr>
        <w:rPr>
          <w:rFonts w:hint="eastAsia"/>
          <w:b/>
          <w:bCs/>
        </w:rPr>
      </w:pPr>
      <w:r w:rsidRPr="006B7734">
        <w:rPr>
          <w:rFonts w:hint="eastAsia"/>
          <w:b/>
          <w:bCs/>
        </w:rPr>
        <w:t>Objective: We quantified the pathways linking microgeographic location, baseline genetic variation, intermediate omics, and macroscopic phenotypes over a short-term invasion timeline.</w:t>
      </w:r>
    </w:p>
    <w:p w14:paraId="73246DB3" w14:textId="77777777" w:rsidR="006B7734" w:rsidRPr="006B7734" w:rsidRDefault="006B7734" w:rsidP="006B7734">
      <w:pPr>
        <w:rPr>
          <w:rFonts w:hint="eastAsia"/>
          <w:b/>
          <w:bCs/>
        </w:rPr>
      </w:pPr>
      <w:r w:rsidRPr="006B7734">
        <w:rPr>
          <w:rFonts w:hint="eastAsia"/>
          <w:b/>
          <w:bCs/>
        </w:rPr>
        <w:t xml:space="preserve">Methods: Using a spatial-temporal </w:t>
      </w:r>
      <w:proofErr w:type="spellStart"/>
      <w:r w:rsidRPr="006B7734">
        <w:rPr>
          <w:rFonts w:hint="eastAsia"/>
          <w:b/>
          <w:bCs/>
        </w:rPr>
        <w:t>chronosequence</w:t>
      </w:r>
      <w:proofErr w:type="spellEnd"/>
      <w:r w:rsidRPr="006B7734">
        <w:rPr>
          <w:rFonts w:hint="eastAsia"/>
          <w:b/>
          <w:bCs/>
        </w:rPr>
        <w:t xml:space="preserve"> of Spartina alterniflora established between 2012 and 2015 in the </w:t>
      </w:r>
      <w:proofErr w:type="spellStart"/>
      <w:r w:rsidRPr="006B7734">
        <w:rPr>
          <w:rFonts w:hint="eastAsia"/>
          <w:b/>
          <w:bCs/>
        </w:rPr>
        <w:t>Zhangjiang</w:t>
      </w:r>
      <w:proofErr w:type="spellEnd"/>
      <w:r w:rsidRPr="006B7734">
        <w:rPr>
          <w:rFonts w:hint="eastAsia"/>
          <w:b/>
          <w:bCs/>
        </w:rPr>
        <w:t xml:space="preserve"> Estuary, China, we integrated field phenotyping, population genomics (SNPs), leaf transcriptomics, and untargeted metabolomics into a two-stage Bayesian hierarchical model.</w:t>
      </w:r>
    </w:p>
    <w:p w14:paraId="57916BDB" w14:textId="1D7491F4" w:rsidR="006B7734" w:rsidRPr="006B7734" w:rsidRDefault="006B7734" w:rsidP="006B7734">
      <w:pPr>
        <w:rPr>
          <w:rFonts w:hint="eastAsia"/>
          <w:b/>
          <w:bCs/>
        </w:rPr>
      </w:pPr>
      <w:r w:rsidRPr="006B7734">
        <w:rPr>
          <w:rFonts w:hint="eastAsia"/>
          <w:b/>
          <w:bCs/>
        </w:rPr>
        <w:t xml:space="preserve">Results: </w:t>
      </w:r>
      <w:r w:rsidR="004B4C10" w:rsidRPr="004B4C10">
        <w:rPr>
          <w:b/>
          <w:bCs/>
        </w:rPr>
        <w:t>Populations exhibited significant spatial genetic divergence and phenotypic variation within a 3-to-4-year timeframe. The Bayesian model identified a clear sequence: habitat location highly predicted genetic differentiation (P(E&gt;0) = 1) and synchronized transcriptomic shifts (involving stress defense and photosynthetic pathways ), which subsequently correlated with downstream metabolomic profiles.</w:t>
      </w:r>
      <w:r w:rsidRPr="006B7734">
        <w:rPr>
          <w:rFonts w:hint="eastAsia"/>
          <w:b/>
          <w:bCs/>
        </w:rPr>
        <w:t xml:space="preserve"> However, despite this leaf-level molecular response, the pathway coefficients linking intermediate omics variation to structural biomass or spikelet production were weak (e.g., Metabolome → Leaf biomass, P(E&gt;0) = 0.212).</w:t>
      </w:r>
    </w:p>
    <w:p w14:paraId="6D42B385" w14:textId="77777777" w:rsidR="006B7734" w:rsidRDefault="006B7734" w:rsidP="006B7734">
      <w:pPr>
        <w:rPr>
          <w:rFonts w:hint="eastAsia"/>
          <w:b/>
          <w:bCs/>
        </w:rPr>
      </w:pPr>
      <w:r w:rsidRPr="006B7734">
        <w:rPr>
          <w:rFonts w:hint="eastAsia"/>
          <w:b/>
          <w:bCs/>
        </w:rPr>
        <w:t>Conclusion: These results indicate a decoupling between transient leaf-level molecular responses and cumulative whole-plant phenotypes. S. alterniflora utilizes localized omics adjustments for immediate micro-environmental acclimation, while polygenic structural traits are likely buffered by belowground resource allocation, highlighting a temporal mismatch between instantaneous leaf physiology and cumulative biomass expansion.</w:t>
      </w:r>
    </w:p>
    <w:p w14:paraId="05CA9CE0" w14:textId="3394C47D" w:rsidR="00AB2370" w:rsidRPr="00AB2370" w:rsidRDefault="00AB2370" w:rsidP="006B7734">
      <w:pPr>
        <w:rPr>
          <w:rFonts w:hint="eastAsia"/>
        </w:rPr>
      </w:pPr>
      <w:r w:rsidRPr="00AB2370">
        <w:rPr>
          <w:b/>
          <w:bCs/>
        </w:rPr>
        <w:t>Keywords:</w:t>
      </w:r>
      <w:r w:rsidRPr="00AB2370">
        <w:br/>
      </w:r>
      <w:r w:rsidRPr="00AB2370">
        <w:rPr>
          <w:i/>
          <w:iCs/>
        </w:rPr>
        <w:t>Spartina alterniflora</w:t>
      </w:r>
      <w:r w:rsidRPr="00AB2370">
        <w:t>; biological invasion; multi-omics integration; Bayesian hierarchical model; phenotypic buffering; microgeographic variation; omics-phenotype decoupling</w:t>
      </w:r>
    </w:p>
    <w:p w14:paraId="28702502" w14:textId="77777777" w:rsidR="00ED62C1" w:rsidRDefault="00ED62C1" w:rsidP="00ED62C1">
      <w:pPr>
        <w:rPr>
          <w:rFonts w:hint="eastAsia"/>
        </w:rPr>
      </w:pPr>
    </w:p>
    <w:p w14:paraId="0387A56E" w14:textId="7659D332" w:rsidR="00ED62C1" w:rsidRPr="00ED62C1" w:rsidRDefault="00ED62C1" w:rsidP="00ED62C1">
      <w:pPr>
        <w:rPr>
          <w:rFonts w:hint="eastAsia"/>
          <w:b/>
          <w:bCs/>
        </w:rPr>
      </w:pPr>
      <w:r>
        <w:rPr>
          <w:rFonts w:hint="eastAsia"/>
          <w:b/>
          <w:bCs/>
        </w:rPr>
        <w:t>1</w:t>
      </w:r>
      <w:r w:rsidRPr="00ED62C1">
        <w:rPr>
          <w:rFonts w:hint="eastAsia"/>
          <w:b/>
          <w:bCs/>
        </w:rPr>
        <w:t xml:space="preserve"> | </w:t>
      </w:r>
      <w:r>
        <w:rPr>
          <w:rFonts w:hint="eastAsia"/>
          <w:b/>
          <w:bCs/>
        </w:rPr>
        <w:t>Introduction</w:t>
      </w:r>
    </w:p>
    <w:p w14:paraId="0A6A887D" w14:textId="77777777" w:rsidR="00FC5445" w:rsidRPr="00FC5445" w:rsidRDefault="00FC5445" w:rsidP="00FC5445">
      <w:pPr>
        <w:rPr>
          <w:rFonts w:hint="eastAsia"/>
        </w:rPr>
      </w:pPr>
      <w:r w:rsidRPr="00FC5445">
        <w:t>Biological invasions into heterogeneous novel environments depend on both phenotypic plasticity and rapid spatial genetic sorting </w:t>
      </w:r>
      <w:r w:rsidRPr="00FC5445">
        <w:rPr>
          <w:b/>
          <w:bCs/>
        </w:rPr>
        <w:t xml:space="preserve">(Richards et al., 2006; </w:t>
      </w:r>
      <w:proofErr w:type="spellStart"/>
      <w:r w:rsidRPr="00FC5445">
        <w:rPr>
          <w:b/>
          <w:bCs/>
        </w:rPr>
        <w:t>Ghalambor</w:t>
      </w:r>
      <w:proofErr w:type="spellEnd"/>
      <w:r w:rsidRPr="00FC5445">
        <w:rPr>
          <w:b/>
          <w:bCs/>
        </w:rPr>
        <w:t xml:space="preserve"> et al., 2007)</w:t>
      </w:r>
      <w:r w:rsidRPr="00FC5445">
        <w:t>. While plasticity is traditionally viewed as the primary mechanism during initial establishment, recent evidence indicates that fine-scale genetic differentiation can emerge over exceptionally short timescales, driving local expansion dynamics alongside morphological responses </w:t>
      </w:r>
      <w:r w:rsidRPr="00FC5445">
        <w:rPr>
          <w:b/>
          <w:bCs/>
        </w:rPr>
        <w:t xml:space="preserve">(Dlugosch &amp; Parker, 2008; </w:t>
      </w:r>
      <w:proofErr w:type="spellStart"/>
      <w:r w:rsidRPr="00FC5445">
        <w:rPr>
          <w:b/>
          <w:bCs/>
        </w:rPr>
        <w:t>Zenni</w:t>
      </w:r>
      <w:proofErr w:type="spellEnd"/>
      <w:r w:rsidRPr="00FC5445">
        <w:rPr>
          <w:b/>
          <w:bCs/>
        </w:rPr>
        <w:t xml:space="preserve"> et al., 2014)</w:t>
      </w:r>
      <w:r w:rsidRPr="00FC5445">
        <w:t>.</w:t>
      </w:r>
    </w:p>
    <w:p w14:paraId="3402CF78" w14:textId="77777777" w:rsidR="00FC5445" w:rsidRPr="00FC5445" w:rsidRDefault="00FC5445" w:rsidP="00FC5445">
      <w:pPr>
        <w:rPr>
          <w:rFonts w:hint="eastAsia"/>
        </w:rPr>
      </w:pPr>
      <w:r w:rsidRPr="00FC5445">
        <w:rPr>
          <w:i/>
          <w:iCs/>
        </w:rPr>
        <w:t>Spartina alterniflora</w:t>
      </w:r>
      <w:r w:rsidRPr="00FC5445">
        <w:t> (smooth cordgrass) is a highly invasive clonal plant in global coastal salt marshes </w:t>
      </w:r>
      <w:r w:rsidRPr="00FC5445">
        <w:rPr>
          <w:b/>
          <w:bCs/>
        </w:rPr>
        <w:t>(Strong &amp; Ayres, 2013)</w:t>
      </w:r>
      <w:r w:rsidRPr="00FC5445">
        <w:t>. It profoundly alters estuarine hydrology and sediment dynamics, frequently displacing native mangrove communities </w:t>
      </w:r>
      <w:r w:rsidRPr="00FC5445">
        <w:rPr>
          <w:b/>
          <w:bCs/>
        </w:rPr>
        <w:t>(Zhang et al., 2012; Ren et al., 2019)</w:t>
      </w:r>
      <w:r w:rsidRPr="00FC5445">
        <w:t>. Due to its extensive coastal range, previous evolutionary studies on </w:t>
      </w:r>
      <w:r w:rsidRPr="00FC5445">
        <w:rPr>
          <w:i/>
          <w:iCs/>
        </w:rPr>
        <w:t>S. alterniflora</w:t>
      </w:r>
      <w:r w:rsidRPr="00FC5445">
        <w:t> have largely focused on macrogeographic adaptive clines spanning continental latitudinal gradients </w:t>
      </w:r>
      <w:r w:rsidRPr="00FC5445">
        <w:rPr>
          <w:b/>
          <w:bCs/>
        </w:rPr>
        <w:t>(</w:t>
      </w:r>
      <w:proofErr w:type="spellStart"/>
      <w:r w:rsidRPr="00FC5445">
        <w:rPr>
          <w:b/>
          <w:bCs/>
        </w:rPr>
        <w:t>Qiao</w:t>
      </w:r>
      <w:proofErr w:type="spellEnd"/>
      <w:r w:rsidRPr="00FC5445">
        <w:rPr>
          <w:b/>
          <w:bCs/>
        </w:rPr>
        <w:t xml:space="preserve"> et al., 2019)</w:t>
      </w:r>
      <w:r w:rsidRPr="00FC5445">
        <w:t>. Consequently, the eco-evolutionary dynamics of these populations at the microgeographic scale—where early-stage invasion processes are highly dynamic and spatially explicit—remain largely unresolved.</w:t>
      </w:r>
    </w:p>
    <w:p w14:paraId="6ADE00F0" w14:textId="77777777" w:rsidR="00FC5445" w:rsidRPr="00FC5445" w:rsidRDefault="00FC5445" w:rsidP="00FC5445">
      <w:pPr>
        <w:rPr>
          <w:rFonts w:hint="eastAsia"/>
        </w:rPr>
      </w:pPr>
      <w:r w:rsidRPr="00FC5445">
        <w:t>During local expansion, sequentially established populations form chronological patches over just a few years. Despite their close proximity, these temporal patches experience distinct microenvironmental pressures, including variations in tidal inundation, soil anoxia, and density-dependent competition </w:t>
      </w:r>
      <w:r w:rsidRPr="00FC5445">
        <w:rPr>
          <w:b/>
          <w:bCs/>
        </w:rPr>
        <w:t xml:space="preserve">(Mendelssohn &amp; Morris, 2000; </w:t>
      </w:r>
      <w:proofErr w:type="spellStart"/>
      <w:r w:rsidRPr="00FC5445">
        <w:rPr>
          <w:b/>
          <w:bCs/>
        </w:rPr>
        <w:t>Pennings</w:t>
      </w:r>
      <w:proofErr w:type="spellEnd"/>
      <w:r w:rsidRPr="00FC5445">
        <w:rPr>
          <w:b/>
          <w:bCs/>
        </w:rPr>
        <w:t xml:space="preserve"> et al., 2005)</w:t>
      </w:r>
      <w:r w:rsidRPr="00FC5445">
        <w:t>. Acclimating to such gradients requires hierarchical biological partitioning: from baseline genetic sorting during founder events to shifts in gene expression, metabolic regulation, and ultimate structural resource allocation. Because these biological layers are </w:t>
      </w:r>
      <w:r w:rsidRPr="00FC5445">
        <w:rPr>
          <w:b/>
          <w:bCs/>
        </w:rPr>
        <w:t>often examined independently in wild populations (</w:t>
      </w:r>
      <w:proofErr w:type="spellStart"/>
      <w:r w:rsidRPr="00FC5445">
        <w:rPr>
          <w:b/>
          <w:bCs/>
        </w:rPr>
        <w:t>Scossa</w:t>
      </w:r>
      <w:proofErr w:type="spellEnd"/>
      <w:r w:rsidRPr="00FC5445">
        <w:rPr>
          <w:b/>
          <w:bCs/>
        </w:rPr>
        <w:t xml:space="preserve"> et al., 2021)</w:t>
      </w:r>
      <w:r w:rsidRPr="00FC5445">
        <w:t>, the causal pathways translating local establishment history into multi-omics dynamics and whole-plant phenotypes remain entangled.</w:t>
      </w:r>
    </w:p>
    <w:p w14:paraId="4A3DEB18" w14:textId="77777777" w:rsidR="006B7734" w:rsidRPr="006B7734" w:rsidRDefault="006B7734" w:rsidP="006B7734">
      <w:pPr>
        <w:rPr>
          <w:rFonts w:hint="eastAsia"/>
        </w:rPr>
      </w:pPr>
      <w:r w:rsidRPr="006B7734">
        <w:t xml:space="preserve">To evaluate these linkages, we utilized a natural spatial-temporal </w:t>
      </w:r>
      <w:proofErr w:type="spellStart"/>
      <w:r w:rsidRPr="006B7734">
        <w:t>chronosequence</w:t>
      </w:r>
      <w:proofErr w:type="spellEnd"/>
      <w:r w:rsidRPr="006B7734">
        <w:t xml:space="preserve"> of </w:t>
      </w:r>
      <w:r w:rsidRPr="006B7734">
        <w:rPr>
          <w:i/>
          <w:iCs/>
        </w:rPr>
        <w:t>S. alterniflora</w:t>
      </w:r>
      <w:r w:rsidRPr="006B7734">
        <w:t xml:space="preserve"> established between 2012 and 2015 in the </w:t>
      </w:r>
      <w:proofErr w:type="spellStart"/>
      <w:r w:rsidRPr="006B7734">
        <w:t>Zhangjiang</w:t>
      </w:r>
      <w:proofErr w:type="spellEnd"/>
      <w:r w:rsidRPr="006B7734">
        <w:t xml:space="preserve"> Estuary, China. Using remote sensing to identify the exact colonization year of distinct patches, we integrated field phenotypic measurements, population genomics (SNPs), leaf transcriptomics, and untargeted metabolomics. We then constructed an integrative Bayesian hierarchical framework to map the directed dependencies across geographical, genetic, and molecular layers.</w:t>
      </w:r>
    </w:p>
    <w:p w14:paraId="5F1E0E7A" w14:textId="41689CB2" w:rsidR="00ED62C1" w:rsidRPr="006B7734" w:rsidRDefault="006B7734" w:rsidP="00ED62C1">
      <w:pPr>
        <w:rPr>
          <w:rFonts w:hint="eastAsia"/>
        </w:rPr>
      </w:pPr>
      <w:r w:rsidRPr="006B7734">
        <w:t>Specifically, this study aims to: (1) quantify the multidimensional divergence of </w:t>
      </w:r>
      <w:r w:rsidRPr="006B7734">
        <w:rPr>
          <w:i/>
          <w:iCs/>
        </w:rPr>
        <w:t xml:space="preserve">S. </w:t>
      </w:r>
      <w:r w:rsidRPr="006B7734">
        <w:rPr>
          <w:i/>
          <w:iCs/>
        </w:rPr>
        <w:lastRenderedPageBreak/>
        <w:t>alterniflora</w:t>
      </w:r>
      <w:r w:rsidRPr="006B7734">
        <w:t> across a short-term invasion timeline, spanning structural growth, reproductive output, and multi-omics variation; and (2) identify the extent to which spatial location and genetic architecture cascade into transcriptomic and metabolomic reprogramming. By integrating these layers, we critically assess whether intermediate molecular responses directly dictate final structural phenotypes, clarifying how clonal invasive plants biologically organize themselves during rapid microgeographic expansion.</w:t>
      </w:r>
    </w:p>
    <w:p w14:paraId="1F1E3C82" w14:textId="77777777" w:rsidR="00ED62C1" w:rsidRPr="00857230" w:rsidRDefault="00ED62C1" w:rsidP="00ED62C1">
      <w:pPr>
        <w:rPr>
          <w:rFonts w:hint="eastAsia"/>
        </w:rPr>
      </w:pPr>
    </w:p>
    <w:p w14:paraId="5073EEF9" w14:textId="77777777" w:rsidR="00ED62C1" w:rsidRPr="00ED62C1" w:rsidRDefault="00ED62C1" w:rsidP="00ED62C1">
      <w:pPr>
        <w:rPr>
          <w:rFonts w:hint="eastAsia"/>
          <w:b/>
          <w:bCs/>
        </w:rPr>
      </w:pPr>
      <w:r w:rsidRPr="00ED62C1">
        <w:rPr>
          <w:rFonts w:hint="eastAsia"/>
          <w:b/>
          <w:bCs/>
        </w:rPr>
        <w:t>2 | MATERIALS AND METHODS</w:t>
      </w:r>
    </w:p>
    <w:p w14:paraId="0AA3967C" w14:textId="77777777" w:rsidR="00ED62C1" w:rsidRPr="00ED62C1" w:rsidRDefault="00ED62C1" w:rsidP="00ED62C1">
      <w:pPr>
        <w:rPr>
          <w:rFonts w:hint="eastAsia"/>
          <w:b/>
          <w:bCs/>
        </w:rPr>
      </w:pPr>
      <w:r w:rsidRPr="00ED62C1">
        <w:rPr>
          <w:rFonts w:hint="eastAsia"/>
          <w:b/>
          <w:bCs/>
        </w:rPr>
        <w:t>2.1 | Study site and sample collection</w:t>
      </w:r>
    </w:p>
    <w:p w14:paraId="2FC6F06D" w14:textId="1E6C9ADB" w:rsidR="00303B6D" w:rsidRDefault="00303B6D" w:rsidP="00303B6D">
      <w:pPr>
        <w:rPr>
          <w:rFonts w:hint="eastAsia"/>
        </w:rPr>
      </w:pPr>
      <w:r>
        <w:rPr>
          <w:rFonts w:hint="eastAsia"/>
        </w:rPr>
        <w:t xml:space="preserve">The study was conducted in the estuarine area of the </w:t>
      </w:r>
      <w:proofErr w:type="spellStart"/>
      <w:r>
        <w:rPr>
          <w:rFonts w:hint="eastAsia"/>
        </w:rPr>
        <w:t>Zhangjiangkou</w:t>
      </w:r>
      <w:proofErr w:type="spellEnd"/>
      <w:r>
        <w:rPr>
          <w:rFonts w:hint="eastAsia"/>
        </w:rPr>
        <w:t xml:space="preserve"> Mangrove National Nature Reserve, Zhangzhou, Fujian Province, China (117°24′07″E–117°30′00″E, 23°53′45″N–23°56′00″N; hereafter referred to as the </w:t>
      </w:r>
      <w:proofErr w:type="spellStart"/>
      <w:r>
        <w:rPr>
          <w:rFonts w:hint="eastAsia"/>
        </w:rPr>
        <w:t>Zhangjiang</w:t>
      </w:r>
      <w:proofErr w:type="spellEnd"/>
      <w:r>
        <w:rPr>
          <w:rFonts w:hint="eastAsia"/>
        </w:rPr>
        <w:t xml:space="preserve"> Estuary). Based on colonization years identified from remote-sensing imagery, the Spartina alterniflora population in the </w:t>
      </w:r>
      <w:proofErr w:type="spellStart"/>
      <w:r>
        <w:rPr>
          <w:rFonts w:hint="eastAsia"/>
        </w:rPr>
        <w:t>Zhangjiang</w:t>
      </w:r>
      <w:proofErr w:type="spellEnd"/>
      <w:r>
        <w:rPr>
          <w:rFonts w:hint="eastAsia"/>
        </w:rPr>
        <w:t xml:space="preserve"> Estuary was divided into four patches established in 2012, 2013, 2014, and 2015. To capture local microenvironmental heterogeneity, these sampling areas were further classified into three distinct microgeographic zones: the estuary zone (near the river mouth), the competition zone (adjacent to mangroves), and the dense zone (located in the population core).</w:t>
      </w:r>
    </w:p>
    <w:p w14:paraId="39CF777C" w14:textId="7113C4AA" w:rsidR="00303B6D" w:rsidRDefault="00303B6D" w:rsidP="00303B6D">
      <w:pPr>
        <w:rPr>
          <w:rFonts w:hint="eastAsia"/>
        </w:rPr>
      </w:pPr>
      <w:r>
        <w:rPr>
          <w:rFonts w:hint="eastAsia"/>
        </w:rPr>
        <w:t>In September 2022, a total of 26 sampling quadrats (0.5 m × 0.5 m) were established across the four colonization-year patches based on field condition and actual patch distribution. Specifically, 6 quadrats were placed in the 2012 patch, 11 in the 2013 patch, 4 in the 2014 patch, and 5 in the 2015 patch. Quadrats were separated by at least 30 m or were located in independent patches to ensure spatial independence. Elevation of each quadrat was measured using real-time kinematic (RTK) surveying.</w:t>
      </w:r>
    </w:p>
    <w:p w14:paraId="75E14FD3" w14:textId="477D8904" w:rsidR="00303B6D" w:rsidRDefault="00303B6D" w:rsidP="00303B6D">
      <w:pPr>
        <w:rPr>
          <w:rFonts w:hint="eastAsia"/>
        </w:rPr>
      </w:pPr>
      <w:r>
        <w:rPr>
          <w:rFonts w:hint="eastAsia"/>
        </w:rPr>
        <w:t>Within each quadrat, the number of adult plants and flowering or fruiting individuals was recorded. Plant height was measured for the three tallest individuals. One intact and insect-free plant was randomly collected from each quadrat and returned to the laboratory for oven-drying and biomass allocation measurements. In addition, 10 intact mature inflorescences were collected from each quadrat to measure inflorescence length, spikelet number, numbers of filled and unfilled seeds, and thousand-seed weight of filled seeds.</w:t>
      </w:r>
    </w:p>
    <w:p w14:paraId="5FC05899" w14:textId="77777777" w:rsidR="00303B6D" w:rsidRDefault="00303B6D" w:rsidP="00303B6D">
      <w:pPr>
        <w:rPr>
          <w:rFonts w:hint="eastAsia"/>
        </w:rPr>
      </w:pPr>
      <w:r>
        <w:rPr>
          <w:rFonts w:hint="eastAsia"/>
        </w:rPr>
        <w:t xml:space="preserve">For multi-omics analyses, one S. alterniflora individual was randomly sampled within each quadrat, and 1 to 3 additional individuals were collected from the interval areas between adjacent quadrats. In total, exactly 15 individuals were collected from each </w:t>
      </w:r>
      <w:r>
        <w:rPr>
          <w:rFonts w:hint="eastAsia"/>
        </w:rPr>
        <w:lastRenderedPageBreak/>
        <w:t>patch, yielding 60 leaf samples across the four patches. Leaves were immediately excised, placed into PE tubes, snap-frozen in liquid nitrogen, and transported back to the laboratory for transcriptomic and metabolomic analyses.</w:t>
      </w:r>
    </w:p>
    <w:p w14:paraId="13E2EEA0" w14:textId="77777777" w:rsidR="00ED62C1" w:rsidRPr="00ED62C1" w:rsidRDefault="00ED62C1" w:rsidP="00ED62C1">
      <w:pPr>
        <w:rPr>
          <w:rFonts w:hint="eastAsia"/>
          <w:b/>
          <w:bCs/>
        </w:rPr>
      </w:pPr>
      <w:r w:rsidRPr="00ED62C1">
        <w:rPr>
          <w:rFonts w:hint="eastAsia"/>
          <w:b/>
          <w:bCs/>
        </w:rPr>
        <w:t>2.2 | RNA extraction, transcriptome profiling, and genetic differentiation analyses</w:t>
      </w:r>
    </w:p>
    <w:p w14:paraId="03E91B70" w14:textId="77777777" w:rsidR="00ED62C1" w:rsidRPr="00ED62C1" w:rsidRDefault="00ED62C1" w:rsidP="00ED62C1">
      <w:pPr>
        <w:rPr>
          <w:rFonts w:hint="eastAsia"/>
        </w:rPr>
      </w:pPr>
      <w:r w:rsidRPr="00ED62C1">
        <w:rPr>
          <w:rFonts w:hint="eastAsia"/>
        </w:rPr>
        <w:t xml:space="preserve">To characterize both gene expression variation and genetic differentiation across colonization-year patches, we used the same leaf samples for transcriptomic sequencing and SNP-based analyses. To ensure correspondence between transcriptomic and metabolomic datasets, each leaf sample was divided into two portions for RNA extraction and metabolomic analysis, respectively. Total RNA was extracted from liquid nitrogen-frozen leaves using the </w:t>
      </w:r>
      <w:proofErr w:type="spellStart"/>
      <w:r w:rsidRPr="00ED62C1">
        <w:rPr>
          <w:rFonts w:hint="eastAsia"/>
        </w:rPr>
        <w:t>TRIzol</w:t>
      </w:r>
      <w:proofErr w:type="spellEnd"/>
      <w:r w:rsidRPr="00ED62C1">
        <w:rPr>
          <w:rFonts w:hint="eastAsia"/>
        </w:rPr>
        <w:t xml:space="preserve"> method. RNA quality was assessed using a </w:t>
      </w:r>
      <w:proofErr w:type="spellStart"/>
      <w:r w:rsidRPr="00ED62C1">
        <w:rPr>
          <w:rFonts w:hint="eastAsia"/>
        </w:rPr>
        <w:t>NanoDrop</w:t>
      </w:r>
      <w:proofErr w:type="spellEnd"/>
      <w:r w:rsidRPr="00ED62C1">
        <w:rPr>
          <w:rFonts w:hint="eastAsia"/>
        </w:rPr>
        <w:t xml:space="preserve"> 2000C spectrophotometer (</w:t>
      </w:r>
      <w:proofErr w:type="spellStart"/>
      <w:r w:rsidRPr="00ED62C1">
        <w:rPr>
          <w:rFonts w:hint="eastAsia"/>
        </w:rPr>
        <w:t>Thermo</w:t>
      </w:r>
      <w:proofErr w:type="spellEnd"/>
      <w:r w:rsidRPr="00ED62C1">
        <w:rPr>
          <w:rFonts w:hint="eastAsia"/>
        </w:rPr>
        <w:t xml:space="preserve"> Fisher Scientific, Waltham, MA, USA). cDNA library construction and paired-end sequencing (150 bp) were performed on the Illumina </w:t>
      </w:r>
      <w:proofErr w:type="spellStart"/>
      <w:r w:rsidRPr="00ED62C1">
        <w:rPr>
          <w:rFonts w:hint="eastAsia"/>
        </w:rPr>
        <w:t>NovaSeq</w:t>
      </w:r>
      <w:proofErr w:type="spellEnd"/>
      <w:r w:rsidRPr="00ED62C1">
        <w:rPr>
          <w:rFonts w:hint="eastAsia"/>
        </w:rPr>
        <w:t xml:space="preserve"> 6000 platform (Illumina, San Diego, CA, USA).</w:t>
      </w:r>
    </w:p>
    <w:p w14:paraId="4819BCE0" w14:textId="77777777" w:rsidR="00FD60BD" w:rsidRPr="00FD60BD" w:rsidRDefault="00FD60BD" w:rsidP="00FD60BD">
      <w:pPr>
        <w:rPr>
          <w:rFonts w:hint="eastAsia"/>
        </w:rPr>
      </w:pPr>
      <w:r w:rsidRPr="00FD60BD">
        <w:rPr>
          <w:rFonts w:hint="eastAsia"/>
        </w:rPr>
        <w:t xml:space="preserve">Raw transcriptomic reads were first assessed for sequence quality using </w:t>
      </w:r>
      <w:proofErr w:type="spellStart"/>
      <w:r w:rsidRPr="00FD60BD">
        <w:rPr>
          <w:rFonts w:hint="eastAsia"/>
        </w:rPr>
        <w:t>FastQC</w:t>
      </w:r>
      <w:proofErr w:type="spellEnd"/>
      <w:r w:rsidRPr="00FD60BD">
        <w:rPr>
          <w:rFonts w:hint="eastAsia"/>
        </w:rPr>
        <w:t xml:space="preserve"> (Andrews, 2010). After quality control, clean reads were mapped to the Spartina alterniflora reference genome, which was obtained from previously published data in the China National </w:t>
      </w:r>
      <w:proofErr w:type="spellStart"/>
      <w:r w:rsidRPr="00FD60BD">
        <w:rPr>
          <w:rFonts w:hint="eastAsia"/>
        </w:rPr>
        <w:t>GeneBank</w:t>
      </w:r>
      <w:proofErr w:type="spellEnd"/>
      <w:r w:rsidRPr="00FD60BD">
        <w:rPr>
          <w:rFonts w:hint="eastAsia"/>
        </w:rPr>
        <w:t xml:space="preserve"> Database (Wu et al., 2022). To improve functional annotation, the reference genome was re-annotated using the </w:t>
      </w:r>
      <w:proofErr w:type="spellStart"/>
      <w:r w:rsidRPr="00FD60BD">
        <w:rPr>
          <w:rFonts w:hint="eastAsia"/>
        </w:rPr>
        <w:t>InterPro</w:t>
      </w:r>
      <w:proofErr w:type="spellEnd"/>
      <w:r w:rsidRPr="00FD60BD">
        <w:rPr>
          <w:rFonts w:hint="eastAsia"/>
        </w:rPr>
        <w:t xml:space="preserve"> database (Blum et al., 2021). High-quality reads were aligned to the reference genome using STAR v2.7.1 (</w:t>
      </w:r>
      <w:proofErr w:type="spellStart"/>
      <w:r w:rsidRPr="00FD60BD">
        <w:rPr>
          <w:rFonts w:hint="eastAsia"/>
        </w:rPr>
        <w:t>Dobin</w:t>
      </w:r>
      <w:proofErr w:type="spellEnd"/>
      <w:r w:rsidRPr="00FD60BD">
        <w:rPr>
          <w:rFonts w:hint="eastAsia"/>
        </w:rPr>
        <w:t xml:space="preserve"> et al., 2013), raw gene counts were generated with </w:t>
      </w:r>
      <w:proofErr w:type="spellStart"/>
      <w:r w:rsidRPr="00FD60BD">
        <w:rPr>
          <w:rFonts w:hint="eastAsia"/>
        </w:rPr>
        <w:t>featureCounts</w:t>
      </w:r>
      <w:proofErr w:type="spellEnd"/>
      <w:r w:rsidRPr="00FD60BD">
        <w:rPr>
          <w:rFonts w:hint="eastAsia"/>
        </w:rPr>
        <w:t xml:space="preserve"> v2.0.6 (Liao et al., 2014), and count data were normalized using DESeq2 (Love et al., 2014).</w:t>
      </w:r>
    </w:p>
    <w:p w14:paraId="25151CB5" w14:textId="77777777" w:rsidR="00ED62C1" w:rsidRPr="00ED62C1" w:rsidRDefault="00ED62C1" w:rsidP="00ED62C1">
      <w:pPr>
        <w:rPr>
          <w:rFonts w:hint="eastAsia"/>
        </w:rPr>
      </w:pPr>
      <w:r w:rsidRPr="00ED62C1">
        <w:rPr>
          <w:rFonts w:hint="eastAsia"/>
        </w:rPr>
        <w:t xml:space="preserve">To identify gene expression patterns associated with different colonization-year patches, normalized transcriptomic data were subjected to soft clustering using the </w:t>
      </w:r>
      <w:proofErr w:type="spellStart"/>
      <w:r w:rsidRPr="00ED62C1">
        <w:rPr>
          <w:rFonts w:hint="eastAsia"/>
        </w:rPr>
        <w:t>Mfuzz</w:t>
      </w:r>
      <w:proofErr w:type="spellEnd"/>
      <w:r w:rsidRPr="00ED62C1">
        <w:rPr>
          <w:rFonts w:hint="eastAsia"/>
        </w:rPr>
        <w:t xml:space="preserve"> package (Kumar &amp; </w:t>
      </w:r>
      <w:proofErr w:type="spellStart"/>
      <w:r w:rsidRPr="00ED62C1">
        <w:rPr>
          <w:rFonts w:hint="eastAsia"/>
        </w:rPr>
        <w:t>Futschik</w:t>
      </w:r>
      <w:proofErr w:type="spellEnd"/>
      <w:r w:rsidRPr="00ED62C1">
        <w:rPr>
          <w:rFonts w:hint="eastAsia"/>
        </w:rPr>
        <w:t xml:space="preserve">, 2007). The four colonization-year patches were treated as an ordered gradient for clustering. The optimal cluster number was determined based on minimum centroid distance. Transcripts with membership values &gt; 0.5 were defined as core genes in each cluster, and these core gene sets were further </w:t>
      </w:r>
      <w:proofErr w:type="spellStart"/>
      <w:r w:rsidRPr="00ED62C1">
        <w:rPr>
          <w:rFonts w:hint="eastAsia"/>
        </w:rPr>
        <w:t>analysed</w:t>
      </w:r>
      <w:proofErr w:type="spellEnd"/>
      <w:r w:rsidRPr="00ED62C1">
        <w:rPr>
          <w:rFonts w:hint="eastAsia"/>
        </w:rPr>
        <w:t xml:space="preserve"> by Gene Ontology (GO) enrichment using </w:t>
      </w:r>
      <w:proofErr w:type="spellStart"/>
      <w:r w:rsidRPr="00ED62C1">
        <w:rPr>
          <w:rFonts w:hint="eastAsia"/>
        </w:rPr>
        <w:t>clusterProfiler</w:t>
      </w:r>
      <w:proofErr w:type="spellEnd"/>
      <w:r w:rsidRPr="00ED62C1">
        <w:rPr>
          <w:rFonts w:hint="eastAsia"/>
        </w:rPr>
        <w:t xml:space="preserve"> (Yu et al., 2012). Redundant GO terms were further summarized using </w:t>
      </w:r>
      <w:proofErr w:type="spellStart"/>
      <w:r w:rsidRPr="00ED62C1">
        <w:rPr>
          <w:rFonts w:hint="eastAsia"/>
        </w:rPr>
        <w:t>rrvgo</w:t>
      </w:r>
      <w:proofErr w:type="spellEnd"/>
      <w:r w:rsidRPr="00ED62C1">
        <w:rPr>
          <w:rFonts w:hint="eastAsia"/>
        </w:rPr>
        <w:t xml:space="preserve"> (</w:t>
      </w:r>
      <w:proofErr w:type="spellStart"/>
      <w:r w:rsidRPr="00ED62C1">
        <w:rPr>
          <w:rFonts w:hint="eastAsia"/>
        </w:rPr>
        <w:t>Sayols</w:t>
      </w:r>
      <w:proofErr w:type="spellEnd"/>
      <w:r w:rsidRPr="00ED62C1">
        <w:rPr>
          <w:rFonts w:hint="eastAsia"/>
        </w:rPr>
        <w:t>, 2023).</w:t>
      </w:r>
    </w:p>
    <w:p w14:paraId="35FB1782" w14:textId="77777777" w:rsidR="00ED62C1" w:rsidRPr="00ED62C1" w:rsidRDefault="00ED62C1" w:rsidP="00ED62C1">
      <w:pPr>
        <w:rPr>
          <w:rFonts w:hint="eastAsia"/>
        </w:rPr>
      </w:pPr>
      <w:r w:rsidRPr="00ED62C1">
        <w:rPr>
          <w:rFonts w:hint="eastAsia"/>
        </w:rPr>
        <w:t xml:space="preserve">To assess genetic differentiation among colonization-year patches, sequence variants were called from the alignment files and filtered to retain high-quality SNPs using the GATK pipeline (McKenna et al., 2010) and </w:t>
      </w:r>
      <w:proofErr w:type="spellStart"/>
      <w:r w:rsidRPr="00ED62C1">
        <w:rPr>
          <w:rFonts w:hint="eastAsia"/>
        </w:rPr>
        <w:t>SAMtools</w:t>
      </w:r>
      <w:proofErr w:type="spellEnd"/>
      <w:r w:rsidRPr="00ED62C1">
        <w:rPr>
          <w:rFonts w:hint="eastAsia"/>
        </w:rPr>
        <w:t xml:space="preserve"> (Li et al., 2009a). Additional SNP filtering and downstream genotype processing were conducted using </w:t>
      </w:r>
      <w:proofErr w:type="spellStart"/>
      <w:r w:rsidRPr="00ED62C1">
        <w:rPr>
          <w:rFonts w:hint="eastAsia"/>
        </w:rPr>
        <w:t>VCFtools</w:t>
      </w:r>
      <w:proofErr w:type="spellEnd"/>
      <w:r w:rsidRPr="00ED62C1">
        <w:rPr>
          <w:rFonts w:hint="eastAsia"/>
        </w:rPr>
        <w:t xml:space="preserve"> (</w:t>
      </w:r>
      <w:proofErr w:type="spellStart"/>
      <w:r w:rsidRPr="00ED62C1">
        <w:rPr>
          <w:rFonts w:hint="eastAsia"/>
        </w:rPr>
        <w:t>Danecek</w:t>
      </w:r>
      <w:proofErr w:type="spellEnd"/>
      <w:r w:rsidRPr="00ED62C1">
        <w:rPr>
          <w:rFonts w:hint="eastAsia"/>
        </w:rPr>
        <w:t xml:space="preserve"> et al., 2011) and PLINK/PLINK 2 (Purcell et al., 2007; Chang et al., 2015). The retained SNPs were used to (1) estimate pairwise relatedness among individuals, (2) quantify genetic differentiation and nucleotide diversity for each patch relative to the </w:t>
      </w:r>
      <w:r w:rsidRPr="00ED62C1">
        <w:rPr>
          <w:rFonts w:hint="eastAsia"/>
        </w:rPr>
        <w:lastRenderedPageBreak/>
        <w:t>other three patches, and (3) identify significantly differentiated SNPs for subsequent principal component analysis (PCA).</w:t>
      </w:r>
    </w:p>
    <w:p w14:paraId="7CC1A233" w14:textId="77777777" w:rsidR="00ED62C1" w:rsidRPr="00ED62C1" w:rsidRDefault="00ED62C1" w:rsidP="00ED62C1">
      <w:pPr>
        <w:rPr>
          <w:rFonts w:hint="eastAsia"/>
          <w:b/>
          <w:bCs/>
        </w:rPr>
      </w:pPr>
      <w:r w:rsidRPr="00ED62C1">
        <w:rPr>
          <w:rFonts w:hint="eastAsia"/>
          <w:b/>
          <w:bCs/>
        </w:rPr>
        <w:t>2.3 | Untargeted metabolomics</w:t>
      </w:r>
    </w:p>
    <w:p w14:paraId="2B7885C6" w14:textId="77777777" w:rsidR="00ED62C1" w:rsidRPr="00ED62C1" w:rsidRDefault="00ED62C1" w:rsidP="00ED62C1">
      <w:pPr>
        <w:rPr>
          <w:rFonts w:hint="eastAsia"/>
        </w:rPr>
      </w:pPr>
      <w:r w:rsidRPr="00ED62C1">
        <w:rPr>
          <w:rFonts w:hint="eastAsia"/>
        </w:rPr>
        <w:t xml:space="preserve">The remaining half of each leaf sample was used for untargeted metabolomic analysis. Metabolite extraction and liquid chromatography–mass spectrometry (LC–MS) analysis were conducted by </w:t>
      </w:r>
      <w:proofErr w:type="spellStart"/>
      <w:r w:rsidRPr="00ED62C1">
        <w:rPr>
          <w:rFonts w:hint="eastAsia"/>
        </w:rPr>
        <w:t>Novogene</w:t>
      </w:r>
      <w:proofErr w:type="spellEnd"/>
      <w:r w:rsidRPr="00ED62C1">
        <w:rPr>
          <w:rFonts w:hint="eastAsia"/>
        </w:rPr>
        <w:t xml:space="preserve"> Bioinformatics Technology Co., Ltd. Raw mass spectrometry data were converted into standard formats and processed in </w:t>
      </w:r>
      <w:proofErr w:type="spellStart"/>
      <w:r w:rsidRPr="00ED62C1">
        <w:rPr>
          <w:rFonts w:hint="eastAsia"/>
        </w:rPr>
        <w:t>MZmine</w:t>
      </w:r>
      <w:proofErr w:type="spellEnd"/>
      <w:r w:rsidRPr="00ED62C1">
        <w:rPr>
          <w:rFonts w:hint="eastAsia"/>
        </w:rPr>
        <w:t xml:space="preserve"> v4.8 for peak detection, deconvolution, isotope grouping, peak alignment, and gap filling. Only metabolite features with MS/MS fragmentation information were retained for further analysis.</w:t>
      </w:r>
    </w:p>
    <w:p w14:paraId="49B0D186" w14:textId="7B0188F6" w:rsidR="00ED62C1" w:rsidRPr="00ED62C1" w:rsidRDefault="00FC5445" w:rsidP="00ED62C1">
      <w:pPr>
        <w:rPr>
          <w:rFonts w:hint="eastAsia"/>
        </w:rPr>
      </w:pPr>
      <w:r w:rsidRPr="00FC5445">
        <w:rPr>
          <w:rFonts w:hint="eastAsia"/>
        </w:rPr>
        <w:t>Metabolite features were then annotated using SIRIUS v</w:t>
      </w:r>
      <w:r>
        <w:rPr>
          <w:rFonts w:hint="eastAsia"/>
        </w:rPr>
        <w:t>6</w:t>
      </w:r>
      <w:r w:rsidRPr="00FC5445">
        <w:rPr>
          <w:rFonts w:hint="eastAsia"/>
        </w:rPr>
        <w:t>.3.0 (Dü</w:t>
      </w:r>
      <w:proofErr w:type="spellStart"/>
      <w:r w:rsidRPr="00FC5445">
        <w:rPr>
          <w:rFonts w:hint="eastAsia"/>
        </w:rPr>
        <w:t>hrkop</w:t>
      </w:r>
      <w:proofErr w:type="spellEnd"/>
      <w:r w:rsidRPr="00FC5445">
        <w:rPr>
          <w:rFonts w:hint="eastAsia"/>
        </w:rPr>
        <w:t xml:space="preserve"> et al., 2019) and its associated modules for molecular formula prediction, structural annotation, and compound classification. Feature-based molecular networking was further conducted on the GNPS platform (Wang et al., 2016) to assist metabolite </w:t>
      </w:r>
      <w:proofErr w:type="spellStart"/>
      <w:r w:rsidRPr="00FC5445">
        <w:rPr>
          <w:rFonts w:hint="eastAsia"/>
        </w:rPr>
        <w:t>annotation.</w:t>
      </w:r>
      <w:r w:rsidR="00ED62C1" w:rsidRPr="00ED62C1">
        <w:rPr>
          <w:rFonts w:hint="eastAsia"/>
        </w:rPr>
        <w:t>The</w:t>
      </w:r>
      <w:proofErr w:type="spellEnd"/>
      <w:r w:rsidR="00ED62C1" w:rsidRPr="00ED62C1">
        <w:rPr>
          <w:rFonts w:hint="eastAsia"/>
        </w:rPr>
        <w:t xml:space="preserve"> final annotations from GNPS and SIRIUS were integrated and converted into KEGG identifiers for downstream pathway analysis. Metabolite annotation confidence was classified with reference to the framework proposed by </w:t>
      </w:r>
      <w:proofErr w:type="spellStart"/>
      <w:r w:rsidR="00ED62C1" w:rsidRPr="00ED62C1">
        <w:rPr>
          <w:rFonts w:hint="eastAsia"/>
        </w:rPr>
        <w:t>Schymanski</w:t>
      </w:r>
      <w:proofErr w:type="spellEnd"/>
      <w:r w:rsidR="00ED62C1" w:rsidRPr="00ED62C1">
        <w:rPr>
          <w:rFonts w:hint="eastAsia"/>
        </w:rPr>
        <w:t xml:space="preserve"> et al. (2014) for communicating confidence in small-molecule identification based on high-resolution mass spectrometry.</w:t>
      </w:r>
    </w:p>
    <w:p w14:paraId="1F62DE4B" w14:textId="77777777" w:rsidR="00ED62C1" w:rsidRPr="00ED62C1" w:rsidRDefault="00ED62C1" w:rsidP="00ED62C1">
      <w:pPr>
        <w:rPr>
          <w:rFonts w:hint="eastAsia"/>
        </w:rPr>
      </w:pPr>
      <w:r w:rsidRPr="00ED62C1">
        <w:rPr>
          <w:rFonts w:hint="eastAsia"/>
        </w:rPr>
        <w:t>Because strong batch effects remained evident after testing multiple correction approaches, and no method satisfactorily removed batch-associated separation without risking distortion of the biological structure, only samples from the second batch were retained for downstream metabolomic analyses. After exclusion of batch 1, the retained metabolomic sample sizes were 10, 15, 15, and 10 for the 2012, 2013, 2014, and 2015 patches, respectively. This reduction in sample size and balance should be considered when interpreting metabolome-based patterns.</w:t>
      </w:r>
    </w:p>
    <w:p w14:paraId="2EF6AA34" w14:textId="77777777" w:rsidR="00ED62C1" w:rsidRPr="00ED62C1" w:rsidRDefault="00ED62C1" w:rsidP="00ED62C1">
      <w:pPr>
        <w:rPr>
          <w:rFonts w:hint="eastAsia"/>
          <w:b/>
          <w:bCs/>
        </w:rPr>
      </w:pPr>
      <w:r w:rsidRPr="00ED62C1">
        <w:rPr>
          <w:rFonts w:hint="eastAsia"/>
          <w:b/>
          <w:bCs/>
        </w:rPr>
        <w:t>2.4 | Bayesian hierarchical model</w:t>
      </w:r>
    </w:p>
    <w:p w14:paraId="7B4851C7" w14:textId="77777777" w:rsidR="00303B6D" w:rsidRDefault="00303B6D" w:rsidP="00ED62C1">
      <w:pPr>
        <w:rPr>
          <w:rFonts w:hint="eastAsia"/>
        </w:rPr>
      </w:pPr>
      <w:r w:rsidRPr="00303B6D">
        <w:rPr>
          <w:rFonts w:hint="eastAsia"/>
        </w:rPr>
        <w:t xml:space="preserve">To integrate phenotypic, transcriptomic, metabolomic, genetic, and spatial information within a common analytical framework, we constructed an integrative Bayesian hierarchical model. Before model fitting, all datasets were cross-matched by sample identity, and only samples for which phenotypic, metabolomic, transcriptomic, and SNP data were simultaneously available and unaffected by batch-effect exclusions were retained. This strict filtering resulted in a final set of 20 strictly matched samples used for hierarchical modeling. These samples naturally mirrored the unequal initial field design, distributing across the </w:t>
      </w:r>
      <w:proofErr w:type="spellStart"/>
      <w:r w:rsidRPr="00303B6D">
        <w:rPr>
          <w:rFonts w:hint="eastAsia"/>
        </w:rPr>
        <w:t>chronosequence</w:t>
      </w:r>
      <w:proofErr w:type="spellEnd"/>
      <w:r w:rsidRPr="00303B6D">
        <w:rPr>
          <w:rFonts w:hint="eastAsia"/>
        </w:rPr>
        <w:t xml:space="preserve"> as follows: six samples from 2012 (matching quadrats 1–6; IDs: 2012_4_1, 2012_6_2, 2012_8_3, 2012_10_4, 2012_12_5, </w:t>
      </w:r>
      <w:r w:rsidRPr="00303B6D">
        <w:rPr>
          <w:rFonts w:hint="eastAsia"/>
        </w:rPr>
        <w:lastRenderedPageBreak/>
        <w:t xml:space="preserve">2012_14_6), six samples from 2013 (matching quadrats 1, 3, 4, 6, 7, and 11; IDs: 2013_1_1, 2013_5_3, 2013_8_4, 2013_11_6, 2013_13_7, 2013_20_11), three samples from 2014 (matching quadrats 1, 3, and 4; IDs: 2014_1_1, 2014_9_3, 2014_12_4), and five samples from 2015 (matching quadrats 1–5; IDs: 2015_3_1, 2015_5_2, 2015_10_3, 2015_13_4, 2015_17_5). </w:t>
      </w:r>
    </w:p>
    <w:p w14:paraId="534204B3" w14:textId="5469D61F" w:rsidR="00ED62C1" w:rsidRPr="00ED62C1" w:rsidRDefault="00ED62C1" w:rsidP="00ED62C1">
      <w:pPr>
        <w:rPr>
          <w:rFonts w:hint="eastAsia"/>
        </w:rPr>
      </w:pPr>
      <w:r w:rsidRPr="00ED62C1">
        <w:rPr>
          <w:rFonts w:hint="eastAsia"/>
        </w:rPr>
        <w:t>To reduce dimensionality and obtain comparable summary descriptors across high-dimensional data types, principal component analysis (PCA) was performed separately for spatial position, SNP variation, transcriptomic variation, and metabolomic variation. For each of these datasets, the first principal component (PC1) was used as a univariate summary variable representing the dominant axis of variation. Spatial-position PC1 was derived from quadrat longitude and latitude. PC1 scores for spatial position, SNPs, transcriptomic data, and metabolomic data were normalized prior to model fitting. By contrast, leaf biomass and spikelet number were entered into the model as observed phenotypic variables representing growth and reproductive performance, respectively.</w:t>
      </w:r>
    </w:p>
    <w:p w14:paraId="26BB29EF" w14:textId="77777777" w:rsidR="00ED62C1" w:rsidRPr="00ED62C1" w:rsidRDefault="00ED62C1" w:rsidP="00ED62C1">
      <w:pPr>
        <w:rPr>
          <w:rFonts w:hint="eastAsia"/>
        </w:rPr>
      </w:pPr>
      <w:r w:rsidRPr="00ED62C1">
        <w:rPr>
          <w:rFonts w:hint="eastAsia"/>
        </w:rPr>
        <w:t>The hierarchical model was structured in two layers. In the first layer, transcriptomic and metabolomic PC1 scores were modeled as responses to spatial position and SNP variation. In the second layer, phenotypic responses were modeled as functions of the transcriptomic and metabolomic components estimated in the first layer. Leaf biomass was used as the growth-related phenotypic response, and spikelet number was used as the reproductive phenotypic response.</w:t>
      </w:r>
    </w:p>
    <w:p w14:paraId="754486AB" w14:textId="77777777" w:rsidR="00ED62C1" w:rsidRPr="00ED62C1" w:rsidRDefault="00ED62C1" w:rsidP="00ED62C1">
      <w:pPr>
        <w:rPr>
          <w:rFonts w:hint="eastAsia"/>
        </w:rPr>
      </w:pPr>
      <w:r w:rsidRPr="00ED62C1">
        <w:rPr>
          <w:rFonts w:hint="eastAsia"/>
        </w:rPr>
        <w:t>The model included both fixed effects and sample-level random effects. Growth and reproductive responses were modeled jointly so that their covariance structure could be estimated simultaneously within the Bayesian framework. Weakly informative priors were assigned to model parameters, and hyperpriors were used for variance terms to allow shrinkage and reduce the risk of overparameterization.</w:t>
      </w:r>
    </w:p>
    <w:p w14:paraId="60EF4DF2" w14:textId="77777777" w:rsidR="00ED62C1" w:rsidRPr="00ED62C1" w:rsidRDefault="00ED62C1" w:rsidP="00ED62C1">
      <w:pPr>
        <w:rPr>
          <w:rFonts w:hint="eastAsia"/>
        </w:rPr>
      </w:pPr>
      <w:r w:rsidRPr="00ED62C1">
        <w:rPr>
          <w:rFonts w:hint="eastAsia"/>
        </w:rPr>
        <w:t>All parameters were jointly estimated using a Metropolis–Hastings Markov chain Monte Carlo (MCMC) algorithm. Posterior means and 95% credible intervals were used to summarize parameter estimates, and posterior probabilities were used to evaluate the directionality of effects. Additional details of data preprocessing, variable construction, model specification, prior distributions, and MCMC implementation are provided in Supplementary Text S7.</w:t>
      </w:r>
    </w:p>
    <w:p w14:paraId="6E82DDFC" w14:textId="77777777" w:rsidR="00ED62C1" w:rsidRPr="00ED62C1" w:rsidRDefault="00ED62C1" w:rsidP="00ED62C1">
      <w:pPr>
        <w:rPr>
          <w:rFonts w:hint="eastAsia"/>
          <w:b/>
          <w:bCs/>
        </w:rPr>
      </w:pPr>
      <w:r w:rsidRPr="00ED62C1">
        <w:rPr>
          <w:rFonts w:hint="eastAsia"/>
          <w:b/>
          <w:bCs/>
        </w:rPr>
        <w:t>2.5 | Statistical analyses</w:t>
      </w:r>
    </w:p>
    <w:p w14:paraId="2D8B1106" w14:textId="77777777" w:rsidR="00ED62C1" w:rsidRPr="00ED62C1" w:rsidRDefault="00ED62C1" w:rsidP="00ED62C1">
      <w:pPr>
        <w:rPr>
          <w:rFonts w:hint="eastAsia"/>
        </w:rPr>
      </w:pPr>
      <w:r w:rsidRPr="00ED62C1">
        <w:rPr>
          <w:rFonts w:hint="eastAsia"/>
        </w:rPr>
        <w:t xml:space="preserve">In addition to the hierarchical modelling framework, a series of conventional multivariate and enrichment analyses were performed to summarize variation within each data layer. Unless otherwise stated, all analyses were performed in R and Python. Principal component analysis was used to evaluate overall divergence among </w:t>
      </w:r>
      <w:r w:rsidRPr="00ED62C1">
        <w:rPr>
          <w:rFonts w:hint="eastAsia"/>
        </w:rPr>
        <w:lastRenderedPageBreak/>
        <w:t>colonization-year patches at the transcriptomic, metabolomic, and genetic levels. GO and KEGG enrichment analyses were used to identify biological processes and metabolic pathways associated with rapid responses at the microgeographic scale. The Bayesian hierarchical model was used to quantify the direct and indirect relationships among patch position, genetic variation, multi-omics variation, and phenotypic traits.</w:t>
      </w:r>
    </w:p>
    <w:p w14:paraId="23C8ABFE" w14:textId="77777777" w:rsidR="00EC509A" w:rsidRDefault="00EC509A">
      <w:pPr>
        <w:rPr>
          <w:rFonts w:hint="eastAsia"/>
        </w:rPr>
      </w:pPr>
    </w:p>
    <w:p w14:paraId="5603EE7B" w14:textId="77777777" w:rsidR="00ED62C1" w:rsidRPr="000E4A99" w:rsidRDefault="00ED62C1" w:rsidP="00ED62C1">
      <w:pPr>
        <w:rPr>
          <w:rFonts w:hint="eastAsia"/>
          <w:b/>
          <w:bCs/>
        </w:rPr>
      </w:pPr>
      <w:r w:rsidRPr="000E4A99">
        <w:rPr>
          <w:b/>
          <w:bCs/>
        </w:rPr>
        <w:t>3 | RESULTS</w:t>
      </w:r>
    </w:p>
    <w:p w14:paraId="6FE0BE12" w14:textId="77777777" w:rsidR="00ED62C1" w:rsidRPr="000E4A99" w:rsidRDefault="00ED62C1" w:rsidP="00ED62C1">
      <w:pPr>
        <w:rPr>
          <w:rFonts w:hint="eastAsia"/>
          <w:b/>
          <w:bCs/>
        </w:rPr>
      </w:pPr>
      <w:r w:rsidRPr="000E4A99">
        <w:rPr>
          <w:b/>
          <w:bCs/>
        </w:rPr>
        <w:t>3.1 | Phenotypic Variations Across Colonization Years</w:t>
      </w:r>
    </w:p>
    <w:p w14:paraId="1BE8AD21" w14:textId="77777777" w:rsidR="00ED62C1" w:rsidRDefault="00ED62C1" w:rsidP="00ED62C1">
      <w:pPr>
        <w:rPr>
          <w:rFonts w:hint="eastAsia"/>
          <w:b/>
          <w:bCs/>
        </w:rPr>
      </w:pPr>
      <w:r w:rsidRPr="000E4A99">
        <w:rPr>
          <w:b/>
          <w:bCs/>
        </w:rPr>
        <w:t>To investigate the temporal dynamics of </w:t>
      </w:r>
      <w:r w:rsidRPr="000E4A99">
        <w:rPr>
          <w:b/>
          <w:bCs/>
          <w:i/>
          <w:iCs/>
        </w:rPr>
        <w:t>Spartina alterniflora</w:t>
      </w:r>
      <w:r w:rsidRPr="000E4A99">
        <w:rPr>
          <w:b/>
          <w:bCs/>
        </w:rPr>
        <w:t xml:space="preserve"> invasion, we established a sampling design in the estuarine area of the </w:t>
      </w:r>
      <w:proofErr w:type="spellStart"/>
      <w:r w:rsidRPr="000E4A99">
        <w:rPr>
          <w:b/>
          <w:bCs/>
        </w:rPr>
        <w:t>Zhangjiangkou</w:t>
      </w:r>
      <w:proofErr w:type="spellEnd"/>
      <w:r w:rsidRPr="000E4A99">
        <w:rPr>
          <w:b/>
          <w:bCs/>
        </w:rPr>
        <w:t xml:space="preserve"> Mangrove National Nature Reserve. Using remote-sensing satellite imagery to determine the timing of patch appearance, the local population was categorized into four distinct colonization-year patches (2012, 2013, 2014, and 2015), which were sampled across three microgeographic zones (estuary, competition, and dense zones) (Fig 1a, Fig S1a). Phenotypic measurements were conducted within randomly placed quadrats to evaluate fundamental growth and reproductive features, including biomass allocations and morphological traits for intact plants and mature inflorescences. An analysis of the acquired phenotypic results demonstrated significant multidimensional variations corresponding to the establishment timing of the patches. Specifically, aboveground organ trait indices, including stem biomass, shoot biomass, leaf biomass, and inflorescence biomass, exhibited significant differences among the four patches defined by colonization years (Fig 1b–e). Parallel to these biomass allocations, growth-related morphology and reproductive metrics—namely flowering stem density, plant height, inflorescence length, and spikelet number—also displayed significant spatial-temporal divergence across the </w:t>
      </w:r>
      <w:proofErr w:type="spellStart"/>
      <w:r w:rsidRPr="000E4A99">
        <w:rPr>
          <w:b/>
          <w:bCs/>
        </w:rPr>
        <w:t>chronosequence</w:t>
      </w:r>
      <w:proofErr w:type="spellEnd"/>
      <w:r w:rsidRPr="000E4A99">
        <w:rPr>
          <w:b/>
          <w:bCs/>
        </w:rPr>
        <w:t xml:space="preserve"> (Fig S1b–e). Overall, these phenotypic patterns highlight that </w:t>
      </w:r>
      <w:r w:rsidRPr="000E4A99">
        <w:rPr>
          <w:b/>
          <w:bCs/>
          <w:i/>
          <w:iCs/>
        </w:rPr>
        <w:t>S. alterniflora</w:t>
      </w:r>
      <w:r w:rsidRPr="000E4A99">
        <w:rPr>
          <w:b/>
          <w:bCs/>
        </w:rPr>
        <w:t> patches undergo significant shifts in structural resource allocation and reproductive output traversing different colonization years.</w:t>
      </w:r>
    </w:p>
    <w:p w14:paraId="410E2920" w14:textId="5EE80630" w:rsidR="00ED62C1" w:rsidRDefault="00ED62C1" w:rsidP="00ED62C1">
      <w:pPr>
        <w:rPr>
          <w:rFonts w:hint="eastAsia"/>
          <w:b/>
          <w:bCs/>
        </w:rPr>
      </w:pPr>
      <w:r>
        <w:rPr>
          <w:noProof/>
        </w:rPr>
        <w:lastRenderedPageBreak/>
        <w:drawing>
          <wp:inline distT="0" distB="0" distL="0" distR="0" wp14:anchorId="06423696" wp14:editId="1F20A149">
            <wp:extent cx="5274310" cy="690816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rotWithShape="1">
                    <a:blip r:embed="rId7" cstate="print">
                      <a:extLst>
                        <a:ext uri="{28A0092B-C50C-407E-A947-70E740481C1C}">
                          <a14:useLocalDpi xmlns:a14="http://schemas.microsoft.com/office/drawing/2010/main" val="0"/>
                        </a:ext>
                      </a:extLst>
                    </a:blip>
                    <a:srcRect l="31522" r="11206"/>
                    <a:stretch/>
                  </pic:blipFill>
                  <pic:spPr bwMode="auto">
                    <a:xfrm>
                      <a:off x="0" y="0"/>
                      <a:ext cx="5274310" cy="6908165"/>
                    </a:xfrm>
                    <a:prstGeom prst="rect">
                      <a:avLst/>
                    </a:prstGeom>
                    <a:ln>
                      <a:noFill/>
                    </a:ln>
                    <a:extLst>
                      <a:ext uri="{53640926-AAD7-44D8-BBD7-CCE9431645EC}">
                        <a14:shadowObscured xmlns:a14="http://schemas.microsoft.com/office/drawing/2010/main"/>
                      </a:ext>
                    </a:extLst>
                  </pic:spPr>
                </pic:pic>
              </a:graphicData>
            </a:graphic>
          </wp:inline>
        </w:drawing>
      </w:r>
    </w:p>
    <w:p w14:paraId="706E86E5" w14:textId="5C0CB10C" w:rsidR="00ED62C1" w:rsidRPr="00ED62C1" w:rsidRDefault="00ED62C1" w:rsidP="00ED62C1">
      <w:pPr>
        <w:rPr>
          <w:rFonts w:hint="eastAsia"/>
          <w:b/>
          <w:bCs/>
        </w:rPr>
      </w:pPr>
      <w:r w:rsidRPr="00ED62C1">
        <w:rPr>
          <w:rFonts w:hint="eastAsia"/>
          <w:b/>
          <w:bCs/>
        </w:rPr>
        <w:t xml:space="preserve">Figure 1 | Sampling design and differences in aboveground organ biomass among Spartina alterniflora patches with different colonization years in the </w:t>
      </w:r>
      <w:proofErr w:type="spellStart"/>
      <w:r w:rsidRPr="00ED62C1">
        <w:rPr>
          <w:rFonts w:hint="eastAsia"/>
          <w:b/>
          <w:bCs/>
        </w:rPr>
        <w:t>Zhangjiang</w:t>
      </w:r>
      <w:proofErr w:type="spellEnd"/>
      <w:r w:rsidRPr="00ED62C1">
        <w:rPr>
          <w:rFonts w:hint="eastAsia"/>
          <w:b/>
          <w:bCs/>
        </w:rPr>
        <w:t xml:space="preserve"> Estuary.</w:t>
      </w:r>
      <w:r w:rsidRPr="00ED62C1">
        <w:rPr>
          <w:rFonts w:hint="eastAsia"/>
          <w:b/>
          <w:bCs/>
        </w:rPr>
        <w:br/>
        <w:t xml:space="preserve">(a) Based on colonization year identified from satellite imagery, the </w:t>
      </w:r>
      <w:r w:rsidRPr="00ED62C1">
        <w:rPr>
          <w:rFonts w:hint="eastAsia"/>
          <w:b/>
          <w:bCs/>
          <w:i/>
        </w:rPr>
        <w:t>S. alterniflora</w:t>
      </w:r>
      <w:r w:rsidRPr="00ED62C1">
        <w:rPr>
          <w:rFonts w:hint="eastAsia"/>
          <w:b/>
          <w:bCs/>
        </w:rPr>
        <w:t xml:space="preserve"> population in the </w:t>
      </w:r>
      <w:proofErr w:type="spellStart"/>
      <w:r w:rsidRPr="00ED62C1">
        <w:rPr>
          <w:rFonts w:hint="eastAsia"/>
          <w:b/>
          <w:bCs/>
        </w:rPr>
        <w:t>Zhangjiang</w:t>
      </w:r>
      <w:proofErr w:type="spellEnd"/>
      <w:r w:rsidRPr="00ED62C1">
        <w:rPr>
          <w:rFonts w:hint="eastAsia"/>
          <w:b/>
          <w:bCs/>
        </w:rPr>
        <w:t xml:space="preserve"> Estuary was divided into four patches established in 2012, 2013, 2014, and 2015. Red, green, blue, and yellow points indicate sampling locations in the 2012, 2013, 2014, and 2015 patches, respectively. According to microgeographic habitat conditions, the population was further classified into </w:t>
      </w:r>
      <w:r w:rsidRPr="00ED62C1">
        <w:rPr>
          <w:rFonts w:hint="eastAsia"/>
          <w:b/>
          <w:bCs/>
        </w:rPr>
        <w:lastRenderedPageBreak/>
        <w:t>three zones: the estuary zone near the river mouth, the competition zone adjacent to mangroves, and the dense zone located in the population core. Blue, green, and yellow ellipses denote the estuary, competition, and dense zones, respectively.</w:t>
      </w:r>
      <w:r w:rsidRPr="00ED62C1">
        <w:rPr>
          <w:rFonts w:hint="eastAsia"/>
          <w:b/>
          <w:bCs/>
        </w:rPr>
        <w:br/>
        <w:t>(b–e) Differences in biomass among the four patches of different colonization years for (b) stem biomass, (c) shoot biomass, (d) leaf biomass, and (e) inflorescence biomass. Different letters above boxplots indicate significant differences among patches (</w:t>
      </w:r>
      <w:r w:rsidRPr="00ED62C1">
        <w:rPr>
          <w:rFonts w:hint="eastAsia"/>
          <w:b/>
          <w:bCs/>
          <w:i/>
        </w:rPr>
        <w:t>P</w:t>
      </w:r>
      <w:r w:rsidRPr="00ED62C1">
        <w:rPr>
          <w:rFonts w:hint="eastAsia"/>
          <w:b/>
          <w:bCs/>
        </w:rPr>
        <w:t xml:space="preserve"> &lt; 0.05).</w:t>
      </w:r>
    </w:p>
    <w:p w14:paraId="484696BE" w14:textId="77777777" w:rsidR="00ED62C1" w:rsidRPr="000E4A99" w:rsidRDefault="00ED62C1" w:rsidP="00ED62C1">
      <w:pPr>
        <w:rPr>
          <w:rFonts w:hint="eastAsia"/>
          <w:b/>
          <w:bCs/>
        </w:rPr>
      </w:pPr>
      <w:r w:rsidRPr="000E4A99">
        <w:rPr>
          <w:b/>
          <w:bCs/>
        </w:rPr>
        <w:t>3.2 | Transcriptomic and Metabolomic Dynamics</w:t>
      </w:r>
    </w:p>
    <w:p w14:paraId="5711C300" w14:textId="77777777" w:rsidR="00ED62C1" w:rsidRPr="000E4A99" w:rsidRDefault="00ED62C1" w:rsidP="00ED62C1">
      <w:pPr>
        <w:rPr>
          <w:rFonts w:hint="eastAsia"/>
          <w:b/>
          <w:bCs/>
        </w:rPr>
      </w:pPr>
      <w:r w:rsidRPr="000E4A99">
        <w:rPr>
          <w:b/>
          <w:bCs/>
        </w:rPr>
        <w:t>We integrated transcriptomic and metabolomic analyses to systematically investigate the underlying molecular differences among the colonization-year patches. To maximize annotation accuracy prior to analysis, a previously published </w:t>
      </w:r>
      <w:r w:rsidRPr="000E4A99">
        <w:rPr>
          <w:b/>
          <w:bCs/>
          <w:i/>
          <w:iCs/>
        </w:rPr>
        <w:t>S. alterniflora</w:t>
      </w:r>
      <w:r w:rsidRPr="000E4A99">
        <w:rPr>
          <w:b/>
          <w:bCs/>
        </w:rPr>
        <w:t xml:space="preserve"> genome was utilized as a functional template and successfully re-annotated through the </w:t>
      </w:r>
      <w:proofErr w:type="spellStart"/>
      <w:r w:rsidRPr="000E4A99">
        <w:rPr>
          <w:b/>
          <w:bCs/>
        </w:rPr>
        <w:t>InterPro</w:t>
      </w:r>
      <w:proofErr w:type="spellEnd"/>
      <w:r w:rsidRPr="000E4A99">
        <w:rPr>
          <w:b/>
          <w:bCs/>
        </w:rPr>
        <w:t xml:space="preserve"> database, resulting in a total of </w:t>
      </w:r>
      <w:r>
        <w:rPr>
          <w:rFonts w:hint="eastAsia"/>
          <w:b/>
          <w:bCs/>
        </w:rPr>
        <w:t>49126</w:t>
      </w:r>
      <w:r w:rsidRPr="000E4A99">
        <w:rPr>
          <w:b/>
          <w:bCs/>
        </w:rPr>
        <w:t> tightly co-annotated core genes.</w:t>
      </w:r>
    </w:p>
    <w:p w14:paraId="5F72B7E1" w14:textId="23214CB0" w:rsidR="00ED62C1" w:rsidRPr="000E4A99" w:rsidRDefault="00ED62C1" w:rsidP="00ED62C1">
      <w:pPr>
        <w:rPr>
          <w:rFonts w:hint="eastAsia"/>
          <w:b/>
          <w:bCs/>
        </w:rPr>
      </w:pPr>
      <w:r w:rsidRPr="000E4A99">
        <w:rPr>
          <w:b/>
          <w:bCs/>
        </w:rPr>
        <w:t xml:space="preserve">For transcriptomic profiling, total RNA extracted from snap-frozen leaf tissues was sequenced via the Illumina </w:t>
      </w:r>
      <w:proofErr w:type="spellStart"/>
      <w:r w:rsidRPr="000E4A99">
        <w:rPr>
          <w:b/>
          <w:bCs/>
        </w:rPr>
        <w:t>NovaSeq</w:t>
      </w:r>
      <w:proofErr w:type="spellEnd"/>
      <w:r w:rsidRPr="000E4A99">
        <w:rPr>
          <w:b/>
          <w:bCs/>
        </w:rPr>
        <w:t xml:space="preserve"> 6000 platform, generating robust datasets mapped against the reference genome that identified a total of </w:t>
      </w:r>
      <w:r>
        <w:rPr>
          <w:rFonts w:hint="eastAsia"/>
          <w:b/>
          <w:bCs/>
        </w:rPr>
        <w:t>73711</w:t>
      </w:r>
      <w:r w:rsidRPr="000E4A99">
        <w:rPr>
          <w:b/>
          <w:bCs/>
        </w:rPr>
        <w:t xml:space="preserve"> expressed genes with verified mapping statistics (Table S3). Principal component analysis (PCA) mapped to normalized expression counts displayed robust structural clusters, establishing substantial genome-wide transcriptomic divergence correlated with the varying colonization years (Fig 2a). Utilizing the </w:t>
      </w:r>
      <w:proofErr w:type="spellStart"/>
      <w:r w:rsidRPr="000E4A99">
        <w:rPr>
          <w:b/>
          <w:bCs/>
        </w:rPr>
        <w:t>Mfuzz</w:t>
      </w:r>
      <w:proofErr w:type="spellEnd"/>
      <w:r w:rsidRPr="000E4A99">
        <w:rPr>
          <w:b/>
          <w:bCs/>
        </w:rPr>
        <w:t xml:space="preserve"> minimum centroid distance to assign classification parameters (Fig S2a), transcripts were successfully partitioned into four distinct temporal expression trends representing ordered response behaviors (Fig S2c). It was explicitly identified that 12,026, 10,033, 5,453, and 10,196 high-confidence core genes drove these four respective time-scale clusters. </w:t>
      </w:r>
      <w:r w:rsidR="004B4C10" w:rsidRPr="004B4C10">
        <w:rPr>
          <w:b/>
          <w:bCs/>
        </w:rPr>
        <w:t xml:space="preserve">Detailed Gene Ontology (GO) pathway enrichment mapping for these highly expressed core associations established a comprehensive transition of physiological functionalities partitioned specifically to each colonization-year environment (2012 through 2015) (Fig 2c–f) , prominently featuring mechanisms related to early stress and defense responses (e.g., response to salt stress and hydrogen peroxide) in the 2012 patch, a transition to active photosynthetic processes (e.g., photosynthesis and light harvesting) in 2013 and 2014, and a shift towards developmental and cellular transport regulation (e.g., flower development and vesicle-mediated transport) in the established 2015 </w:t>
      </w:r>
      <w:proofErr w:type="spellStart"/>
      <w:r w:rsidR="004B4C10" w:rsidRPr="004B4C10">
        <w:rPr>
          <w:b/>
          <w:bCs/>
        </w:rPr>
        <w:t>patch.</w:t>
      </w:r>
      <w:r w:rsidRPr="000E4A99">
        <w:rPr>
          <w:b/>
          <w:bCs/>
        </w:rPr>
        <w:t>Collectively</w:t>
      </w:r>
      <w:proofErr w:type="spellEnd"/>
      <w:r w:rsidRPr="000E4A99">
        <w:rPr>
          <w:b/>
          <w:bCs/>
        </w:rPr>
        <w:t>, the temporal transcriptomics mapping reveals a highly structured functional shift governed by specific gene-regulatory programs modulating adaptative responses following patch establishment.</w:t>
      </w:r>
    </w:p>
    <w:p w14:paraId="4F052D9F" w14:textId="1527540C" w:rsidR="00ED62C1" w:rsidRDefault="00ED62C1" w:rsidP="00ED62C1">
      <w:pPr>
        <w:rPr>
          <w:rFonts w:hint="eastAsia"/>
          <w:b/>
          <w:bCs/>
        </w:rPr>
      </w:pPr>
      <w:r w:rsidRPr="000E4A99">
        <w:rPr>
          <w:b/>
          <w:bCs/>
        </w:rPr>
        <w:lastRenderedPageBreak/>
        <w:t>Complementary to these patterns, an untargeted LC-MS-based metabolomic profiling isolated 68,574 unique MS2 features, yielding 1,10</w:t>
      </w:r>
      <w:r w:rsidR="005D3BD8">
        <w:rPr>
          <w:rFonts w:hint="eastAsia"/>
          <w:b/>
          <w:bCs/>
        </w:rPr>
        <w:t>9</w:t>
      </w:r>
      <w:r w:rsidRPr="000E4A99">
        <w:rPr>
          <w:b/>
          <w:bCs/>
        </w:rPr>
        <w:t xml:space="preserve"> structurally annotated features within the leaf components, of which 143 confident targets mapped cleanly to established KEGG identifiers (Table S5).</w:t>
      </w:r>
      <w:r w:rsidRPr="003E3937">
        <w:rPr>
          <w:rFonts w:ascii="Segoe UI" w:hAnsi="Segoe UI" w:cs="Segoe UI"/>
          <w:color w:val="666666"/>
          <w:spacing w:val="4"/>
          <w:sz w:val="21"/>
          <w:szCs w:val="21"/>
          <w:shd w:val="clear" w:color="auto" w:fill="FFFFFF"/>
        </w:rPr>
        <w:t xml:space="preserve"> </w:t>
      </w:r>
      <w:r w:rsidRPr="003E3937">
        <w:rPr>
          <w:b/>
          <w:bCs/>
        </w:rPr>
        <w:t> After excluding samples exhibiting severe batch effects (see Methods), PCA of the retained samples generated highly discrete metabolic profiles clearly clustering with the sequential spatial–temporal distribution arrays representing the chronological patches (Fig 2b).</w:t>
      </w:r>
      <w:r w:rsidRPr="000E4A99">
        <w:rPr>
          <w:b/>
          <w:bCs/>
        </w:rPr>
        <w:t xml:space="preserve">Subsequently employing similar minimum distance classifications (Fig S2b), differential clustering generated four distinct metabolite trajectory groups distributed over the </w:t>
      </w:r>
      <w:proofErr w:type="spellStart"/>
      <w:r w:rsidRPr="000E4A99">
        <w:rPr>
          <w:b/>
          <w:bCs/>
        </w:rPr>
        <w:t>chronosequence</w:t>
      </w:r>
      <w:proofErr w:type="spellEnd"/>
      <w:r w:rsidRPr="000E4A99">
        <w:rPr>
          <w:b/>
          <w:bCs/>
        </w:rPr>
        <w:t xml:space="preserve"> (Fig S2d). </w:t>
      </w:r>
      <w:r w:rsidR="004B4C10" w:rsidRPr="004B4C10">
        <w:rPr>
          <w:b/>
          <w:bCs/>
        </w:rPr>
        <w:t>Pathway enrichment evaluations mapped discrete groups of the significantly changing constituent compounds to key KEGG signaling networks varying significantly throughout the lifespan stages of the colonization locations (Fig 2g) , including flavonoid biosynthesis and glycerophospholipid metabolism in the 2012 patch, carbon fixation and aminoacyl-tRNA biosynthesis in the 2013 patch, starch and sucrose metabolism in the 2014 patch, and glutathione and alpha-linolenic acid metabolism in the 2015 patch</w:t>
      </w:r>
      <w:r w:rsidRPr="000E4A99">
        <w:rPr>
          <w:b/>
          <w:bCs/>
        </w:rPr>
        <w:t xml:space="preserve"> Ultimately, these dynamic spatial shifts emphasize robust and tightly organized local metabolomic reprogramming across the </w:t>
      </w:r>
      <w:proofErr w:type="spellStart"/>
      <w:r w:rsidRPr="000E4A99">
        <w:rPr>
          <w:b/>
          <w:bCs/>
        </w:rPr>
        <w:t>chronosequence</w:t>
      </w:r>
      <w:proofErr w:type="spellEnd"/>
      <w:r w:rsidRPr="000E4A99">
        <w:rPr>
          <w:b/>
          <w:bCs/>
        </w:rPr>
        <w:t xml:space="preserve"> timeline.</w:t>
      </w:r>
    </w:p>
    <w:p w14:paraId="50FC2E32" w14:textId="18C61EA2" w:rsidR="00ED62C1" w:rsidRDefault="00ED62C1" w:rsidP="00ED62C1">
      <w:pPr>
        <w:rPr>
          <w:rFonts w:hint="eastAsia"/>
          <w:b/>
          <w:bCs/>
        </w:rPr>
      </w:pPr>
      <w:r>
        <w:rPr>
          <w:noProof/>
        </w:rPr>
        <w:lastRenderedPageBreak/>
        <w:drawing>
          <wp:inline distT="0" distB="0" distL="0" distR="0" wp14:anchorId="0391E2E1" wp14:editId="318AD9F9">
            <wp:extent cx="5274310" cy="737679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7376795"/>
                    </a:xfrm>
                    <a:prstGeom prst="rect">
                      <a:avLst/>
                    </a:prstGeom>
                  </pic:spPr>
                </pic:pic>
              </a:graphicData>
            </a:graphic>
          </wp:inline>
        </w:drawing>
      </w:r>
    </w:p>
    <w:p w14:paraId="3C48897B" w14:textId="48728BFB" w:rsidR="00ED62C1" w:rsidRPr="00ED62C1" w:rsidRDefault="00ED62C1" w:rsidP="00ED62C1">
      <w:pPr>
        <w:rPr>
          <w:rFonts w:hint="eastAsia"/>
          <w:b/>
          <w:bCs/>
        </w:rPr>
      </w:pPr>
      <w:r w:rsidRPr="00ED62C1">
        <w:rPr>
          <w:rFonts w:hint="eastAsia"/>
          <w:b/>
          <w:bCs/>
        </w:rPr>
        <w:t>Figure 2 | Transcriptomic and metabolomic variation among Spartina alterniflora patches with different colonization years and their functional enrichment patterns.</w:t>
      </w:r>
      <w:r w:rsidRPr="00ED62C1">
        <w:rPr>
          <w:rFonts w:hint="eastAsia"/>
          <w:b/>
          <w:bCs/>
        </w:rPr>
        <w:br/>
        <w:t xml:space="preserve">(a) Principal component analysis (PCA) of the transcriptome. (b) Principal component analysis (PCA) of the metabolome. Red, green, blue, and yellow points represent samples from patches established in 2012, 2013, 2014, and 2015, </w:t>
      </w:r>
      <w:r w:rsidRPr="00ED62C1">
        <w:rPr>
          <w:rFonts w:hint="eastAsia"/>
          <w:b/>
          <w:bCs/>
        </w:rPr>
        <w:lastRenderedPageBreak/>
        <w:t>respectively.</w:t>
      </w:r>
      <w:r w:rsidRPr="00ED62C1">
        <w:rPr>
          <w:rFonts w:hint="eastAsia"/>
          <w:b/>
          <w:bCs/>
        </w:rPr>
        <w:br/>
        <w:t>(c–f) Two-dimensional visualization of Gene Ontology (GO) enrichment for highly expressed gene sets in patches established in different years: (c) 2012, (d) 2013, (e) 2014, and (f) 2015.</w:t>
      </w:r>
      <w:r w:rsidRPr="00ED62C1">
        <w:rPr>
          <w:rFonts w:hint="eastAsia"/>
          <w:b/>
          <w:bCs/>
        </w:rPr>
        <w:br/>
        <w:t>(g) KEGG pathway enrichment analysis of highly abundant metabolites across patches with different colonization years. The y-axis shows KEGG pathways and the x-axis shows colonization-year patches. Red, green, blue, and yellow points represent the 2012, 2013, 2014, and 2015 patches, respectively. Point size indicates the number of metabolites mapped to each pathway, and color intensity indicates the significance level of enrichment (</w:t>
      </w:r>
      <w:r w:rsidRPr="00ED62C1">
        <w:rPr>
          <w:rFonts w:hint="eastAsia"/>
          <w:b/>
          <w:bCs/>
          <w:i/>
        </w:rPr>
        <w:t>P</w:t>
      </w:r>
      <w:r w:rsidRPr="00ED62C1">
        <w:rPr>
          <w:rFonts w:hint="eastAsia"/>
          <w:b/>
          <w:bCs/>
        </w:rPr>
        <w:t xml:space="preserve"> value).</w:t>
      </w:r>
    </w:p>
    <w:p w14:paraId="14B40268" w14:textId="77777777" w:rsidR="00ED62C1" w:rsidRPr="000E4A99" w:rsidRDefault="00ED62C1" w:rsidP="00ED62C1">
      <w:pPr>
        <w:rPr>
          <w:rFonts w:hint="eastAsia"/>
          <w:b/>
          <w:bCs/>
        </w:rPr>
      </w:pPr>
      <w:r w:rsidRPr="000E4A99">
        <w:rPr>
          <w:b/>
          <w:bCs/>
        </w:rPr>
        <w:t>3.3 | Genetic Architecture and Multi-omics Integration</w:t>
      </w:r>
    </w:p>
    <w:p w14:paraId="58CD1ADC" w14:textId="77777777" w:rsidR="00ED62C1" w:rsidRPr="000E4A99" w:rsidRDefault="00ED62C1" w:rsidP="00ED62C1">
      <w:pPr>
        <w:rPr>
          <w:rFonts w:hint="eastAsia"/>
          <w:b/>
          <w:bCs/>
        </w:rPr>
      </w:pPr>
      <w:r w:rsidRPr="000E4A99">
        <w:rPr>
          <w:b/>
          <w:bCs/>
        </w:rPr>
        <w:t>To elucidate the baseline genetic structure facilitating these biological responses, we characterized SNP-level variations across the microgeographic sampling gradient. Evaluations detailing pair-wise interrelatedness revealed highly localized patterns of spatial kinship segregation mapping to localized patches (Fig 3a). Utilizing filtered, highly informative genome loci generated by isolating the intersecting sets of outlier </w:t>
      </w:r>
      <w:r w:rsidRPr="000E4A99">
        <w:rPr>
          <w:b/>
          <w:bCs/>
          <w:i/>
          <w:iCs/>
        </w:rPr>
        <w:t>F_ST</w:t>
      </w:r>
      <w:r w:rsidRPr="000E4A99">
        <w:rPr>
          <w:b/>
          <w:bCs/>
        </w:rPr>
        <w:t> differentiation signals and nucleotide diversity (π) metrics (top 5%), subsequent PCA clustering identified distinct spatial-scale genetic partitioning entirely consistent with the observed timeline trajectories across patches (Fig 3b).</w:t>
      </w:r>
    </w:p>
    <w:p w14:paraId="4F8C43E9" w14:textId="77777777" w:rsidR="00ED62C1" w:rsidRPr="003E3937" w:rsidRDefault="00ED62C1" w:rsidP="00ED62C1">
      <w:pPr>
        <w:rPr>
          <w:rFonts w:hint="eastAsia"/>
        </w:rPr>
      </w:pPr>
      <w:r w:rsidRPr="000E4A99">
        <w:rPr>
          <w:b/>
          <w:bCs/>
        </w:rPr>
        <w:t xml:space="preserve">We subsequently advanced these localized findings by engineering a comprehensive two-stage Bayesian hierarchical model, targeting the directed network influences in which spatial locations, driving genetic components (SNPs), transcriptome signatures, and secondary metabolomes determine major growth factors (leaf biomass) and reproductive traits (spikelet counts). Verification via robust linear regression comparisons between analytical posterior predictions and empirically observed distributions demonstrated high predictive fidelity across both multi-omics pathways (Fig S3a) and resultant phenotype assessments (Fig S3b). </w:t>
      </w:r>
      <w:r w:rsidRPr="003E3937">
        <w:rPr>
          <w:b/>
          <w:bCs/>
        </w:rPr>
        <w:t>Evaluation of the directed relationships within the hierarchical framework illustrated strong interdependencies across structural levels. Notably, spatial position (habitat location) exerted strong positive effects on corresponding genetic differentiation (P(E &gt; 0) = 1; Fig 3c), underlying transcriptome composition (P(E &gt; 0) = 1; Fig 3d), and metabolomic structure (P(E &gt; 0) = 1; Fig 3e).</w:t>
      </w:r>
      <w:r w:rsidRPr="000E4A99">
        <w:rPr>
          <w:b/>
          <w:bCs/>
        </w:rPr>
        <w:t xml:space="preserve"> Distinct molecular layers internally modulated downstream elements; the genetic framework elicited moderate influences guiding transcription behaviors (</w:t>
      </w:r>
      <w:r w:rsidRPr="000E4A99">
        <w:rPr>
          <w:b/>
          <w:bCs/>
          <w:i/>
          <w:iCs/>
        </w:rPr>
        <w:t>P(E &gt; 0)</w:t>
      </w:r>
      <w:r w:rsidRPr="000E4A99">
        <w:rPr>
          <w:b/>
          <w:bCs/>
        </w:rPr>
        <w:t> = 0.876; Fig 3d), while transcriptome variability robustly controlled shifting metabolomic structures (</w:t>
      </w:r>
      <w:r w:rsidRPr="000E4A99">
        <w:rPr>
          <w:b/>
          <w:bCs/>
          <w:i/>
          <w:iCs/>
        </w:rPr>
        <w:t>P(E &gt; 0)</w:t>
      </w:r>
      <w:r w:rsidRPr="000E4A99">
        <w:rPr>
          <w:b/>
          <w:bCs/>
        </w:rPr>
        <w:t xml:space="preserve"> = 0.997; Fig 3e). However, the resulting </w:t>
      </w:r>
      <w:r w:rsidRPr="000E4A99">
        <w:rPr>
          <w:b/>
          <w:bCs/>
        </w:rPr>
        <w:lastRenderedPageBreak/>
        <w:t>connection parameters translating omics variances (both transcriptome and metabolome elements) directly onto targeted biomass growth traits (Transcriptome: </w:t>
      </w:r>
      <w:r w:rsidRPr="000E4A99">
        <w:rPr>
          <w:b/>
          <w:bCs/>
          <w:i/>
          <w:iCs/>
        </w:rPr>
        <w:t>a_G_tran0</w:t>
      </w:r>
      <w:r w:rsidRPr="000E4A99">
        <w:rPr>
          <w:b/>
          <w:bCs/>
        </w:rPr>
        <w:t> = 0.2424, </w:t>
      </w:r>
      <w:r w:rsidRPr="000E4A99">
        <w:rPr>
          <w:b/>
          <w:bCs/>
          <w:i/>
          <w:iCs/>
        </w:rPr>
        <w:t>P(E &gt; 0)</w:t>
      </w:r>
      <w:r w:rsidRPr="000E4A99">
        <w:rPr>
          <w:b/>
          <w:bCs/>
        </w:rPr>
        <w:t> = 0.655; Metabolome: </w:t>
      </w:r>
      <w:r w:rsidRPr="000E4A99">
        <w:rPr>
          <w:b/>
          <w:bCs/>
          <w:i/>
          <w:iCs/>
        </w:rPr>
        <w:t>b_G_met0</w:t>
      </w:r>
      <w:r w:rsidRPr="000E4A99">
        <w:rPr>
          <w:b/>
          <w:bCs/>
        </w:rPr>
        <w:t> = -0.5796, </w:t>
      </w:r>
      <w:r w:rsidRPr="000E4A99">
        <w:rPr>
          <w:b/>
          <w:bCs/>
          <w:i/>
          <w:iCs/>
        </w:rPr>
        <w:t>P(E &gt; 0)</w:t>
      </w:r>
      <w:r w:rsidRPr="000E4A99">
        <w:rPr>
          <w:b/>
          <w:bCs/>
        </w:rPr>
        <w:t> = 0.212) or reproductive outputs (Transcriptome: </w:t>
      </w:r>
      <w:r w:rsidRPr="000E4A99">
        <w:rPr>
          <w:b/>
          <w:bCs/>
          <w:i/>
          <w:iCs/>
        </w:rPr>
        <w:t>a_R_tran0</w:t>
      </w:r>
      <w:r w:rsidRPr="000E4A99">
        <w:rPr>
          <w:b/>
          <w:bCs/>
        </w:rPr>
        <w:t> = -0.0852, </w:t>
      </w:r>
      <w:r w:rsidRPr="000E4A99">
        <w:rPr>
          <w:b/>
          <w:bCs/>
          <w:i/>
          <w:iCs/>
        </w:rPr>
        <w:t>P(E &gt; 0)</w:t>
      </w:r>
      <w:r w:rsidRPr="000E4A99">
        <w:rPr>
          <w:b/>
          <w:bCs/>
        </w:rPr>
        <w:t> = 0.409; Metabolome: </w:t>
      </w:r>
      <w:r w:rsidRPr="000E4A99">
        <w:rPr>
          <w:b/>
          <w:bCs/>
          <w:i/>
          <w:iCs/>
        </w:rPr>
        <w:t>b_R_met0</w:t>
      </w:r>
      <w:r w:rsidRPr="000E4A99">
        <w:rPr>
          <w:b/>
          <w:bCs/>
        </w:rPr>
        <w:t> = -0.1213, </w:t>
      </w:r>
      <w:r w:rsidRPr="000E4A99">
        <w:rPr>
          <w:b/>
          <w:bCs/>
          <w:i/>
          <w:iCs/>
        </w:rPr>
        <w:t>P(E &gt; 0)</w:t>
      </w:r>
      <w:r w:rsidRPr="000E4A99">
        <w:rPr>
          <w:b/>
          <w:bCs/>
        </w:rPr>
        <w:t xml:space="preserve"> = 0.402) presented mixed or weakly constrained pathway coefficients representing secondary or delayed system linkages (Fig 3f–g, Table S4). </w:t>
      </w:r>
      <w:r w:rsidRPr="003E3937">
        <w:rPr>
          <w:b/>
          <w:bCs/>
        </w:rPr>
        <w:t> In summary, these hierarchical assessments indicate that spatial conditions and establishment timing strongly shape early genetic architecture, exhibiting sequential statistical associations through transcriptomic and metabolomic layers, while direct associations translating these omics layers into final phenotypic variation remain relatively weak or complex.</w:t>
      </w:r>
    </w:p>
    <w:p w14:paraId="241BB517" w14:textId="1FB26BD7" w:rsidR="00ED62C1" w:rsidRDefault="00ED62C1">
      <w:pPr>
        <w:rPr>
          <w:rFonts w:hint="eastAsia"/>
        </w:rPr>
      </w:pPr>
      <w:r>
        <w:rPr>
          <w:rFonts w:hint="eastAsia"/>
          <w:noProof/>
        </w:rPr>
        <w:lastRenderedPageBreak/>
        <w:drawing>
          <wp:inline distT="0" distB="0" distL="0" distR="0" wp14:anchorId="1ADFD42D" wp14:editId="6CD76A94">
            <wp:extent cx="5610225" cy="7303555"/>
            <wp:effectExtent l="0" t="0" r="0" b="0"/>
            <wp:docPr id="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描述已自动生成"/>
                    <pic:cNvPicPr/>
                  </pic:nvPicPr>
                  <pic:blipFill rotWithShape="1">
                    <a:blip r:embed="rId9" cstate="print">
                      <a:extLst>
                        <a:ext uri="{28A0092B-C50C-407E-A947-70E740481C1C}">
                          <a14:useLocalDpi xmlns:a14="http://schemas.microsoft.com/office/drawing/2010/main" val="0"/>
                        </a:ext>
                      </a:extLst>
                    </a:blip>
                    <a:srcRect r="40766"/>
                    <a:stretch/>
                  </pic:blipFill>
                  <pic:spPr bwMode="auto">
                    <a:xfrm>
                      <a:off x="0" y="0"/>
                      <a:ext cx="5631364" cy="7331075"/>
                    </a:xfrm>
                    <a:prstGeom prst="rect">
                      <a:avLst/>
                    </a:prstGeom>
                    <a:ln>
                      <a:noFill/>
                    </a:ln>
                    <a:extLst>
                      <a:ext uri="{53640926-AAD7-44D8-BBD7-CCE9431645EC}">
                        <a14:shadowObscured xmlns:a14="http://schemas.microsoft.com/office/drawing/2010/main"/>
                      </a:ext>
                    </a:extLst>
                  </pic:spPr>
                </pic:pic>
              </a:graphicData>
            </a:graphic>
          </wp:inline>
        </w:drawing>
      </w:r>
    </w:p>
    <w:p w14:paraId="4788DBE2" w14:textId="77777777" w:rsidR="00ED62C1" w:rsidRPr="00ED62C1" w:rsidRDefault="00ED62C1" w:rsidP="00ED62C1">
      <w:pPr>
        <w:rPr>
          <w:rFonts w:hint="eastAsia"/>
        </w:rPr>
      </w:pPr>
      <w:r w:rsidRPr="00ED62C1">
        <w:rPr>
          <w:rFonts w:hint="eastAsia"/>
          <w:b/>
          <w:bCs/>
        </w:rPr>
        <w:t>Figure 3 | Genetic structure and hierarchical response relationships among Spartina alterniflora patches with different colonization years.</w:t>
      </w:r>
      <w:r w:rsidRPr="00ED62C1">
        <w:rPr>
          <w:rFonts w:hint="eastAsia"/>
        </w:rPr>
        <w:br/>
        <w:t>(a) Heatmap of pairwise relatedness among all individuals; darker colors indicate closer relatedness.</w:t>
      </w:r>
      <w:r w:rsidRPr="00ED62C1">
        <w:rPr>
          <w:rFonts w:hint="eastAsia"/>
        </w:rPr>
        <w:br/>
        <w:t>(b) PCA based on significantly differentiated SNPs. Red, green, blue, and yellow points represent samples from patches established in 2012, 2013, 2014, and 2015, respectively.</w:t>
      </w:r>
      <w:r w:rsidRPr="00ED62C1">
        <w:rPr>
          <w:rFonts w:hint="eastAsia"/>
        </w:rPr>
        <w:br/>
      </w:r>
      <w:r w:rsidRPr="00ED62C1">
        <w:rPr>
          <w:rFonts w:hint="eastAsia"/>
        </w:rPr>
        <w:lastRenderedPageBreak/>
        <w:t xml:space="preserve">(c–g) Bayesian hierarchical model integrating patch location, genetic variation, multi-omics variation, and phenotypic responses. Effect sizes and posterior probabilities, </w:t>
      </w:r>
      <w:r w:rsidRPr="00ED62C1">
        <w:rPr>
          <w:rFonts w:hint="eastAsia"/>
          <w:i/>
        </w:rPr>
        <w:t>P</w:t>
      </w:r>
      <w:r w:rsidRPr="00ED62C1">
        <w:rPr>
          <w:rFonts w:hint="eastAsia"/>
        </w:rPr>
        <w:t xml:space="preserve"> (E &gt; 0), are shown for each parameter (see Materials and Methods). Lower </w:t>
      </w:r>
      <w:r w:rsidRPr="00ED62C1">
        <w:rPr>
          <w:rFonts w:hint="eastAsia"/>
          <w:i/>
        </w:rPr>
        <w:t>P</w:t>
      </w:r>
      <w:r w:rsidRPr="00ED62C1">
        <w:rPr>
          <w:rFonts w:hint="eastAsia"/>
        </w:rPr>
        <w:t xml:space="preserve"> values indicate stronger negative effects, whereas higher </w:t>
      </w:r>
      <w:r w:rsidRPr="00ED62C1">
        <w:rPr>
          <w:rFonts w:hint="eastAsia"/>
          <w:i/>
        </w:rPr>
        <w:t>P</w:t>
      </w:r>
      <w:r w:rsidRPr="00ED62C1">
        <w:rPr>
          <w:rFonts w:hint="eastAsia"/>
        </w:rPr>
        <w:t xml:space="preserve"> values indicate stronger positive effects; solid and dashed lines denote strong and weak effects, respectively. Panels represent (c) location → genetics, (d) location and genetics → transcriptome, (e) location, genetics, and transcriptome → metabolome, (f) transcriptome → growth and reproductive traits, and (g) metabolome → growth and reproductive traits.</w:t>
      </w:r>
    </w:p>
    <w:p w14:paraId="49D37885" w14:textId="77777777" w:rsidR="006B7734" w:rsidRPr="006B7734" w:rsidRDefault="006B7734" w:rsidP="006B7734">
      <w:pPr>
        <w:rPr>
          <w:rFonts w:hint="eastAsia"/>
          <w:b/>
          <w:bCs/>
        </w:rPr>
      </w:pPr>
      <w:r w:rsidRPr="006B7734">
        <w:rPr>
          <w:b/>
          <w:bCs/>
        </w:rPr>
        <w:t>4 | DISCUSSION</w:t>
      </w:r>
    </w:p>
    <w:p w14:paraId="50C354FE" w14:textId="06DD3EA6" w:rsidR="006B7734" w:rsidRPr="006B7734" w:rsidRDefault="006B7734" w:rsidP="006B7734">
      <w:pPr>
        <w:rPr>
          <w:rFonts w:hint="eastAsia"/>
          <w:b/>
          <w:bCs/>
        </w:rPr>
      </w:pPr>
      <w:r w:rsidRPr="006B7734">
        <w:rPr>
          <w:b/>
          <w:bCs/>
        </w:rPr>
        <w:t>4.1 Hierarchical architecture of microgeographic invasion</w:t>
      </w:r>
      <w:r w:rsidRPr="006B7734">
        <w:rPr>
          <w:b/>
          <w:bCs/>
        </w:rPr>
        <w:br/>
      </w:r>
      <w:r w:rsidRPr="003847CB">
        <w:t>The expansion of </w:t>
      </w:r>
      <w:r w:rsidRPr="003847CB">
        <w:rPr>
          <w:i/>
          <w:iCs/>
        </w:rPr>
        <w:t>S. alterniflora</w:t>
      </w:r>
      <w:r w:rsidRPr="003847CB">
        <w:t xml:space="preserve"> in the </w:t>
      </w:r>
      <w:proofErr w:type="spellStart"/>
      <w:r w:rsidRPr="003847CB">
        <w:t>Zhangjiang</w:t>
      </w:r>
      <w:proofErr w:type="spellEnd"/>
      <w:r w:rsidRPr="003847CB">
        <w:t xml:space="preserve"> Estuary provides a system to track how invasive populations map environmental heterogeneity into biological performance. Over a brief </w:t>
      </w:r>
      <w:proofErr w:type="spellStart"/>
      <w:r w:rsidRPr="003847CB">
        <w:t>chronosequence</w:t>
      </w:r>
      <w:proofErr w:type="spellEnd"/>
      <w:r w:rsidRPr="003847CB">
        <w:t xml:space="preserve"> (2012–2015), populations organized into successive patches across discrete micro-habitats. Using an integrative Bayesian hierarchical framework, we mapped the sequence connecting geographical location, genetic architecture, intermediate multi-omics, and whole-plant phenotypes. Our model reveals a structured but decoupled biological partitioning: spatial location and early genetic sorting strongly drive synchronized transcriptome and metabolome responses, yet these molecular layers translate weakly into structural and reproductive phenotypes. </w:t>
      </w:r>
      <w:r w:rsidR="003847CB" w:rsidRPr="003847CB">
        <w:t>This decoupling suggests an early-stage "phenotypic buffering" strategy (</w:t>
      </w:r>
      <w:proofErr w:type="spellStart"/>
      <w:r w:rsidR="003847CB" w:rsidRPr="003847CB">
        <w:t>Ghalambor</w:t>
      </w:r>
      <w:proofErr w:type="spellEnd"/>
      <w:r w:rsidR="003847CB" w:rsidRPr="003847CB">
        <w:t xml:space="preserve"> et al., 2007; Nicotra et al., 2010), relying on localized physiological flexibility without proportionally shifting whole-plant morphology.</w:t>
      </w:r>
    </w:p>
    <w:p w14:paraId="70A06378" w14:textId="0AB7F304" w:rsidR="006B7734" w:rsidRPr="006B7734" w:rsidRDefault="006B7734" w:rsidP="006B7734">
      <w:pPr>
        <w:rPr>
          <w:rFonts w:hint="eastAsia"/>
          <w:b/>
          <w:bCs/>
        </w:rPr>
      </w:pPr>
      <w:r w:rsidRPr="006B7734">
        <w:rPr>
          <w:b/>
          <w:bCs/>
        </w:rPr>
        <w:t>4.2 Rapid genetic sorting and coordinated molecular reprogramming</w:t>
      </w:r>
      <w:r w:rsidRPr="006B7734">
        <w:rPr>
          <w:b/>
          <w:bCs/>
        </w:rPr>
        <w:br/>
      </w:r>
      <w:r w:rsidR="003847CB" w:rsidRPr="003847CB">
        <w:rPr>
          <w:b/>
          <w:bCs/>
        </w:rPr>
        <w:t>Unlike previous studies documenting macrogeographic clines across broad latitudinal gradients (</w:t>
      </w:r>
      <w:proofErr w:type="spellStart"/>
      <w:r w:rsidR="003847CB" w:rsidRPr="003847CB">
        <w:rPr>
          <w:b/>
          <w:bCs/>
        </w:rPr>
        <w:t>Qiao</w:t>
      </w:r>
      <w:proofErr w:type="spellEnd"/>
      <w:r w:rsidR="003847CB" w:rsidRPr="003847CB">
        <w:rPr>
          <w:b/>
          <w:bCs/>
        </w:rPr>
        <w:t xml:space="preserve"> et al., 2019), our findings show that spatial genetic partitioning (SNPs) can emerge within 3–4 years in a localized </w:t>
      </w:r>
      <w:proofErr w:type="spellStart"/>
      <w:r w:rsidR="003847CB" w:rsidRPr="003847CB">
        <w:rPr>
          <w:b/>
          <w:bCs/>
        </w:rPr>
        <w:t>estuary.</w:t>
      </w:r>
      <w:r w:rsidRPr="006B7734">
        <w:rPr>
          <w:b/>
          <w:bCs/>
        </w:rPr>
        <w:t>The</w:t>
      </w:r>
      <w:proofErr w:type="spellEnd"/>
      <w:r w:rsidRPr="006B7734">
        <w:rPr>
          <w:b/>
          <w:bCs/>
        </w:rPr>
        <w:t xml:space="preserve"> Bayesian model identified a deterministic effect of spatial position on genetic differentiation (P(E&gt;0) = 1). At this microgeographic scale, this pattern likely reflects rapid spatial sorting driven by sequential founder events and initial environmental filtering rather than prolonged isolation by distance.</w:t>
      </w:r>
    </w:p>
    <w:p w14:paraId="53549554" w14:textId="77777777" w:rsidR="004B4C10" w:rsidRPr="004B4C10" w:rsidRDefault="003847CB" w:rsidP="004B4C10">
      <w:pPr>
        <w:rPr>
          <w:rFonts w:hint="eastAsia"/>
          <w:b/>
          <w:bCs/>
        </w:rPr>
      </w:pPr>
      <w:r w:rsidRPr="003847CB">
        <w:rPr>
          <w:b/>
          <w:bCs/>
        </w:rPr>
        <w:t xml:space="preserve">Building on this genetic architecture, </w:t>
      </w:r>
      <w:proofErr w:type="spellStart"/>
      <w:r w:rsidRPr="003847CB">
        <w:rPr>
          <w:b/>
          <w:bCs/>
        </w:rPr>
        <w:t>Mfuzz</w:t>
      </w:r>
      <w:proofErr w:type="spellEnd"/>
      <w:r w:rsidRPr="003847CB">
        <w:rPr>
          <w:b/>
          <w:bCs/>
        </w:rPr>
        <w:t xml:space="preserve"> clustering and Bayesian predictions confirmed that habitat location and genetic variation </w:t>
      </w:r>
      <w:r w:rsidR="00D31200" w:rsidRPr="00D31200">
        <w:rPr>
          <w:b/>
          <w:bCs/>
        </w:rPr>
        <w:t>statistically predict</w:t>
      </w:r>
      <w:r w:rsidRPr="003847CB">
        <w:rPr>
          <w:b/>
          <w:bCs/>
        </w:rPr>
        <w:t xml:space="preserve"> transcriptomic changes, which in turn statistically mediated downstream metabolomic shifts (P(E&gt;0) = 0.997).</w:t>
      </w:r>
      <w:r w:rsidR="006B7734" w:rsidRPr="006B7734">
        <w:rPr>
          <w:b/>
          <w:bCs/>
        </w:rPr>
        <w:t>This tight linkage demonstrates that </w:t>
      </w:r>
      <w:r w:rsidR="006B7734" w:rsidRPr="006B7734">
        <w:rPr>
          <w:b/>
          <w:bCs/>
          <w:i/>
          <w:iCs/>
        </w:rPr>
        <w:t>S. alterniflora</w:t>
      </w:r>
      <w:r w:rsidR="006B7734" w:rsidRPr="006B7734">
        <w:rPr>
          <w:b/>
          <w:bCs/>
        </w:rPr>
        <w:t xml:space="preserve"> triggers a highly sensitive regulatory network to acclimate to newly colonized zones. </w:t>
      </w:r>
      <w:r w:rsidR="004B4C10" w:rsidRPr="004B4C10">
        <w:rPr>
          <w:b/>
          <w:bCs/>
        </w:rPr>
        <w:t xml:space="preserve">As local pressures shift—such as increasing density-dependent </w:t>
      </w:r>
      <w:r w:rsidR="004B4C10" w:rsidRPr="004B4C10">
        <w:rPr>
          <w:b/>
          <w:bCs/>
        </w:rPr>
        <w:lastRenderedPageBreak/>
        <w:t>shading in the core zone—the activation of functional gene categories and metabolic networks (e.g., response to hydrogen peroxide and salt stress ) allows the plants to maintain physiological homeostasis in a dynamic intertidal environment.</w:t>
      </w:r>
    </w:p>
    <w:p w14:paraId="42AAAE2B" w14:textId="6EF1965F" w:rsidR="006B7734" w:rsidRPr="006B7734" w:rsidRDefault="006B7734" w:rsidP="006B7734">
      <w:pPr>
        <w:rPr>
          <w:rFonts w:hint="eastAsia"/>
          <w:b/>
          <w:bCs/>
        </w:rPr>
      </w:pPr>
      <w:r w:rsidRPr="006B7734">
        <w:rPr>
          <w:b/>
          <w:bCs/>
        </w:rPr>
        <w:t>4.3 The decoupling of intermediate omics from whole-plant phenotypes</w:t>
      </w:r>
      <w:r w:rsidRPr="006B7734">
        <w:rPr>
          <w:b/>
          <w:bCs/>
        </w:rPr>
        <w:br/>
        <w:t xml:space="preserve">A key characteristic identified in the hierarchical model is the divergence between leaf-level molecular responses and ultimate phenotypic performance. Despite clear spatial differentiation in both omics architectures and fundamental traits (e.g., stem/leaf biomass and spikelet production), pathway coefficients translating transcriptomic and metabolomic variation into targeted growth traits were constrained (e.g., Metabolome → Leaf biomass, P(E&gt;0) = 0.212; Transcriptome → </w:t>
      </w:r>
      <w:proofErr w:type="spellStart"/>
      <w:r w:rsidRPr="006B7734">
        <w:rPr>
          <w:b/>
          <w:bCs/>
        </w:rPr>
        <w:t>Spikelets</w:t>
      </w:r>
      <w:proofErr w:type="spellEnd"/>
      <w:r w:rsidRPr="006B7734">
        <w:rPr>
          <w:b/>
          <w:bCs/>
        </w:rPr>
        <w:t>, P(E&gt;0) = 0.409).</w:t>
      </w:r>
    </w:p>
    <w:p w14:paraId="28E88D60" w14:textId="07B3EB51" w:rsidR="006B7734" w:rsidRPr="006B7734" w:rsidRDefault="003847CB" w:rsidP="006B7734">
      <w:pPr>
        <w:rPr>
          <w:rFonts w:hint="eastAsia"/>
          <w:b/>
          <w:bCs/>
        </w:rPr>
      </w:pPr>
      <w:r w:rsidRPr="003847CB">
        <w:rPr>
          <w:b/>
          <w:bCs/>
        </w:rPr>
        <w:t>This omics-phenotype decoupling can be explained by several mechanisms. First, it reflects the spatial partitioning of biological functions in clonal plants. </w:t>
      </w:r>
      <w:r w:rsidRPr="003847CB">
        <w:rPr>
          <w:b/>
          <w:bCs/>
          <w:i/>
          <w:iCs/>
        </w:rPr>
        <w:t>S. alterniflora</w:t>
      </w:r>
      <w:r w:rsidRPr="003847CB">
        <w:rPr>
          <w:b/>
          <w:bCs/>
        </w:rPr>
        <w:t xml:space="preserve"> relies on belowground rhizome networks for clonal expansion and long-term carbon storage (Liao et al., 2007). While leaves serve as reactive interfaces for immediate stress acclimation, total biomass accumulation is substantially mediated by the underground rhizome sink (Lytle &amp; Hull, 1980; </w:t>
      </w:r>
      <w:proofErr w:type="spellStart"/>
      <w:r w:rsidRPr="003847CB">
        <w:rPr>
          <w:b/>
          <w:bCs/>
        </w:rPr>
        <w:t>Geng</w:t>
      </w:r>
      <w:proofErr w:type="spellEnd"/>
      <w:r w:rsidRPr="003847CB">
        <w:rPr>
          <w:b/>
          <w:bCs/>
        </w:rPr>
        <w:t xml:space="preserve"> et al., 2021). Therefore, transient molecular adjustments in leaf tissue are not directly proportional to whole-plant structural </w:t>
      </w:r>
      <w:proofErr w:type="spellStart"/>
      <w:r w:rsidRPr="003847CB">
        <w:rPr>
          <w:b/>
          <w:bCs/>
        </w:rPr>
        <w:t>investment</w:t>
      </w:r>
      <w:r>
        <w:rPr>
          <w:rFonts w:hint="eastAsia"/>
          <w:b/>
          <w:bCs/>
        </w:rPr>
        <w:t>.</w:t>
      </w:r>
      <w:r w:rsidR="006B7734" w:rsidRPr="006B7734">
        <w:rPr>
          <w:b/>
          <w:bCs/>
        </w:rPr>
        <w:t>Second</w:t>
      </w:r>
      <w:proofErr w:type="spellEnd"/>
      <w:r w:rsidR="006B7734" w:rsidRPr="006B7734">
        <w:rPr>
          <w:b/>
          <w:bCs/>
        </w:rPr>
        <w:t>, there is a fundamental timescale mismatch: structural biomass and reproductive output are integrative, polygenic traits that accumulate over a growing season, whereas the omics profiles capture instantaneous physiological state. By buffering core biomass investments from high-frequency molecular adjustments, </w:t>
      </w:r>
      <w:r w:rsidR="006B7734" w:rsidRPr="006B7734">
        <w:rPr>
          <w:b/>
          <w:bCs/>
          <w:i/>
          <w:iCs/>
        </w:rPr>
        <w:t>S. alterniflora</w:t>
      </w:r>
      <w:r w:rsidR="006B7734" w:rsidRPr="006B7734">
        <w:rPr>
          <w:b/>
          <w:bCs/>
        </w:rPr>
        <w:t> maintains macroscopic stability despite micro-environmental volatility. Finally, structural phenotypes may be more heavily driven by direct environmental forcing, such as absolute soil nutrient availability or anoxia gradients, which bypass the baseline physiological signaling circulating in leaves.</w:t>
      </w:r>
    </w:p>
    <w:p w14:paraId="7C8468F9" w14:textId="77777777" w:rsidR="006B7734" w:rsidRPr="006B7734" w:rsidRDefault="006B7734" w:rsidP="006B7734">
      <w:pPr>
        <w:rPr>
          <w:rFonts w:hint="eastAsia"/>
          <w:b/>
          <w:bCs/>
        </w:rPr>
      </w:pPr>
      <w:r w:rsidRPr="006B7734">
        <w:rPr>
          <w:b/>
          <w:bCs/>
        </w:rPr>
        <w:t>4.4 Limitations and future directions</w:t>
      </w:r>
      <w:r w:rsidRPr="006B7734">
        <w:rPr>
          <w:b/>
          <w:bCs/>
        </w:rPr>
        <w:br/>
        <w:t xml:space="preserve">While this multidimensional approach clarifies the chronological hierarchy of microgeographic invasions, specific micro-edaphic conditions (e.g., soil salinity, nutrient quantification, and redox potential) were implicitly represented by spatial position in our models. Incorporating fine-scale biogeochemical tracking in future studies will help identify the exact abiotic parameters driving the observed genetic sorting and molecular shifts. Furthermore, integrating root and rhizome-specific omics datasets would clarify the causal linkages between belowground molecular regulation and total biomass allocation, providing a complete whole-plant </w:t>
      </w:r>
      <w:r w:rsidRPr="006B7734">
        <w:rPr>
          <w:b/>
          <w:bCs/>
        </w:rPr>
        <w:lastRenderedPageBreak/>
        <w:t>perspective.</w:t>
      </w:r>
    </w:p>
    <w:p w14:paraId="7EBC1522" w14:textId="77777777" w:rsidR="006B7734" w:rsidRPr="006B7734" w:rsidRDefault="006B7734" w:rsidP="006B7734">
      <w:pPr>
        <w:rPr>
          <w:rFonts w:hint="eastAsia"/>
          <w:b/>
          <w:bCs/>
        </w:rPr>
      </w:pPr>
      <w:r w:rsidRPr="006B7734">
        <w:rPr>
          <w:b/>
          <w:bCs/>
        </w:rPr>
        <w:t>4.5 Conclusion</w:t>
      </w:r>
      <w:r w:rsidRPr="006B7734">
        <w:rPr>
          <w:b/>
          <w:bCs/>
        </w:rPr>
        <w:br/>
        <w:t>This study tracks the evolutionary and physiological dynamics of </w:t>
      </w:r>
      <w:r w:rsidRPr="006B7734">
        <w:rPr>
          <w:b/>
          <w:bCs/>
          <w:i/>
          <w:iCs/>
        </w:rPr>
        <w:t>S. alterniflora</w:t>
      </w:r>
      <w:r w:rsidRPr="006B7734">
        <w:rPr>
          <w:b/>
          <w:bCs/>
        </w:rPr>
        <w:t xml:space="preserve"> across a continuous microgeographic </w:t>
      </w:r>
      <w:proofErr w:type="spellStart"/>
      <w:r w:rsidRPr="006B7734">
        <w:rPr>
          <w:b/>
          <w:bCs/>
        </w:rPr>
        <w:t>chronosequence</w:t>
      </w:r>
      <w:proofErr w:type="spellEnd"/>
      <w:r w:rsidRPr="006B7734">
        <w:rPr>
          <w:b/>
          <w:bCs/>
        </w:rPr>
        <w:t>. Spatial colonization history and initial genetic sorting cascade into rapid, synchronized transcriptomic and metabolomic reprogramming. However, this molecular acclimation is mathematically decoupled from ultimate structural and reproductive traits. This asynchrony highlights a modular expansion strategy, demonstrating how clonal invasive plants adjust leaf-level physiology to heterogeneous environments while buffering their cumulative growth performance.</w:t>
      </w:r>
    </w:p>
    <w:p w14:paraId="43E6B28B" w14:textId="77777777" w:rsidR="00ED62C1" w:rsidRPr="006B7734" w:rsidRDefault="00ED62C1" w:rsidP="00ED62C1">
      <w:pPr>
        <w:rPr>
          <w:rFonts w:hint="eastAsia"/>
        </w:rPr>
      </w:pPr>
    </w:p>
    <w:p w14:paraId="0C932E75" w14:textId="77777777" w:rsidR="003847CB" w:rsidRPr="003847CB" w:rsidRDefault="003847CB" w:rsidP="003847CB">
      <w:pPr>
        <w:numPr>
          <w:ilvl w:val="0"/>
          <w:numId w:val="1"/>
        </w:numPr>
        <w:rPr>
          <w:rFonts w:hint="eastAsia"/>
        </w:rPr>
      </w:pPr>
      <w:r w:rsidRPr="003847CB">
        <w:t xml:space="preserve">Andrews, S. (2010). </w:t>
      </w:r>
      <w:proofErr w:type="spellStart"/>
      <w:r w:rsidRPr="003847CB">
        <w:t>FastQC</w:t>
      </w:r>
      <w:proofErr w:type="spellEnd"/>
      <w:r w:rsidRPr="003847CB">
        <w:t>: a quality control tool for high throughput sequence data. </w:t>
      </w:r>
      <w:proofErr w:type="spellStart"/>
      <w:r w:rsidRPr="003847CB">
        <w:rPr>
          <w:i/>
          <w:iCs/>
        </w:rPr>
        <w:t>Babraham</w:t>
      </w:r>
      <w:proofErr w:type="spellEnd"/>
      <w:r w:rsidRPr="003847CB">
        <w:rPr>
          <w:i/>
          <w:iCs/>
        </w:rPr>
        <w:t xml:space="preserve"> Bioinformatics</w:t>
      </w:r>
      <w:r w:rsidRPr="003847CB">
        <w:t>.</w:t>
      </w:r>
    </w:p>
    <w:p w14:paraId="0569E8EB" w14:textId="77777777" w:rsidR="003847CB" w:rsidRPr="003847CB" w:rsidRDefault="003847CB" w:rsidP="003847CB">
      <w:pPr>
        <w:numPr>
          <w:ilvl w:val="0"/>
          <w:numId w:val="1"/>
        </w:numPr>
        <w:rPr>
          <w:rFonts w:hint="eastAsia"/>
        </w:rPr>
      </w:pPr>
      <w:r w:rsidRPr="003847CB">
        <w:t xml:space="preserve">Blum, M., Chang, H. Y., </w:t>
      </w:r>
      <w:proofErr w:type="spellStart"/>
      <w:r w:rsidRPr="003847CB">
        <w:t>Chuguransky</w:t>
      </w:r>
      <w:proofErr w:type="spellEnd"/>
      <w:r w:rsidRPr="003847CB">
        <w:t xml:space="preserve">, S., ... &amp; Finn, R. D. (2021). The </w:t>
      </w:r>
      <w:proofErr w:type="spellStart"/>
      <w:r w:rsidRPr="003847CB">
        <w:t>InterPro</w:t>
      </w:r>
      <w:proofErr w:type="spellEnd"/>
      <w:r w:rsidRPr="003847CB">
        <w:t xml:space="preserve"> protein families and domains database: 20 years on. </w:t>
      </w:r>
      <w:r w:rsidRPr="003847CB">
        <w:rPr>
          <w:i/>
          <w:iCs/>
        </w:rPr>
        <w:t>Nucleic Acids Research</w:t>
      </w:r>
      <w:r w:rsidRPr="003847CB">
        <w:t>, 49(D1), D344-D354.</w:t>
      </w:r>
    </w:p>
    <w:p w14:paraId="4B192B81" w14:textId="77777777" w:rsidR="003847CB" w:rsidRPr="003847CB" w:rsidRDefault="003847CB" w:rsidP="003847CB">
      <w:pPr>
        <w:numPr>
          <w:ilvl w:val="0"/>
          <w:numId w:val="1"/>
        </w:numPr>
        <w:rPr>
          <w:rFonts w:hint="eastAsia"/>
        </w:rPr>
      </w:pPr>
      <w:r w:rsidRPr="003847CB">
        <w:t>Chang, C. C., Chow, C. C., Tellier, L. C. A. M., Vattikuti, S., Purcell, S. M., &amp; Lee, J. J. (2015). Second-generation PLINK: rising to the challenge of larger and richer datasets. </w:t>
      </w:r>
      <w:proofErr w:type="spellStart"/>
      <w:r w:rsidRPr="003847CB">
        <w:rPr>
          <w:i/>
          <w:iCs/>
        </w:rPr>
        <w:t>GigaScience</w:t>
      </w:r>
      <w:proofErr w:type="spellEnd"/>
      <w:r w:rsidRPr="003847CB">
        <w:t>, 4, 7.</w:t>
      </w:r>
    </w:p>
    <w:p w14:paraId="1FA6CD2E" w14:textId="77777777" w:rsidR="003847CB" w:rsidRPr="003847CB" w:rsidRDefault="003847CB" w:rsidP="003847CB">
      <w:pPr>
        <w:numPr>
          <w:ilvl w:val="0"/>
          <w:numId w:val="1"/>
        </w:numPr>
        <w:rPr>
          <w:rFonts w:hint="eastAsia"/>
        </w:rPr>
      </w:pPr>
      <w:proofErr w:type="spellStart"/>
      <w:r w:rsidRPr="003847CB">
        <w:t>Danecek</w:t>
      </w:r>
      <w:proofErr w:type="spellEnd"/>
      <w:r w:rsidRPr="003847CB">
        <w:t xml:space="preserve">, P., </w:t>
      </w:r>
      <w:proofErr w:type="spellStart"/>
      <w:r w:rsidRPr="003847CB">
        <w:t>Auton</w:t>
      </w:r>
      <w:proofErr w:type="spellEnd"/>
      <w:r w:rsidRPr="003847CB">
        <w:t xml:space="preserve">, A., </w:t>
      </w:r>
      <w:proofErr w:type="spellStart"/>
      <w:r w:rsidRPr="003847CB">
        <w:t>Abecasis</w:t>
      </w:r>
      <w:proofErr w:type="spellEnd"/>
      <w:r w:rsidRPr="003847CB">
        <w:t xml:space="preserve">, G., ... &amp; 1000 Genomes Project Analysis Group. (2011). The variant call format and </w:t>
      </w:r>
      <w:proofErr w:type="spellStart"/>
      <w:r w:rsidRPr="003847CB">
        <w:t>VCFtools</w:t>
      </w:r>
      <w:proofErr w:type="spellEnd"/>
      <w:r w:rsidRPr="003847CB">
        <w:t>. </w:t>
      </w:r>
      <w:r w:rsidRPr="003847CB">
        <w:rPr>
          <w:i/>
          <w:iCs/>
        </w:rPr>
        <w:t>Bioinformatics</w:t>
      </w:r>
      <w:r w:rsidRPr="003847CB">
        <w:t>, 27(15), 2156–2158.</w:t>
      </w:r>
    </w:p>
    <w:p w14:paraId="5D1A24F7" w14:textId="77777777" w:rsidR="003847CB" w:rsidRPr="003847CB" w:rsidRDefault="003847CB" w:rsidP="003847CB">
      <w:pPr>
        <w:numPr>
          <w:ilvl w:val="0"/>
          <w:numId w:val="1"/>
        </w:numPr>
        <w:rPr>
          <w:rFonts w:hint="eastAsia"/>
        </w:rPr>
      </w:pPr>
      <w:r w:rsidRPr="003847CB">
        <w:t>Dlugosch, K. M., &amp; Parker, I. M. (2008). Founding events in species invasions and their genetic consequences. </w:t>
      </w:r>
      <w:r w:rsidRPr="003847CB">
        <w:rPr>
          <w:i/>
          <w:iCs/>
        </w:rPr>
        <w:t>Evolution</w:t>
      </w:r>
      <w:r w:rsidRPr="003847CB">
        <w:t>, 62(2), 431-449.</w:t>
      </w:r>
    </w:p>
    <w:p w14:paraId="4F090DF7" w14:textId="77777777" w:rsidR="003847CB" w:rsidRPr="003847CB" w:rsidRDefault="003847CB" w:rsidP="003847CB">
      <w:pPr>
        <w:numPr>
          <w:ilvl w:val="0"/>
          <w:numId w:val="1"/>
        </w:numPr>
        <w:rPr>
          <w:rFonts w:hint="eastAsia"/>
        </w:rPr>
      </w:pPr>
      <w:proofErr w:type="spellStart"/>
      <w:r w:rsidRPr="003847CB">
        <w:t>Dobin</w:t>
      </w:r>
      <w:proofErr w:type="spellEnd"/>
      <w:r w:rsidRPr="003847CB">
        <w:t xml:space="preserve">, A., Davis, C. A., Schlesinger, F., </w:t>
      </w:r>
      <w:proofErr w:type="spellStart"/>
      <w:r w:rsidRPr="003847CB">
        <w:t>Drenkow</w:t>
      </w:r>
      <w:proofErr w:type="spellEnd"/>
      <w:r w:rsidRPr="003847CB">
        <w:t xml:space="preserve">, J., Zaleski, C., Jha, S., </w:t>
      </w:r>
      <w:proofErr w:type="spellStart"/>
      <w:r w:rsidRPr="003847CB">
        <w:t>Batut</w:t>
      </w:r>
      <w:proofErr w:type="spellEnd"/>
      <w:r w:rsidRPr="003847CB">
        <w:t xml:space="preserve">, P., </w:t>
      </w:r>
      <w:proofErr w:type="spellStart"/>
      <w:r w:rsidRPr="003847CB">
        <w:t>Chaisson</w:t>
      </w:r>
      <w:proofErr w:type="spellEnd"/>
      <w:r w:rsidRPr="003847CB">
        <w:t xml:space="preserve">, M., &amp; </w:t>
      </w:r>
      <w:proofErr w:type="spellStart"/>
      <w:r w:rsidRPr="003847CB">
        <w:t>Gingeras</w:t>
      </w:r>
      <w:proofErr w:type="spellEnd"/>
      <w:r w:rsidRPr="003847CB">
        <w:t>, T. R. (2013). STAR: ultrafast universal RNA-seq aligner. </w:t>
      </w:r>
      <w:r w:rsidRPr="003847CB">
        <w:rPr>
          <w:i/>
          <w:iCs/>
        </w:rPr>
        <w:t>Bioinformatics</w:t>
      </w:r>
      <w:r w:rsidRPr="003847CB">
        <w:t>, 29(1), 15–21.</w:t>
      </w:r>
    </w:p>
    <w:p w14:paraId="2969AEB3" w14:textId="77777777" w:rsidR="003847CB" w:rsidRPr="003847CB" w:rsidRDefault="003847CB" w:rsidP="003847CB">
      <w:pPr>
        <w:numPr>
          <w:ilvl w:val="0"/>
          <w:numId w:val="1"/>
        </w:numPr>
        <w:rPr>
          <w:rFonts w:hint="eastAsia"/>
        </w:rPr>
      </w:pPr>
      <w:proofErr w:type="spellStart"/>
      <w:r w:rsidRPr="003847CB">
        <w:t>Dührkop</w:t>
      </w:r>
      <w:proofErr w:type="spellEnd"/>
      <w:r w:rsidRPr="003847CB">
        <w:t xml:space="preserve">, K., </w:t>
      </w:r>
      <w:proofErr w:type="spellStart"/>
      <w:r w:rsidRPr="003847CB">
        <w:t>Fleischauer</w:t>
      </w:r>
      <w:proofErr w:type="spellEnd"/>
      <w:r w:rsidRPr="003847CB">
        <w:t xml:space="preserve">, M., Ludwig, M., Aksenov, A. A., </w:t>
      </w:r>
      <w:proofErr w:type="spellStart"/>
      <w:r w:rsidRPr="003847CB">
        <w:t>Melnik</w:t>
      </w:r>
      <w:proofErr w:type="spellEnd"/>
      <w:r w:rsidRPr="003847CB">
        <w:t xml:space="preserve">, A. V., </w:t>
      </w:r>
      <w:proofErr w:type="spellStart"/>
      <w:r w:rsidRPr="003847CB">
        <w:t>Meusel</w:t>
      </w:r>
      <w:proofErr w:type="spellEnd"/>
      <w:r w:rsidRPr="003847CB">
        <w:t xml:space="preserve">, M., </w:t>
      </w:r>
      <w:proofErr w:type="spellStart"/>
      <w:r w:rsidRPr="003847CB">
        <w:t>Dorrestein</w:t>
      </w:r>
      <w:proofErr w:type="spellEnd"/>
      <w:r w:rsidRPr="003847CB">
        <w:t xml:space="preserve">, P. C., </w:t>
      </w:r>
      <w:proofErr w:type="spellStart"/>
      <w:r w:rsidRPr="003847CB">
        <w:t>Rousu</w:t>
      </w:r>
      <w:proofErr w:type="spellEnd"/>
      <w:r w:rsidRPr="003847CB">
        <w:t xml:space="preserve">, J., &amp; </w:t>
      </w:r>
      <w:proofErr w:type="spellStart"/>
      <w:r w:rsidRPr="003847CB">
        <w:t>Böcker</w:t>
      </w:r>
      <w:proofErr w:type="spellEnd"/>
      <w:r w:rsidRPr="003847CB">
        <w:t>, S. (2019). SIRIUS 4: a rapid tool for turning tandem mass spectra into metabolite structure information. </w:t>
      </w:r>
      <w:r w:rsidRPr="003847CB">
        <w:rPr>
          <w:i/>
          <w:iCs/>
        </w:rPr>
        <w:t>Nature Methods</w:t>
      </w:r>
      <w:r w:rsidRPr="003847CB">
        <w:t>, 16(4), 299–302.</w:t>
      </w:r>
    </w:p>
    <w:p w14:paraId="565FC711" w14:textId="77777777" w:rsidR="003847CB" w:rsidRPr="003847CB" w:rsidRDefault="003847CB" w:rsidP="003847CB">
      <w:pPr>
        <w:numPr>
          <w:ilvl w:val="0"/>
          <w:numId w:val="1"/>
        </w:numPr>
        <w:rPr>
          <w:rFonts w:hint="eastAsia"/>
        </w:rPr>
      </w:pPr>
      <w:proofErr w:type="spellStart"/>
      <w:r w:rsidRPr="003847CB">
        <w:t>Geng</w:t>
      </w:r>
      <w:proofErr w:type="spellEnd"/>
      <w:r w:rsidRPr="003847CB">
        <w:t>, Y., et al. (2021). Biomass allocation patterns of </w:t>
      </w:r>
      <w:r w:rsidRPr="003847CB">
        <w:rPr>
          <w:i/>
          <w:iCs/>
        </w:rPr>
        <w:t>Spartina alterniflora</w:t>
      </w:r>
      <w:r w:rsidRPr="003847CB">
        <w:t> invading coastal wetlands. </w:t>
      </w:r>
      <w:r w:rsidRPr="003847CB">
        <w:rPr>
          <w:i/>
          <w:iCs/>
        </w:rPr>
        <w:t>Estuarine, Coastal and Shelf Science</w:t>
      </w:r>
      <w:r w:rsidRPr="003847CB">
        <w:t>, 261, 107530.</w:t>
      </w:r>
    </w:p>
    <w:p w14:paraId="3364C04D" w14:textId="77777777" w:rsidR="003847CB" w:rsidRPr="003847CB" w:rsidRDefault="003847CB" w:rsidP="003847CB">
      <w:pPr>
        <w:numPr>
          <w:ilvl w:val="0"/>
          <w:numId w:val="1"/>
        </w:numPr>
        <w:rPr>
          <w:rFonts w:hint="eastAsia"/>
        </w:rPr>
      </w:pPr>
      <w:proofErr w:type="spellStart"/>
      <w:r w:rsidRPr="003847CB">
        <w:lastRenderedPageBreak/>
        <w:t>Ghalambor</w:t>
      </w:r>
      <w:proofErr w:type="spellEnd"/>
      <w:r w:rsidRPr="003847CB">
        <w:t>, C. K., McKay, J. K., Carroll, S. P., &amp; Reznick, D. N. (2007). Adaptive versus non-adaptive phenotypic plasticity and the potential for contemporary adaptation in new environments. </w:t>
      </w:r>
      <w:r w:rsidRPr="003847CB">
        <w:rPr>
          <w:i/>
          <w:iCs/>
        </w:rPr>
        <w:t>Functional Ecology</w:t>
      </w:r>
      <w:r w:rsidRPr="003847CB">
        <w:t>, 21(3), 394-407.</w:t>
      </w:r>
    </w:p>
    <w:p w14:paraId="3B321DBE" w14:textId="77777777" w:rsidR="003847CB" w:rsidRPr="003847CB" w:rsidRDefault="003847CB" w:rsidP="003847CB">
      <w:pPr>
        <w:numPr>
          <w:ilvl w:val="0"/>
          <w:numId w:val="1"/>
        </w:numPr>
        <w:rPr>
          <w:rFonts w:hint="eastAsia"/>
        </w:rPr>
      </w:pPr>
      <w:r w:rsidRPr="003847CB">
        <w:t xml:space="preserve">Kumar, L., &amp; </w:t>
      </w:r>
      <w:proofErr w:type="spellStart"/>
      <w:r w:rsidRPr="003847CB">
        <w:t>Futschik</w:t>
      </w:r>
      <w:proofErr w:type="spellEnd"/>
      <w:r w:rsidRPr="003847CB">
        <w:t xml:space="preserve">, M. E. (2007). </w:t>
      </w:r>
      <w:proofErr w:type="spellStart"/>
      <w:r w:rsidRPr="003847CB">
        <w:t>Mfuzz</w:t>
      </w:r>
      <w:proofErr w:type="spellEnd"/>
      <w:r w:rsidRPr="003847CB">
        <w:t>: a software package for soft clustering of microarray data. </w:t>
      </w:r>
      <w:r w:rsidRPr="003847CB">
        <w:rPr>
          <w:i/>
          <w:iCs/>
        </w:rPr>
        <w:t>Bioinformation</w:t>
      </w:r>
      <w:r w:rsidRPr="003847CB">
        <w:t>, 2(1), 5–7.</w:t>
      </w:r>
    </w:p>
    <w:p w14:paraId="0CABDEB7" w14:textId="77777777" w:rsidR="003847CB" w:rsidRPr="003847CB" w:rsidRDefault="003847CB" w:rsidP="003847CB">
      <w:pPr>
        <w:numPr>
          <w:ilvl w:val="0"/>
          <w:numId w:val="1"/>
        </w:numPr>
        <w:rPr>
          <w:rFonts w:hint="eastAsia"/>
        </w:rPr>
      </w:pPr>
      <w:r w:rsidRPr="003847CB">
        <w:t xml:space="preserve">Li, H., </w:t>
      </w:r>
      <w:proofErr w:type="spellStart"/>
      <w:r w:rsidRPr="003847CB">
        <w:t>Handsaker</w:t>
      </w:r>
      <w:proofErr w:type="spellEnd"/>
      <w:r w:rsidRPr="003847CB">
        <w:t xml:space="preserve">, B., </w:t>
      </w:r>
      <w:proofErr w:type="spellStart"/>
      <w:r w:rsidRPr="003847CB">
        <w:t>Wysoker</w:t>
      </w:r>
      <w:proofErr w:type="spellEnd"/>
      <w:r w:rsidRPr="003847CB">
        <w:t xml:space="preserve">, A., Fennell, T., Ruan, J., Homer, N., Marth, G., </w:t>
      </w:r>
      <w:proofErr w:type="spellStart"/>
      <w:r w:rsidRPr="003847CB">
        <w:t>Abecasis</w:t>
      </w:r>
      <w:proofErr w:type="spellEnd"/>
      <w:r w:rsidRPr="003847CB">
        <w:t xml:space="preserve">, G., &amp; Durbin, R. (2009a). The Sequence Alignment/Map format and </w:t>
      </w:r>
      <w:proofErr w:type="spellStart"/>
      <w:r w:rsidRPr="003847CB">
        <w:t>SAMtools</w:t>
      </w:r>
      <w:proofErr w:type="spellEnd"/>
      <w:r w:rsidRPr="003847CB">
        <w:t>. </w:t>
      </w:r>
      <w:r w:rsidRPr="003847CB">
        <w:rPr>
          <w:i/>
          <w:iCs/>
        </w:rPr>
        <w:t>Bioinformatics</w:t>
      </w:r>
      <w:r w:rsidRPr="003847CB">
        <w:t>, 25(16), 2078-2079.</w:t>
      </w:r>
    </w:p>
    <w:p w14:paraId="388BBA0B" w14:textId="77777777" w:rsidR="003847CB" w:rsidRPr="003847CB" w:rsidRDefault="003847CB" w:rsidP="003847CB">
      <w:pPr>
        <w:numPr>
          <w:ilvl w:val="0"/>
          <w:numId w:val="1"/>
        </w:numPr>
        <w:rPr>
          <w:rFonts w:hint="eastAsia"/>
        </w:rPr>
      </w:pPr>
      <w:r w:rsidRPr="003847CB">
        <w:t xml:space="preserve">Liao, C., Luo, Y., Jiang, L., </w:t>
      </w:r>
      <w:proofErr w:type="spellStart"/>
      <w:r w:rsidRPr="003847CB">
        <w:t>Kuang</w:t>
      </w:r>
      <w:proofErr w:type="spellEnd"/>
      <w:r w:rsidRPr="003847CB">
        <w:t>, X., Markley, L. R., &amp; Shen, Z. (2007). Biomass and carbon dynamics of </w:t>
      </w:r>
      <w:r w:rsidRPr="003847CB">
        <w:rPr>
          <w:i/>
          <w:iCs/>
        </w:rPr>
        <w:t>Spartina alterniflora</w:t>
      </w:r>
      <w:r w:rsidRPr="003847CB">
        <w:t> invading coastal wetlands in the Yangtze Estuary, China. </w:t>
      </w:r>
      <w:r w:rsidRPr="003847CB">
        <w:rPr>
          <w:i/>
          <w:iCs/>
        </w:rPr>
        <w:t>Science of The Total Environment</w:t>
      </w:r>
      <w:r w:rsidRPr="003847CB">
        <w:t>, 376(1-3), 5-15.</w:t>
      </w:r>
    </w:p>
    <w:p w14:paraId="636D0E3D" w14:textId="77777777" w:rsidR="003847CB" w:rsidRPr="003847CB" w:rsidRDefault="003847CB" w:rsidP="003847CB">
      <w:pPr>
        <w:numPr>
          <w:ilvl w:val="0"/>
          <w:numId w:val="1"/>
        </w:numPr>
        <w:rPr>
          <w:rFonts w:hint="eastAsia"/>
        </w:rPr>
      </w:pPr>
      <w:r w:rsidRPr="003847CB">
        <w:t xml:space="preserve">Liao, Y., Smyth, G. K., &amp; Shi, W. (2014). </w:t>
      </w:r>
      <w:proofErr w:type="spellStart"/>
      <w:r w:rsidRPr="003847CB">
        <w:t>featureCounts</w:t>
      </w:r>
      <w:proofErr w:type="spellEnd"/>
      <w:r w:rsidRPr="003847CB">
        <w:t>: an efficient general purpose program for assigning sequence reads to genomic features. </w:t>
      </w:r>
      <w:r w:rsidRPr="003847CB">
        <w:rPr>
          <w:i/>
          <w:iCs/>
        </w:rPr>
        <w:t>Bioinformatics</w:t>
      </w:r>
      <w:r w:rsidRPr="003847CB">
        <w:t>, 30(7), 923–930.</w:t>
      </w:r>
    </w:p>
    <w:p w14:paraId="69C8169F" w14:textId="77777777" w:rsidR="003847CB" w:rsidRPr="003847CB" w:rsidRDefault="003847CB" w:rsidP="003847CB">
      <w:pPr>
        <w:numPr>
          <w:ilvl w:val="0"/>
          <w:numId w:val="1"/>
        </w:numPr>
        <w:rPr>
          <w:rFonts w:hint="eastAsia"/>
        </w:rPr>
      </w:pPr>
      <w:r w:rsidRPr="003847CB">
        <w:t>Love, M. I., Huber, W., &amp; Anders, S. (2014). Moderated estimation of fold change and dispersion for RNA-seq data with DESeq2. </w:t>
      </w:r>
      <w:r w:rsidRPr="003847CB">
        <w:rPr>
          <w:i/>
          <w:iCs/>
        </w:rPr>
        <w:t>Genome Biology</w:t>
      </w:r>
      <w:r w:rsidRPr="003847CB">
        <w:t>, 15(12), 550.</w:t>
      </w:r>
    </w:p>
    <w:p w14:paraId="3C18B125" w14:textId="77777777" w:rsidR="003847CB" w:rsidRPr="003847CB" w:rsidRDefault="003847CB" w:rsidP="003847CB">
      <w:pPr>
        <w:numPr>
          <w:ilvl w:val="0"/>
          <w:numId w:val="1"/>
        </w:numPr>
        <w:rPr>
          <w:rFonts w:hint="eastAsia"/>
        </w:rPr>
      </w:pPr>
      <w:r w:rsidRPr="003847CB">
        <w:t xml:space="preserve">Lytle, R. W., &amp; Hull, R. J. (1980). </w:t>
      </w:r>
      <w:proofErr w:type="spellStart"/>
      <w:r w:rsidRPr="003847CB">
        <w:t>Photoassimilate</w:t>
      </w:r>
      <w:proofErr w:type="spellEnd"/>
      <w:r w:rsidRPr="003847CB">
        <w:t xml:space="preserve"> distribution in </w:t>
      </w:r>
      <w:r w:rsidRPr="003847CB">
        <w:rPr>
          <w:i/>
          <w:iCs/>
        </w:rPr>
        <w:t>Spartina alterniflora</w:t>
      </w:r>
      <w:r w:rsidRPr="003847CB">
        <w:t> Loisel. </w:t>
      </w:r>
      <w:r w:rsidRPr="003847CB">
        <w:rPr>
          <w:i/>
          <w:iCs/>
        </w:rPr>
        <w:t>Agronomy Journal</w:t>
      </w:r>
      <w:r w:rsidRPr="003847CB">
        <w:t>, 72(6), 933-938.</w:t>
      </w:r>
    </w:p>
    <w:p w14:paraId="1A50BB0D" w14:textId="77777777" w:rsidR="003847CB" w:rsidRPr="003847CB" w:rsidRDefault="003847CB" w:rsidP="003847CB">
      <w:pPr>
        <w:numPr>
          <w:ilvl w:val="0"/>
          <w:numId w:val="1"/>
        </w:numPr>
        <w:rPr>
          <w:rFonts w:hint="eastAsia"/>
        </w:rPr>
      </w:pPr>
      <w:r w:rsidRPr="003847CB">
        <w:t xml:space="preserve">McKenna, A., Hanna, M., Banks, E., </w:t>
      </w:r>
      <w:proofErr w:type="spellStart"/>
      <w:r w:rsidRPr="003847CB">
        <w:t>Sivachenko</w:t>
      </w:r>
      <w:proofErr w:type="spellEnd"/>
      <w:r w:rsidRPr="003847CB">
        <w:t xml:space="preserve">, A., </w:t>
      </w:r>
      <w:proofErr w:type="spellStart"/>
      <w:r w:rsidRPr="003847CB">
        <w:t>Cibulskis</w:t>
      </w:r>
      <w:proofErr w:type="spellEnd"/>
      <w:r w:rsidRPr="003847CB">
        <w:t xml:space="preserve">, K., </w:t>
      </w:r>
      <w:proofErr w:type="spellStart"/>
      <w:r w:rsidRPr="003847CB">
        <w:t>Kernytsky</w:t>
      </w:r>
      <w:proofErr w:type="spellEnd"/>
      <w:r w:rsidRPr="003847CB">
        <w:t xml:space="preserve">, A., </w:t>
      </w:r>
      <w:proofErr w:type="spellStart"/>
      <w:r w:rsidRPr="003847CB">
        <w:t>Garimella</w:t>
      </w:r>
      <w:proofErr w:type="spellEnd"/>
      <w:r w:rsidRPr="003847CB">
        <w:t xml:space="preserve">, K., </w:t>
      </w:r>
      <w:proofErr w:type="spellStart"/>
      <w:r w:rsidRPr="003847CB">
        <w:t>Altshuler</w:t>
      </w:r>
      <w:proofErr w:type="spellEnd"/>
      <w:r w:rsidRPr="003847CB">
        <w:t xml:space="preserve">, D., Gabriel, S., Daly, M., &amp; </w:t>
      </w:r>
      <w:proofErr w:type="spellStart"/>
      <w:r w:rsidRPr="003847CB">
        <w:t>DePristo</w:t>
      </w:r>
      <w:proofErr w:type="spellEnd"/>
      <w:r w:rsidRPr="003847CB">
        <w:t>, M. A. (2010). The Genome Analysis Toolkit: a MapReduce framework for analyzing next-generation DNA sequencing data. </w:t>
      </w:r>
      <w:r w:rsidRPr="003847CB">
        <w:rPr>
          <w:i/>
          <w:iCs/>
        </w:rPr>
        <w:t>Genome Research</w:t>
      </w:r>
      <w:r w:rsidRPr="003847CB">
        <w:t>, 20(9), 1297–1303.</w:t>
      </w:r>
    </w:p>
    <w:p w14:paraId="262496B3" w14:textId="77777777" w:rsidR="003847CB" w:rsidRPr="003847CB" w:rsidRDefault="003847CB" w:rsidP="003847CB">
      <w:pPr>
        <w:numPr>
          <w:ilvl w:val="0"/>
          <w:numId w:val="1"/>
        </w:numPr>
        <w:rPr>
          <w:rFonts w:hint="eastAsia"/>
        </w:rPr>
      </w:pPr>
      <w:r w:rsidRPr="003847CB">
        <w:t>Mendelssohn, I. A., &amp; Morris, J. T. (2000). Eco-physiological controls on the productivity of </w:t>
      </w:r>
      <w:r w:rsidRPr="003847CB">
        <w:rPr>
          <w:i/>
          <w:iCs/>
        </w:rPr>
        <w:t>Spartina alterniflora</w:t>
      </w:r>
      <w:r w:rsidRPr="003847CB">
        <w:t> Loisel. In </w:t>
      </w:r>
      <w:r w:rsidRPr="003847CB">
        <w:rPr>
          <w:i/>
          <w:iCs/>
        </w:rPr>
        <w:t>Concepts and controversies in tidal marsh ecology</w:t>
      </w:r>
      <w:r w:rsidRPr="003847CB">
        <w:t> (pp. 59-80). Springer.</w:t>
      </w:r>
    </w:p>
    <w:p w14:paraId="64B6149C" w14:textId="77777777" w:rsidR="003847CB" w:rsidRPr="003847CB" w:rsidRDefault="003847CB" w:rsidP="003847CB">
      <w:pPr>
        <w:numPr>
          <w:ilvl w:val="0"/>
          <w:numId w:val="1"/>
        </w:numPr>
        <w:rPr>
          <w:rFonts w:hint="eastAsia"/>
        </w:rPr>
      </w:pPr>
      <w:r w:rsidRPr="003847CB">
        <w:t>Nicotra, A. B., Atkin, O. K., Bonser, S. P., ... &amp; Valladares, F. (2010). Plant phenotypic plasticity in a changing climate. </w:t>
      </w:r>
      <w:r w:rsidRPr="003847CB">
        <w:rPr>
          <w:i/>
          <w:iCs/>
        </w:rPr>
        <w:t>Trends in Plant Science</w:t>
      </w:r>
      <w:r w:rsidRPr="003847CB">
        <w:t>, 15(12), 684-692.</w:t>
      </w:r>
    </w:p>
    <w:p w14:paraId="38419EBB" w14:textId="77777777" w:rsidR="003847CB" w:rsidRPr="003847CB" w:rsidRDefault="003847CB" w:rsidP="003847CB">
      <w:pPr>
        <w:numPr>
          <w:ilvl w:val="0"/>
          <w:numId w:val="1"/>
        </w:numPr>
        <w:rPr>
          <w:rFonts w:hint="eastAsia"/>
        </w:rPr>
      </w:pPr>
      <w:r w:rsidRPr="003847CB">
        <w:t xml:space="preserve">Pang, Z., Zhou, G., Ewald, J., Chang, L., </w:t>
      </w:r>
      <w:proofErr w:type="spellStart"/>
      <w:r w:rsidRPr="003847CB">
        <w:t>Hacariz</w:t>
      </w:r>
      <w:proofErr w:type="spellEnd"/>
      <w:r w:rsidRPr="003847CB">
        <w:t xml:space="preserve">, O., Basu, N., &amp; Xia, J. (2021). Using </w:t>
      </w:r>
      <w:proofErr w:type="spellStart"/>
      <w:r w:rsidRPr="003847CB">
        <w:t>MetaboAnalyst</w:t>
      </w:r>
      <w:proofErr w:type="spellEnd"/>
      <w:r w:rsidRPr="003847CB">
        <w:t xml:space="preserve"> 5.0 for LC–HRMS spectra processing, multi-omics integration and covariate adjustment of global metabolomics data. </w:t>
      </w:r>
      <w:r w:rsidRPr="003847CB">
        <w:rPr>
          <w:i/>
          <w:iCs/>
        </w:rPr>
        <w:t>Nature Protocols</w:t>
      </w:r>
      <w:r w:rsidRPr="003847CB">
        <w:t>, 17, 1735–1761.</w:t>
      </w:r>
    </w:p>
    <w:p w14:paraId="487341A7" w14:textId="77777777" w:rsidR="003847CB" w:rsidRPr="003847CB" w:rsidRDefault="003847CB" w:rsidP="003847CB">
      <w:pPr>
        <w:numPr>
          <w:ilvl w:val="0"/>
          <w:numId w:val="1"/>
        </w:numPr>
        <w:rPr>
          <w:rFonts w:hint="eastAsia"/>
        </w:rPr>
      </w:pPr>
      <w:proofErr w:type="spellStart"/>
      <w:r w:rsidRPr="003847CB">
        <w:t>Pazhamala</w:t>
      </w:r>
      <w:proofErr w:type="spellEnd"/>
      <w:r w:rsidRPr="003847CB">
        <w:t xml:space="preserve">, L. T., </w:t>
      </w:r>
      <w:proofErr w:type="spellStart"/>
      <w:r w:rsidRPr="003847CB">
        <w:t>Kudapa</w:t>
      </w:r>
      <w:proofErr w:type="spellEnd"/>
      <w:r w:rsidRPr="003847CB">
        <w:t xml:space="preserve">, H., </w:t>
      </w:r>
      <w:proofErr w:type="spellStart"/>
      <w:r w:rsidRPr="003847CB">
        <w:t>Weckwerth</w:t>
      </w:r>
      <w:proofErr w:type="spellEnd"/>
      <w:r w:rsidRPr="003847CB">
        <w:t xml:space="preserve">, W., Millar, A. H., &amp; Varshney, R. K. </w:t>
      </w:r>
      <w:r w:rsidRPr="003847CB">
        <w:lastRenderedPageBreak/>
        <w:t>(2021). Systems biology in crop improvement. </w:t>
      </w:r>
      <w:r w:rsidRPr="003847CB">
        <w:rPr>
          <w:i/>
          <w:iCs/>
        </w:rPr>
        <w:t>Plant Physiology</w:t>
      </w:r>
      <w:r w:rsidRPr="003847CB">
        <w:t>, 185(1), 34-50.</w:t>
      </w:r>
    </w:p>
    <w:p w14:paraId="08AA75B8" w14:textId="77777777" w:rsidR="003847CB" w:rsidRPr="003847CB" w:rsidRDefault="003847CB" w:rsidP="003847CB">
      <w:pPr>
        <w:numPr>
          <w:ilvl w:val="0"/>
          <w:numId w:val="1"/>
        </w:numPr>
        <w:rPr>
          <w:rFonts w:hint="eastAsia"/>
        </w:rPr>
      </w:pPr>
      <w:proofErr w:type="spellStart"/>
      <w:r w:rsidRPr="003847CB">
        <w:t>Pennings</w:t>
      </w:r>
      <w:proofErr w:type="spellEnd"/>
      <w:r w:rsidRPr="003847CB">
        <w:t xml:space="preserve">, S. C., Grant, M. B., &amp; </w:t>
      </w:r>
      <w:proofErr w:type="spellStart"/>
      <w:r w:rsidRPr="003847CB">
        <w:t>Bertness</w:t>
      </w:r>
      <w:proofErr w:type="spellEnd"/>
      <w:r w:rsidRPr="003847CB">
        <w:t>, M. D. (2005). Plant zonation in low-latitude salt marshes: disentangling the roles of flooding, salinity and competition. </w:t>
      </w:r>
      <w:r w:rsidRPr="003847CB">
        <w:rPr>
          <w:i/>
          <w:iCs/>
        </w:rPr>
        <w:t>Journal of Ecology</w:t>
      </w:r>
      <w:r w:rsidRPr="003847CB">
        <w:t>, 93(1), 159-167.</w:t>
      </w:r>
    </w:p>
    <w:p w14:paraId="0E72C35A" w14:textId="77777777" w:rsidR="003847CB" w:rsidRPr="003847CB" w:rsidRDefault="003847CB" w:rsidP="003847CB">
      <w:pPr>
        <w:numPr>
          <w:ilvl w:val="0"/>
          <w:numId w:val="1"/>
        </w:numPr>
        <w:rPr>
          <w:rFonts w:hint="eastAsia"/>
        </w:rPr>
      </w:pPr>
      <w:r w:rsidRPr="003847CB">
        <w:t>Purcell, S., Neale, B., Todd-Brown, K., Thomas, L., Ferreira, M. A., Bender, D., ... &amp; Sham, P. C. (2007). PLINK: a tool set for whole-genome association and population-based linkage analyses. </w:t>
      </w:r>
      <w:r w:rsidRPr="003847CB">
        <w:rPr>
          <w:i/>
          <w:iCs/>
        </w:rPr>
        <w:t>The American Journal of Human Genetics</w:t>
      </w:r>
      <w:r w:rsidRPr="003847CB">
        <w:t>, 81(3), 559-575.</w:t>
      </w:r>
    </w:p>
    <w:p w14:paraId="63BD0D50" w14:textId="77777777" w:rsidR="003847CB" w:rsidRPr="003847CB" w:rsidRDefault="003847CB" w:rsidP="003847CB">
      <w:pPr>
        <w:numPr>
          <w:ilvl w:val="0"/>
          <w:numId w:val="1"/>
        </w:numPr>
        <w:rPr>
          <w:rFonts w:hint="eastAsia"/>
        </w:rPr>
      </w:pPr>
      <w:proofErr w:type="spellStart"/>
      <w:r w:rsidRPr="003847CB">
        <w:t>Qiao</w:t>
      </w:r>
      <w:proofErr w:type="spellEnd"/>
      <w:r w:rsidRPr="003847CB">
        <w:t>, H., et al. (2019). Rapid adaptation of the invasive salt marsh weed </w:t>
      </w:r>
      <w:r w:rsidRPr="003847CB">
        <w:rPr>
          <w:i/>
          <w:iCs/>
        </w:rPr>
        <w:t>Spartina alterniflora</w:t>
      </w:r>
      <w:r w:rsidRPr="003847CB">
        <w:t> along large geographical gradients. </w:t>
      </w:r>
      <w:r w:rsidRPr="003847CB">
        <w:rPr>
          <w:i/>
          <w:iCs/>
        </w:rPr>
        <w:t>Molecular Ecology</w:t>
      </w:r>
      <w:r w:rsidRPr="003847CB">
        <w:t>, 28(20), 4528-4541.</w:t>
      </w:r>
    </w:p>
    <w:p w14:paraId="66B4AA0D" w14:textId="77777777" w:rsidR="003847CB" w:rsidRPr="003847CB" w:rsidRDefault="003847CB" w:rsidP="003847CB">
      <w:pPr>
        <w:numPr>
          <w:ilvl w:val="0"/>
          <w:numId w:val="1"/>
        </w:numPr>
        <w:rPr>
          <w:rFonts w:hint="eastAsia"/>
        </w:rPr>
      </w:pPr>
      <w:r w:rsidRPr="003847CB">
        <w:t>Ren, G., Zhao, Q., Peng, J., Zeng, J., Jian, S., ... &amp; Ding, J. (2019). </w:t>
      </w:r>
      <w:r w:rsidRPr="003847CB">
        <w:rPr>
          <w:i/>
          <w:iCs/>
        </w:rPr>
        <w:t>Spartina alterniflora</w:t>
      </w:r>
      <w:r w:rsidRPr="003847CB">
        <w:t> in Eastern China: ecological threat and management. </w:t>
      </w:r>
      <w:r w:rsidRPr="003847CB">
        <w:rPr>
          <w:i/>
          <w:iCs/>
        </w:rPr>
        <w:t>Ecology and Evolution</w:t>
      </w:r>
      <w:r w:rsidRPr="003847CB">
        <w:t>, 9(18), 10455-10467.</w:t>
      </w:r>
    </w:p>
    <w:p w14:paraId="3BEC9575" w14:textId="77777777" w:rsidR="003847CB" w:rsidRPr="003847CB" w:rsidRDefault="003847CB" w:rsidP="003847CB">
      <w:pPr>
        <w:numPr>
          <w:ilvl w:val="0"/>
          <w:numId w:val="1"/>
        </w:numPr>
        <w:rPr>
          <w:rFonts w:hint="eastAsia"/>
        </w:rPr>
      </w:pPr>
      <w:r w:rsidRPr="003847CB">
        <w:t xml:space="preserve">Richards, C. L., </w:t>
      </w:r>
      <w:proofErr w:type="spellStart"/>
      <w:r w:rsidRPr="003847CB">
        <w:t>Bossdorf</w:t>
      </w:r>
      <w:proofErr w:type="spellEnd"/>
      <w:r w:rsidRPr="003847CB">
        <w:t xml:space="preserve">, O., </w:t>
      </w:r>
      <w:proofErr w:type="spellStart"/>
      <w:r w:rsidRPr="003847CB">
        <w:t>Muth</w:t>
      </w:r>
      <w:proofErr w:type="spellEnd"/>
      <w:r w:rsidRPr="003847CB">
        <w:t xml:space="preserve">, N. Z., </w:t>
      </w:r>
      <w:proofErr w:type="spellStart"/>
      <w:r w:rsidRPr="003847CB">
        <w:t>Gurevitch</w:t>
      </w:r>
      <w:proofErr w:type="spellEnd"/>
      <w:r w:rsidRPr="003847CB">
        <w:t xml:space="preserve">, J., &amp; </w:t>
      </w:r>
      <w:proofErr w:type="spellStart"/>
      <w:r w:rsidRPr="003847CB">
        <w:t>Pigliucci</w:t>
      </w:r>
      <w:proofErr w:type="spellEnd"/>
      <w:r w:rsidRPr="003847CB">
        <w:t>, M. (2006). Jack of all trades, master of some? On the role of phenotypic plasticity in plant invasions. </w:t>
      </w:r>
      <w:r w:rsidRPr="003847CB">
        <w:rPr>
          <w:i/>
          <w:iCs/>
        </w:rPr>
        <w:t>Ecology Letters</w:t>
      </w:r>
      <w:r w:rsidRPr="003847CB">
        <w:t>, 9(8), 981-993.</w:t>
      </w:r>
    </w:p>
    <w:p w14:paraId="7E2E7015" w14:textId="77777777" w:rsidR="003847CB" w:rsidRPr="003847CB" w:rsidRDefault="003847CB" w:rsidP="003847CB">
      <w:pPr>
        <w:numPr>
          <w:ilvl w:val="0"/>
          <w:numId w:val="1"/>
        </w:numPr>
        <w:rPr>
          <w:rFonts w:hint="eastAsia"/>
        </w:rPr>
      </w:pPr>
      <w:proofErr w:type="spellStart"/>
      <w:r w:rsidRPr="003847CB">
        <w:t>Sayols</w:t>
      </w:r>
      <w:proofErr w:type="spellEnd"/>
      <w:r w:rsidRPr="003847CB">
        <w:t xml:space="preserve">, S. (2023). </w:t>
      </w:r>
      <w:proofErr w:type="spellStart"/>
      <w:r w:rsidRPr="003847CB">
        <w:t>rrvgo</w:t>
      </w:r>
      <w:proofErr w:type="spellEnd"/>
      <w:r w:rsidRPr="003847CB">
        <w:t>: a Bioconductor package for interpreting lists of Gene Ontology terms. </w:t>
      </w:r>
      <w:proofErr w:type="spellStart"/>
      <w:r w:rsidRPr="003847CB">
        <w:rPr>
          <w:i/>
          <w:iCs/>
        </w:rPr>
        <w:t>microPublication</w:t>
      </w:r>
      <w:proofErr w:type="spellEnd"/>
      <w:r w:rsidRPr="003847CB">
        <w:rPr>
          <w:i/>
          <w:iCs/>
        </w:rPr>
        <w:t xml:space="preserve"> Biology</w:t>
      </w:r>
      <w:r w:rsidRPr="003847CB">
        <w:t>. </w:t>
      </w:r>
      <w:hyperlink r:id="rId10" w:tgtFrame="_blank" w:history="1">
        <w:r w:rsidRPr="003847CB">
          <w:rPr>
            <w:rStyle w:val="af2"/>
          </w:rPr>
          <w:t>https://doi.org/10.17912/micropub.biology.000811</w:t>
        </w:r>
      </w:hyperlink>
    </w:p>
    <w:p w14:paraId="568ED9E0" w14:textId="77777777" w:rsidR="003847CB" w:rsidRPr="003847CB" w:rsidRDefault="003847CB" w:rsidP="003847CB">
      <w:pPr>
        <w:numPr>
          <w:ilvl w:val="0"/>
          <w:numId w:val="1"/>
        </w:numPr>
        <w:rPr>
          <w:rFonts w:hint="eastAsia"/>
        </w:rPr>
      </w:pPr>
      <w:proofErr w:type="spellStart"/>
      <w:r w:rsidRPr="003847CB">
        <w:t>Schymanski</w:t>
      </w:r>
      <w:proofErr w:type="spellEnd"/>
      <w:r w:rsidRPr="003847CB">
        <w:t xml:space="preserve">, E. L., Jeon, J., </w:t>
      </w:r>
      <w:proofErr w:type="spellStart"/>
      <w:r w:rsidRPr="003847CB">
        <w:t>Gulde</w:t>
      </w:r>
      <w:proofErr w:type="spellEnd"/>
      <w:r w:rsidRPr="003847CB">
        <w:t xml:space="preserve">, R., </w:t>
      </w:r>
      <w:proofErr w:type="spellStart"/>
      <w:r w:rsidRPr="003847CB">
        <w:t>Fenner</w:t>
      </w:r>
      <w:proofErr w:type="spellEnd"/>
      <w:r w:rsidRPr="003847CB">
        <w:t xml:space="preserve">, K., Ruff, M., Singer, H. P., &amp; </w:t>
      </w:r>
      <w:proofErr w:type="spellStart"/>
      <w:r w:rsidRPr="003847CB">
        <w:t>Hollender</w:t>
      </w:r>
      <w:proofErr w:type="spellEnd"/>
      <w:r w:rsidRPr="003847CB">
        <w:t>, J. (2014). Identifying small molecules via high resolution mass spectrometry: communicating confidence. </w:t>
      </w:r>
      <w:r w:rsidRPr="003847CB">
        <w:rPr>
          <w:i/>
          <w:iCs/>
        </w:rPr>
        <w:t>Environmental Science &amp; Technology</w:t>
      </w:r>
      <w:r w:rsidRPr="003847CB">
        <w:t>, 48(4), 2097–2098.</w:t>
      </w:r>
    </w:p>
    <w:p w14:paraId="41495724" w14:textId="77777777" w:rsidR="003847CB" w:rsidRPr="003847CB" w:rsidRDefault="003847CB" w:rsidP="003847CB">
      <w:pPr>
        <w:numPr>
          <w:ilvl w:val="0"/>
          <w:numId w:val="1"/>
        </w:numPr>
        <w:rPr>
          <w:rFonts w:hint="eastAsia"/>
        </w:rPr>
      </w:pPr>
      <w:proofErr w:type="spellStart"/>
      <w:r w:rsidRPr="003847CB">
        <w:t>Scossa</w:t>
      </w:r>
      <w:proofErr w:type="spellEnd"/>
      <w:r w:rsidRPr="003847CB">
        <w:t xml:space="preserve">, F., </w:t>
      </w:r>
      <w:proofErr w:type="spellStart"/>
      <w:r w:rsidRPr="003847CB">
        <w:t>Alseekh</w:t>
      </w:r>
      <w:proofErr w:type="spellEnd"/>
      <w:r w:rsidRPr="003847CB">
        <w:t xml:space="preserve">, S., &amp; </w:t>
      </w:r>
      <w:proofErr w:type="spellStart"/>
      <w:r w:rsidRPr="003847CB">
        <w:t>Fernie</w:t>
      </w:r>
      <w:proofErr w:type="spellEnd"/>
      <w:r w:rsidRPr="003847CB">
        <w:t>, A. R. (2021). Integrating multi-omics data for crop improvement. </w:t>
      </w:r>
      <w:r w:rsidRPr="003847CB">
        <w:rPr>
          <w:i/>
          <w:iCs/>
        </w:rPr>
        <w:t>Journal of Plant Physiology</w:t>
      </w:r>
      <w:r w:rsidRPr="003847CB">
        <w:t>, 257, 153352.</w:t>
      </w:r>
    </w:p>
    <w:p w14:paraId="35A0E814" w14:textId="77777777" w:rsidR="003847CB" w:rsidRPr="003847CB" w:rsidRDefault="003847CB" w:rsidP="003847CB">
      <w:pPr>
        <w:numPr>
          <w:ilvl w:val="0"/>
          <w:numId w:val="1"/>
        </w:numPr>
        <w:rPr>
          <w:rFonts w:hint="eastAsia"/>
        </w:rPr>
      </w:pPr>
      <w:r w:rsidRPr="003847CB">
        <w:t>Strong, D. R., &amp; Ayres, D. R. (2013). Ecological and evolutionary alterations of coastal salt marshes by introduced </w:t>
      </w:r>
      <w:r w:rsidRPr="003847CB">
        <w:rPr>
          <w:i/>
          <w:iCs/>
        </w:rPr>
        <w:t>Spartina</w:t>
      </w:r>
      <w:r w:rsidRPr="003847CB">
        <w:t>. </w:t>
      </w:r>
      <w:r w:rsidRPr="003847CB">
        <w:rPr>
          <w:i/>
          <w:iCs/>
        </w:rPr>
        <w:t>Annual Review of Ecology, Evolution, and Systematics</w:t>
      </w:r>
      <w:r w:rsidRPr="003847CB">
        <w:t>, 44(1), 389-409.</w:t>
      </w:r>
    </w:p>
    <w:p w14:paraId="78F42599" w14:textId="77777777" w:rsidR="003847CB" w:rsidRPr="003847CB" w:rsidRDefault="003847CB" w:rsidP="003847CB">
      <w:pPr>
        <w:numPr>
          <w:ilvl w:val="0"/>
          <w:numId w:val="1"/>
        </w:numPr>
        <w:rPr>
          <w:rFonts w:hint="eastAsia"/>
        </w:rPr>
      </w:pPr>
      <w:r w:rsidRPr="003847CB">
        <w:t>Wang, M., Carver, J. J., Phelan, V. V., ... &amp; Bandeira, N. (2016). Sharing and community curation of mass spectrometry data with Global Natural Products Social Molecular Networking. </w:t>
      </w:r>
      <w:r w:rsidRPr="003847CB">
        <w:rPr>
          <w:i/>
          <w:iCs/>
        </w:rPr>
        <w:t>Nature Biotechnology</w:t>
      </w:r>
      <w:r w:rsidRPr="003847CB">
        <w:t>, 34(8), 828–837.</w:t>
      </w:r>
    </w:p>
    <w:p w14:paraId="495352B8" w14:textId="77777777" w:rsidR="003847CB" w:rsidRPr="003847CB" w:rsidRDefault="003847CB" w:rsidP="003847CB">
      <w:pPr>
        <w:numPr>
          <w:ilvl w:val="0"/>
          <w:numId w:val="1"/>
        </w:numPr>
        <w:rPr>
          <w:rFonts w:hint="eastAsia"/>
        </w:rPr>
      </w:pPr>
      <w:r w:rsidRPr="003847CB">
        <w:t xml:space="preserve">Wu, Z., et al. (2022). A chromosome-level reference genome of the invasive </w:t>
      </w:r>
      <w:r w:rsidRPr="003847CB">
        <w:lastRenderedPageBreak/>
        <w:t>plant </w:t>
      </w:r>
      <w:r w:rsidRPr="003847CB">
        <w:rPr>
          <w:i/>
          <w:iCs/>
        </w:rPr>
        <w:t>Spartina alterniflora</w:t>
      </w:r>
      <w:r w:rsidRPr="003847CB">
        <w:t> provides insights into its environmental adaptation. </w:t>
      </w:r>
      <w:r w:rsidRPr="003847CB">
        <w:rPr>
          <w:i/>
          <w:iCs/>
        </w:rPr>
        <w:t>Molecular Ecology Resources</w:t>
      </w:r>
      <w:r w:rsidRPr="003847CB">
        <w:t>, 22(5), 1837-1854.</w:t>
      </w:r>
    </w:p>
    <w:p w14:paraId="1C994BAA" w14:textId="77777777" w:rsidR="003847CB" w:rsidRPr="003847CB" w:rsidRDefault="003847CB" w:rsidP="003847CB">
      <w:pPr>
        <w:numPr>
          <w:ilvl w:val="0"/>
          <w:numId w:val="1"/>
        </w:numPr>
        <w:rPr>
          <w:rFonts w:hint="eastAsia"/>
        </w:rPr>
      </w:pPr>
      <w:r w:rsidRPr="003847CB">
        <w:t xml:space="preserve">Yu, G., Wang, L.-G., Han, Y., &amp; He, Q.-Y. (2012). </w:t>
      </w:r>
      <w:proofErr w:type="spellStart"/>
      <w:r w:rsidRPr="003847CB">
        <w:t>clusterProfiler</w:t>
      </w:r>
      <w:proofErr w:type="spellEnd"/>
      <w:r w:rsidRPr="003847CB">
        <w:t>: an R package for comparing biological themes among gene clusters. </w:t>
      </w:r>
      <w:r w:rsidRPr="003847CB">
        <w:rPr>
          <w:i/>
          <w:iCs/>
        </w:rPr>
        <w:t>OMICS</w:t>
      </w:r>
      <w:r w:rsidRPr="003847CB">
        <w:t>, 16(5), 284–287.</w:t>
      </w:r>
    </w:p>
    <w:p w14:paraId="3FF88509" w14:textId="77777777" w:rsidR="003847CB" w:rsidRPr="003847CB" w:rsidRDefault="003847CB" w:rsidP="003847CB">
      <w:pPr>
        <w:numPr>
          <w:ilvl w:val="0"/>
          <w:numId w:val="1"/>
        </w:numPr>
        <w:rPr>
          <w:rFonts w:hint="eastAsia"/>
        </w:rPr>
      </w:pPr>
      <w:proofErr w:type="spellStart"/>
      <w:r w:rsidRPr="003847CB">
        <w:t>Zenni</w:t>
      </w:r>
      <w:proofErr w:type="spellEnd"/>
      <w:r w:rsidRPr="003847CB">
        <w:t xml:space="preserve">, R. D., Bailey, J. K., &amp; </w:t>
      </w:r>
      <w:proofErr w:type="spellStart"/>
      <w:r w:rsidRPr="003847CB">
        <w:t>Simberloff</w:t>
      </w:r>
      <w:proofErr w:type="spellEnd"/>
      <w:r w:rsidRPr="003847CB">
        <w:t>, D. (2014). Rapid evolution and local adaptation in a major invasive species. </w:t>
      </w:r>
      <w:r w:rsidRPr="003847CB">
        <w:rPr>
          <w:i/>
          <w:iCs/>
        </w:rPr>
        <w:t>Evolutionary Ecology</w:t>
      </w:r>
      <w:r w:rsidRPr="003847CB">
        <w:t>, 28, 431-446.</w:t>
      </w:r>
    </w:p>
    <w:p w14:paraId="3C1480AA" w14:textId="77777777" w:rsidR="003847CB" w:rsidRPr="003847CB" w:rsidRDefault="003847CB" w:rsidP="003847CB">
      <w:pPr>
        <w:numPr>
          <w:ilvl w:val="0"/>
          <w:numId w:val="1"/>
        </w:numPr>
        <w:rPr>
          <w:rFonts w:hint="eastAsia"/>
        </w:rPr>
      </w:pPr>
      <w:r w:rsidRPr="003847CB">
        <w:t>Zhang, Y., et al. (2012). Impact of </w:t>
      </w:r>
      <w:r w:rsidRPr="003847CB">
        <w:rPr>
          <w:i/>
          <w:iCs/>
        </w:rPr>
        <w:t>Spartina alterniflora</w:t>
      </w:r>
      <w:r w:rsidRPr="003847CB">
        <w:t> invasion on the benthic faunal communities in a mangrove wetland. </w:t>
      </w:r>
      <w:r w:rsidRPr="003847CB">
        <w:rPr>
          <w:i/>
          <w:iCs/>
        </w:rPr>
        <w:t>Estuarine, Coastal and Shelf Science</w:t>
      </w:r>
      <w:r w:rsidRPr="003847CB">
        <w:t>, 97, 85-92.</w:t>
      </w:r>
    </w:p>
    <w:p w14:paraId="7EA7953D" w14:textId="2DF1211E" w:rsidR="00ED62C1" w:rsidRPr="00ED62C1" w:rsidRDefault="00ED62C1">
      <w:pPr>
        <w:rPr>
          <w:rFonts w:hint="eastAsia"/>
        </w:rPr>
      </w:pPr>
    </w:p>
    <w:sectPr w:rsidR="00ED62C1" w:rsidRPr="00ED62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F3743" w14:textId="77777777" w:rsidR="00D27E3B" w:rsidRDefault="00D27E3B" w:rsidP="00303B6D">
      <w:pPr>
        <w:spacing w:after="0" w:line="240" w:lineRule="auto"/>
        <w:rPr>
          <w:rFonts w:hint="eastAsia"/>
        </w:rPr>
      </w:pPr>
      <w:r>
        <w:separator/>
      </w:r>
    </w:p>
  </w:endnote>
  <w:endnote w:type="continuationSeparator" w:id="0">
    <w:p w14:paraId="529A7613" w14:textId="77777777" w:rsidR="00D27E3B" w:rsidRDefault="00D27E3B" w:rsidP="00303B6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A1A41" w14:textId="77777777" w:rsidR="00D27E3B" w:rsidRDefault="00D27E3B" w:rsidP="00303B6D">
      <w:pPr>
        <w:spacing w:after="0" w:line="240" w:lineRule="auto"/>
        <w:rPr>
          <w:rFonts w:hint="eastAsia"/>
        </w:rPr>
      </w:pPr>
      <w:r>
        <w:separator/>
      </w:r>
    </w:p>
  </w:footnote>
  <w:footnote w:type="continuationSeparator" w:id="0">
    <w:p w14:paraId="3F0C4E78" w14:textId="77777777" w:rsidR="00D27E3B" w:rsidRDefault="00D27E3B" w:rsidP="00303B6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7B690B"/>
    <w:multiLevelType w:val="multilevel"/>
    <w:tmpl w:val="4A308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49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370"/>
    <w:rsid w:val="000E6882"/>
    <w:rsid w:val="001532B0"/>
    <w:rsid w:val="001C7272"/>
    <w:rsid w:val="001D11B1"/>
    <w:rsid w:val="002045C7"/>
    <w:rsid w:val="002F13DF"/>
    <w:rsid w:val="00303B6D"/>
    <w:rsid w:val="00312F0E"/>
    <w:rsid w:val="00352399"/>
    <w:rsid w:val="0036649A"/>
    <w:rsid w:val="003847CB"/>
    <w:rsid w:val="004B4C10"/>
    <w:rsid w:val="005112BC"/>
    <w:rsid w:val="005D3BD8"/>
    <w:rsid w:val="006602A2"/>
    <w:rsid w:val="00696534"/>
    <w:rsid w:val="006B7734"/>
    <w:rsid w:val="00863524"/>
    <w:rsid w:val="008E14A0"/>
    <w:rsid w:val="00935B77"/>
    <w:rsid w:val="009A3166"/>
    <w:rsid w:val="00A57A34"/>
    <w:rsid w:val="00A95D0E"/>
    <w:rsid w:val="00AB2370"/>
    <w:rsid w:val="00B92C6D"/>
    <w:rsid w:val="00D27E3B"/>
    <w:rsid w:val="00D31200"/>
    <w:rsid w:val="00E43DA9"/>
    <w:rsid w:val="00EA4336"/>
    <w:rsid w:val="00EC509A"/>
    <w:rsid w:val="00ED62C1"/>
    <w:rsid w:val="00F75ABD"/>
    <w:rsid w:val="00F76914"/>
    <w:rsid w:val="00FC5445"/>
    <w:rsid w:val="00FD60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216BA"/>
  <w15:chartTrackingRefBased/>
  <w15:docId w15:val="{BA18EE3F-F2E3-4FFE-A5E5-AF1F9DE7A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62C1"/>
    <w:pPr>
      <w:widowControl w:val="0"/>
    </w:pPr>
  </w:style>
  <w:style w:type="paragraph" w:styleId="1">
    <w:name w:val="heading 1"/>
    <w:basedOn w:val="a"/>
    <w:next w:val="a"/>
    <w:link w:val="10"/>
    <w:uiPriority w:val="9"/>
    <w:qFormat/>
    <w:rsid w:val="00AB23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B23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23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23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237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B237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237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237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237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23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B23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23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2370"/>
    <w:rPr>
      <w:rFonts w:cstheme="majorBidi"/>
      <w:color w:val="0F4761" w:themeColor="accent1" w:themeShade="BF"/>
      <w:sz w:val="28"/>
      <w:szCs w:val="28"/>
    </w:rPr>
  </w:style>
  <w:style w:type="character" w:customStyle="1" w:styleId="50">
    <w:name w:val="标题 5 字符"/>
    <w:basedOn w:val="a0"/>
    <w:link w:val="5"/>
    <w:uiPriority w:val="9"/>
    <w:semiHidden/>
    <w:rsid w:val="00AB2370"/>
    <w:rPr>
      <w:rFonts w:cstheme="majorBidi"/>
      <w:color w:val="0F4761" w:themeColor="accent1" w:themeShade="BF"/>
      <w:sz w:val="24"/>
    </w:rPr>
  </w:style>
  <w:style w:type="character" w:customStyle="1" w:styleId="60">
    <w:name w:val="标题 6 字符"/>
    <w:basedOn w:val="a0"/>
    <w:link w:val="6"/>
    <w:uiPriority w:val="9"/>
    <w:semiHidden/>
    <w:rsid w:val="00AB2370"/>
    <w:rPr>
      <w:rFonts w:cstheme="majorBidi"/>
      <w:b/>
      <w:bCs/>
      <w:color w:val="0F4761" w:themeColor="accent1" w:themeShade="BF"/>
    </w:rPr>
  </w:style>
  <w:style w:type="character" w:customStyle="1" w:styleId="70">
    <w:name w:val="标题 7 字符"/>
    <w:basedOn w:val="a0"/>
    <w:link w:val="7"/>
    <w:uiPriority w:val="9"/>
    <w:semiHidden/>
    <w:rsid w:val="00AB2370"/>
    <w:rPr>
      <w:rFonts w:cstheme="majorBidi"/>
      <w:b/>
      <w:bCs/>
      <w:color w:val="595959" w:themeColor="text1" w:themeTint="A6"/>
    </w:rPr>
  </w:style>
  <w:style w:type="character" w:customStyle="1" w:styleId="80">
    <w:name w:val="标题 8 字符"/>
    <w:basedOn w:val="a0"/>
    <w:link w:val="8"/>
    <w:uiPriority w:val="9"/>
    <w:semiHidden/>
    <w:rsid w:val="00AB2370"/>
    <w:rPr>
      <w:rFonts w:cstheme="majorBidi"/>
      <w:color w:val="595959" w:themeColor="text1" w:themeTint="A6"/>
    </w:rPr>
  </w:style>
  <w:style w:type="character" w:customStyle="1" w:styleId="90">
    <w:name w:val="标题 9 字符"/>
    <w:basedOn w:val="a0"/>
    <w:link w:val="9"/>
    <w:uiPriority w:val="9"/>
    <w:semiHidden/>
    <w:rsid w:val="00AB2370"/>
    <w:rPr>
      <w:rFonts w:eastAsiaTheme="majorEastAsia" w:cstheme="majorBidi"/>
      <w:color w:val="595959" w:themeColor="text1" w:themeTint="A6"/>
    </w:rPr>
  </w:style>
  <w:style w:type="paragraph" w:styleId="a3">
    <w:name w:val="Title"/>
    <w:basedOn w:val="a"/>
    <w:next w:val="a"/>
    <w:link w:val="a4"/>
    <w:uiPriority w:val="10"/>
    <w:qFormat/>
    <w:rsid w:val="00AB23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23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23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23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2370"/>
    <w:pPr>
      <w:spacing w:before="160"/>
      <w:jc w:val="center"/>
    </w:pPr>
    <w:rPr>
      <w:i/>
      <w:iCs/>
      <w:color w:val="404040" w:themeColor="text1" w:themeTint="BF"/>
    </w:rPr>
  </w:style>
  <w:style w:type="character" w:customStyle="1" w:styleId="a8">
    <w:name w:val="引用 字符"/>
    <w:basedOn w:val="a0"/>
    <w:link w:val="a7"/>
    <w:uiPriority w:val="29"/>
    <w:rsid w:val="00AB2370"/>
    <w:rPr>
      <w:i/>
      <w:iCs/>
      <w:color w:val="404040" w:themeColor="text1" w:themeTint="BF"/>
    </w:rPr>
  </w:style>
  <w:style w:type="paragraph" w:styleId="a9">
    <w:name w:val="List Paragraph"/>
    <w:basedOn w:val="a"/>
    <w:uiPriority w:val="34"/>
    <w:qFormat/>
    <w:rsid w:val="00AB2370"/>
    <w:pPr>
      <w:ind w:left="720"/>
      <w:contextualSpacing/>
    </w:pPr>
  </w:style>
  <w:style w:type="character" w:styleId="aa">
    <w:name w:val="Intense Emphasis"/>
    <w:basedOn w:val="a0"/>
    <w:uiPriority w:val="21"/>
    <w:qFormat/>
    <w:rsid w:val="00AB2370"/>
    <w:rPr>
      <w:i/>
      <w:iCs/>
      <w:color w:val="0F4761" w:themeColor="accent1" w:themeShade="BF"/>
    </w:rPr>
  </w:style>
  <w:style w:type="paragraph" w:styleId="ab">
    <w:name w:val="Intense Quote"/>
    <w:basedOn w:val="a"/>
    <w:next w:val="a"/>
    <w:link w:val="ac"/>
    <w:uiPriority w:val="30"/>
    <w:qFormat/>
    <w:rsid w:val="00AB2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2370"/>
    <w:rPr>
      <w:i/>
      <w:iCs/>
      <w:color w:val="0F4761" w:themeColor="accent1" w:themeShade="BF"/>
    </w:rPr>
  </w:style>
  <w:style w:type="character" w:styleId="ad">
    <w:name w:val="Intense Reference"/>
    <w:basedOn w:val="a0"/>
    <w:uiPriority w:val="32"/>
    <w:qFormat/>
    <w:rsid w:val="00AB2370"/>
    <w:rPr>
      <w:b/>
      <w:bCs/>
      <w:smallCaps/>
      <w:color w:val="0F4761" w:themeColor="accent1" w:themeShade="BF"/>
      <w:spacing w:val="5"/>
    </w:rPr>
  </w:style>
  <w:style w:type="paragraph" w:styleId="ae">
    <w:name w:val="header"/>
    <w:basedOn w:val="a"/>
    <w:link w:val="af"/>
    <w:uiPriority w:val="99"/>
    <w:unhideWhenUsed/>
    <w:rsid w:val="00303B6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03B6D"/>
    <w:rPr>
      <w:sz w:val="18"/>
      <w:szCs w:val="18"/>
    </w:rPr>
  </w:style>
  <w:style w:type="paragraph" w:styleId="af0">
    <w:name w:val="footer"/>
    <w:basedOn w:val="a"/>
    <w:link w:val="af1"/>
    <w:uiPriority w:val="99"/>
    <w:unhideWhenUsed/>
    <w:rsid w:val="00303B6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03B6D"/>
    <w:rPr>
      <w:sz w:val="18"/>
      <w:szCs w:val="18"/>
    </w:rPr>
  </w:style>
  <w:style w:type="character" w:styleId="af2">
    <w:name w:val="Hyperlink"/>
    <w:basedOn w:val="a0"/>
    <w:uiPriority w:val="99"/>
    <w:unhideWhenUsed/>
    <w:rsid w:val="003847CB"/>
    <w:rPr>
      <w:color w:val="467886" w:themeColor="hyperlink"/>
      <w:u w:val="single"/>
    </w:rPr>
  </w:style>
  <w:style w:type="character" w:styleId="af3">
    <w:name w:val="Unresolved Mention"/>
    <w:basedOn w:val="a0"/>
    <w:uiPriority w:val="99"/>
    <w:semiHidden/>
    <w:unhideWhenUsed/>
    <w:rsid w:val="003847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194759">
      <w:bodyDiv w:val="1"/>
      <w:marLeft w:val="0"/>
      <w:marRight w:val="0"/>
      <w:marTop w:val="0"/>
      <w:marBottom w:val="0"/>
      <w:divBdr>
        <w:top w:val="none" w:sz="0" w:space="0" w:color="auto"/>
        <w:left w:val="none" w:sz="0" w:space="0" w:color="auto"/>
        <w:bottom w:val="none" w:sz="0" w:space="0" w:color="auto"/>
        <w:right w:val="none" w:sz="0" w:space="0" w:color="auto"/>
      </w:divBdr>
    </w:div>
    <w:div w:id="255944666">
      <w:bodyDiv w:val="1"/>
      <w:marLeft w:val="0"/>
      <w:marRight w:val="0"/>
      <w:marTop w:val="0"/>
      <w:marBottom w:val="0"/>
      <w:divBdr>
        <w:top w:val="none" w:sz="0" w:space="0" w:color="auto"/>
        <w:left w:val="none" w:sz="0" w:space="0" w:color="auto"/>
        <w:bottom w:val="none" w:sz="0" w:space="0" w:color="auto"/>
        <w:right w:val="none" w:sz="0" w:space="0" w:color="auto"/>
      </w:divBdr>
    </w:div>
    <w:div w:id="308897728">
      <w:bodyDiv w:val="1"/>
      <w:marLeft w:val="0"/>
      <w:marRight w:val="0"/>
      <w:marTop w:val="0"/>
      <w:marBottom w:val="0"/>
      <w:divBdr>
        <w:top w:val="none" w:sz="0" w:space="0" w:color="auto"/>
        <w:left w:val="none" w:sz="0" w:space="0" w:color="auto"/>
        <w:bottom w:val="none" w:sz="0" w:space="0" w:color="auto"/>
        <w:right w:val="none" w:sz="0" w:space="0" w:color="auto"/>
      </w:divBdr>
    </w:div>
    <w:div w:id="355930226">
      <w:bodyDiv w:val="1"/>
      <w:marLeft w:val="0"/>
      <w:marRight w:val="0"/>
      <w:marTop w:val="0"/>
      <w:marBottom w:val="0"/>
      <w:divBdr>
        <w:top w:val="none" w:sz="0" w:space="0" w:color="auto"/>
        <w:left w:val="none" w:sz="0" w:space="0" w:color="auto"/>
        <w:bottom w:val="none" w:sz="0" w:space="0" w:color="auto"/>
        <w:right w:val="none" w:sz="0" w:space="0" w:color="auto"/>
      </w:divBdr>
    </w:div>
    <w:div w:id="371809701">
      <w:bodyDiv w:val="1"/>
      <w:marLeft w:val="0"/>
      <w:marRight w:val="0"/>
      <w:marTop w:val="0"/>
      <w:marBottom w:val="0"/>
      <w:divBdr>
        <w:top w:val="none" w:sz="0" w:space="0" w:color="auto"/>
        <w:left w:val="none" w:sz="0" w:space="0" w:color="auto"/>
        <w:bottom w:val="none" w:sz="0" w:space="0" w:color="auto"/>
        <w:right w:val="none" w:sz="0" w:space="0" w:color="auto"/>
      </w:divBdr>
    </w:div>
    <w:div w:id="484277534">
      <w:bodyDiv w:val="1"/>
      <w:marLeft w:val="0"/>
      <w:marRight w:val="0"/>
      <w:marTop w:val="0"/>
      <w:marBottom w:val="0"/>
      <w:divBdr>
        <w:top w:val="none" w:sz="0" w:space="0" w:color="auto"/>
        <w:left w:val="none" w:sz="0" w:space="0" w:color="auto"/>
        <w:bottom w:val="none" w:sz="0" w:space="0" w:color="auto"/>
        <w:right w:val="none" w:sz="0" w:space="0" w:color="auto"/>
      </w:divBdr>
    </w:div>
    <w:div w:id="505943168">
      <w:bodyDiv w:val="1"/>
      <w:marLeft w:val="0"/>
      <w:marRight w:val="0"/>
      <w:marTop w:val="0"/>
      <w:marBottom w:val="0"/>
      <w:divBdr>
        <w:top w:val="none" w:sz="0" w:space="0" w:color="auto"/>
        <w:left w:val="none" w:sz="0" w:space="0" w:color="auto"/>
        <w:bottom w:val="none" w:sz="0" w:space="0" w:color="auto"/>
        <w:right w:val="none" w:sz="0" w:space="0" w:color="auto"/>
      </w:divBdr>
    </w:div>
    <w:div w:id="677197823">
      <w:bodyDiv w:val="1"/>
      <w:marLeft w:val="0"/>
      <w:marRight w:val="0"/>
      <w:marTop w:val="0"/>
      <w:marBottom w:val="0"/>
      <w:divBdr>
        <w:top w:val="none" w:sz="0" w:space="0" w:color="auto"/>
        <w:left w:val="none" w:sz="0" w:space="0" w:color="auto"/>
        <w:bottom w:val="none" w:sz="0" w:space="0" w:color="auto"/>
        <w:right w:val="none" w:sz="0" w:space="0" w:color="auto"/>
      </w:divBdr>
    </w:div>
    <w:div w:id="702286067">
      <w:bodyDiv w:val="1"/>
      <w:marLeft w:val="0"/>
      <w:marRight w:val="0"/>
      <w:marTop w:val="0"/>
      <w:marBottom w:val="0"/>
      <w:divBdr>
        <w:top w:val="none" w:sz="0" w:space="0" w:color="auto"/>
        <w:left w:val="none" w:sz="0" w:space="0" w:color="auto"/>
        <w:bottom w:val="none" w:sz="0" w:space="0" w:color="auto"/>
        <w:right w:val="none" w:sz="0" w:space="0" w:color="auto"/>
      </w:divBdr>
      <w:divsChild>
        <w:div w:id="664212639">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739791182">
      <w:bodyDiv w:val="1"/>
      <w:marLeft w:val="0"/>
      <w:marRight w:val="0"/>
      <w:marTop w:val="0"/>
      <w:marBottom w:val="0"/>
      <w:divBdr>
        <w:top w:val="none" w:sz="0" w:space="0" w:color="auto"/>
        <w:left w:val="none" w:sz="0" w:space="0" w:color="auto"/>
        <w:bottom w:val="none" w:sz="0" w:space="0" w:color="auto"/>
        <w:right w:val="none" w:sz="0" w:space="0" w:color="auto"/>
      </w:divBdr>
      <w:divsChild>
        <w:div w:id="113795900">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1000233100">
      <w:bodyDiv w:val="1"/>
      <w:marLeft w:val="0"/>
      <w:marRight w:val="0"/>
      <w:marTop w:val="0"/>
      <w:marBottom w:val="0"/>
      <w:divBdr>
        <w:top w:val="none" w:sz="0" w:space="0" w:color="auto"/>
        <w:left w:val="none" w:sz="0" w:space="0" w:color="auto"/>
        <w:bottom w:val="none" w:sz="0" w:space="0" w:color="auto"/>
        <w:right w:val="none" w:sz="0" w:space="0" w:color="auto"/>
      </w:divBdr>
    </w:div>
    <w:div w:id="1361472956">
      <w:bodyDiv w:val="1"/>
      <w:marLeft w:val="0"/>
      <w:marRight w:val="0"/>
      <w:marTop w:val="0"/>
      <w:marBottom w:val="0"/>
      <w:divBdr>
        <w:top w:val="none" w:sz="0" w:space="0" w:color="auto"/>
        <w:left w:val="none" w:sz="0" w:space="0" w:color="auto"/>
        <w:bottom w:val="none" w:sz="0" w:space="0" w:color="auto"/>
        <w:right w:val="none" w:sz="0" w:space="0" w:color="auto"/>
      </w:divBdr>
      <w:divsChild>
        <w:div w:id="738595197">
          <w:marLeft w:val="0"/>
          <w:marRight w:val="0"/>
          <w:marTop w:val="0"/>
          <w:marBottom w:val="160"/>
          <w:divBdr>
            <w:top w:val="none" w:sz="0" w:space="0" w:color="auto"/>
            <w:left w:val="none" w:sz="0" w:space="0" w:color="auto"/>
            <w:bottom w:val="none" w:sz="0" w:space="0" w:color="auto"/>
            <w:right w:val="none" w:sz="0" w:space="0" w:color="auto"/>
          </w:divBdr>
        </w:div>
        <w:div w:id="16084335">
          <w:marLeft w:val="0"/>
          <w:marRight w:val="0"/>
          <w:marTop w:val="0"/>
          <w:marBottom w:val="160"/>
          <w:divBdr>
            <w:top w:val="none" w:sz="0" w:space="0" w:color="auto"/>
            <w:left w:val="none" w:sz="0" w:space="0" w:color="auto"/>
            <w:bottom w:val="none" w:sz="0" w:space="0" w:color="auto"/>
            <w:right w:val="none" w:sz="0" w:space="0" w:color="auto"/>
          </w:divBdr>
        </w:div>
        <w:div w:id="1686591764">
          <w:marLeft w:val="0"/>
          <w:marRight w:val="0"/>
          <w:marTop w:val="0"/>
          <w:marBottom w:val="160"/>
          <w:divBdr>
            <w:top w:val="none" w:sz="0" w:space="0" w:color="auto"/>
            <w:left w:val="none" w:sz="0" w:space="0" w:color="auto"/>
            <w:bottom w:val="none" w:sz="0" w:space="0" w:color="auto"/>
            <w:right w:val="none" w:sz="0" w:space="0" w:color="auto"/>
          </w:divBdr>
        </w:div>
        <w:div w:id="130711100">
          <w:marLeft w:val="0"/>
          <w:marRight w:val="0"/>
          <w:marTop w:val="0"/>
          <w:marBottom w:val="160"/>
          <w:divBdr>
            <w:top w:val="none" w:sz="0" w:space="0" w:color="auto"/>
            <w:left w:val="none" w:sz="0" w:space="0" w:color="auto"/>
            <w:bottom w:val="none" w:sz="0" w:space="0" w:color="auto"/>
            <w:right w:val="none" w:sz="0" w:space="0" w:color="auto"/>
          </w:divBdr>
        </w:div>
        <w:div w:id="1772310591">
          <w:marLeft w:val="0"/>
          <w:marRight w:val="0"/>
          <w:marTop w:val="0"/>
          <w:marBottom w:val="160"/>
          <w:divBdr>
            <w:top w:val="none" w:sz="0" w:space="0" w:color="auto"/>
            <w:left w:val="none" w:sz="0" w:space="0" w:color="auto"/>
            <w:bottom w:val="none" w:sz="0" w:space="0" w:color="auto"/>
            <w:right w:val="none" w:sz="0" w:space="0" w:color="auto"/>
          </w:divBdr>
        </w:div>
        <w:div w:id="768280315">
          <w:marLeft w:val="0"/>
          <w:marRight w:val="0"/>
          <w:marTop w:val="0"/>
          <w:marBottom w:val="160"/>
          <w:divBdr>
            <w:top w:val="none" w:sz="0" w:space="0" w:color="auto"/>
            <w:left w:val="none" w:sz="0" w:space="0" w:color="auto"/>
            <w:bottom w:val="none" w:sz="0" w:space="0" w:color="auto"/>
            <w:right w:val="none" w:sz="0" w:space="0" w:color="auto"/>
          </w:divBdr>
        </w:div>
      </w:divsChild>
    </w:div>
    <w:div w:id="1384403180">
      <w:bodyDiv w:val="1"/>
      <w:marLeft w:val="0"/>
      <w:marRight w:val="0"/>
      <w:marTop w:val="0"/>
      <w:marBottom w:val="0"/>
      <w:divBdr>
        <w:top w:val="none" w:sz="0" w:space="0" w:color="auto"/>
        <w:left w:val="none" w:sz="0" w:space="0" w:color="auto"/>
        <w:bottom w:val="none" w:sz="0" w:space="0" w:color="auto"/>
        <w:right w:val="none" w:sz="0" w:space="0" w:color="auto"/>
      </w:divBdr>
    </w:div>
    <w:div w:id="1415786370">
      <w:bodyDiv w:val="1"/>
      <w:marLeft w:val="0"/>
      <w:marRight w:val="0"/>
      <w:marTop w:val="0"/>
      <w:marBottom w:val="0"/>
      <w:divBdr>
        <w:top w:val="none" w:sz="0" w:space="0" w:color="auto"/>
        <w:left w:val="none" w:sz="0" w:space="0" w:color="auto"/>
        <w:bottom w:val="none" w:sz="0" w:space="0" w:color="auto"/>
        <w:right w:val="none" w:sz="0" w:space="0" w:color="auto"/>
      </w:divBdr>
      <w:divsChild>
        <w:div w:id="863788791">
          <w:marLeft w:val="0"/>
          <w:marRight w:val="0"/>
          <w:marTop w:val="0"/>
          <w:marBottom w:val="160"/>
          <w:divBdr>
            <w:top w:val="none" w:sz="0" w:space="0" w:color="auto"/>
            <w:left w:val="none" w:sz="0" w:space="0" w:color="auto"/>
            <w:bottom w:val="none" w:sz="0" w:space="0" w:color="auto"/>
            <w:right w:val="none" w:sz="0" w:space="0" w:color="auto"/>
          </w:divBdr>
        </w:div>
        <w:div w:id="1358389477">
          <w:marLeft w:val="0"/>
          <w:marRight w:val="0"/>
          <w:marTop w:val="0"/>
          <w:marBottom w:val="160"/>
          <w:divBdr>
            <w:top w:val="none" w:sz="0" w:space="0" w:color="auto"/>
            <w:left w:val="none" w:sz="0" w:space="0" w:color="auto"/>
            <w:bottom w:val="none" w:sz="0" w:space="0" w:color="auto"/>
            <w:right w:val="none" w:sz="0" w:space="0" w:color="auto"/>
          </w:divBdr>
        </w:div>
        <w:div w:id="1506817737">
          <w:marLeft w:val="0"/>
          <w:marRight w:val="0"/>
          <w:marTop w:val="0"/>
          <w:marBottom w:val="160"/>
          <w:divBdr>
            <w:top w:val="none" w:sz="0" w:space="0" w:color="auto"/>
            <w:left w:val="none" w:sz="0" w:space="0" w:color="auto"/>
            <w:bottom w:val="none" w:sz="0" w:space="0" w:color="auto"/>
            <w:right w:val="none" w:sz="0" w:space="0" w:color="auto"/>
          </w:divBdr>
        </w:div>
        <w:div w:id="1739860741">
          <w:marLeft w:val="0"/>
          <w:marRight w:val="0"/>
          <w:marTop w:val="0"/>
          <w:marBottom w:val="160"/>
          <w:divBdr>
            <w:top w:val="none" w:sz="0" w:space="0" w:color="auto"/>
            <w:left w:val="none" w:sz="0" w:space="0" w:color="auto"/>
            <w:bottom w:val="none" w:sz="0" w:space="0" w:color="auto"/>
            <w:right w:val="none" w:sz="0" w:space="0" w:color="auto"/>
          </w:divBdr>
        </w:div>
        <w:div w:id="2105028475">
          <w:marLeft w:val="0"/>
          <w:marRight w:val="0"/>
          <w:marTop w:val="0"/>
          <w:marBottom w:val="160"/>
          <w:divBdr>
            <w:top w:val="none" w:sz="0" w:space="0" w:color="auto"/>
            <w:left w:val="none" w:sz="0" w:space="0" w:color="auto"/>
            <w:bottom w:val="none" w:sz="0" w:space="0" w:color="auto"/>
            <w:right w:val="none" w:sz="0" w:space="0" w:color="auto"/>
          </w:divBdr>
        </w:div>
        <w:div w:id="300616540">
          <w:marLeft w:val="0"/>
          <w:marRight w:val="0"/>
          <w:marTop w:val="0"/>
          <w:marBottom w:val="160"/>
          <w:divBdr>
            <w:top w:val="none" w:sz="0" w:space="0" w:color="auto"/>
            <w:left w:val="none" w:sz="0" w:space="0" w:color="auto"/>
            <w:bottom w:val="none" w:sz="0" w:space="0" w:color="auto"/>
            <w:right w:val="none" w:sz="0" w:space="0" w:color="auto"/>
          </w:divBdr>
        </w:div>
      </w:divsChild>
    </w:div>
    <w:div w:id="1464344345">
      <w:bodyDiv w:val="1"/>
      <w:marLeft w:val="0"/>
      <w:marRight w:val="0"/>
      <w:marTop w:val="0"/>
      <w:marBottom w:val="0"/>
      <w:divBdr>
        <w:top w:val="none" w:sz="0" w:space="0" w:color="auto"/>
        <w:left w:val="none" w:sz="0" w:space="0" w:color="auto"/>
        <w:bottom w:val="none" w:sz="0" w:space="0" w:color="auto"/>
        <w:right w:val="none" w:sz="0" w:space="0" w:color="auto"/>
      </w:divBdr>
    </w:div>
    <w:div w:id="1528980716">
      <w:bodyDiv w:val="1"/>
      <w:marLeft w:val="0"/>
      <w:marRight w:val="0"/>
      <w:marTop w:val="0"/>
      <w:marBottom w:val="0"/>
      <w:divBdr>
        <w:top w:val="none" w:sz="0" w:space="0" w:color="auto"/>
        <w:left w:val="none" w:sz="0" w:space="0" w:color="auto"/>
        <w:bottom w:val="none" w:sz="0" w:space="0" w:color="auto"/>
        <w:right w:val="none" w:sz="0" w:space="0" w:color="auto"/>
      </w:divBdr>
    </w:div>
    <w:div w:id="1537504650">
      <w:bodyDiv w:val="1"/>
      <w:marLeft w:val="0"/>
      <w:marRight w:val="0"/>
      <w:marTop w:val="0"/>
      <w:marBottom w:val="0"/>
      <w:divBdr>
        <w:top w:val="none" w:sz="0" w:space="0" w:color="auto"/>
        <w:left w:val="none" w:sz="0" w:space="0" w:color="auto"/>
        <w:bottom w:val="none" w:sz="0" w:space="0" w:color="auto"/>
        <w:right w:val="none" w:sz="0" w:space="0" w:color="auto"/>
      </w:divBdr>
    </w:div>
    <w:div w:id="1639333904">
      <w:bodyDiv w:val="1"/>
      <w:marLeft w:val="0"/>
      <w:marRight w:val="0"/>
      <w:marTop w:val="0"/>
      <w:marBottom w:val="0"/>
      <w:divBdr>
        <w:top w:val="none" w:sz="0" w:space="0" w:color="auto"/>
        <w:left w:val="none" w:sz="0" w:space="0" w:color="auto"/>
        <w:bottom w:val="none" w:sz="0" w:space="0" w:color="auto"/>
        <w:right w:val="none" w:sz="0" w:space="0" w:color="auto"/>
      </w:divBdr>
    </w:div>
    <w:div w:id="1748724228">
      <w:bodyDiv w:val="1"/>
      <w:marLeft w:val="0"/>
      <w:marRight w:val="0"/>
      <w:marTop w:val="0"/>
      <w:marBottom w:val="0"/>
      <w:divBdr>
        <w:top w:val="none" w:sz="0" w:space="0" w:color="auto"/>
        <w:left w:val="none" w:sz="0" w:space="0" w:color="auto"/>
        <w:bottom w:val="none" w:sz="0" w:space="0" w:color="auto"/>
        <w:right w:val="none" w:sz="0" w:space="0" w:color="auto"/>
      </w:divBdr>
    </w:div>
    <w:div w:id="1948464195">
      <w:bodyDiv w:val="1"/>
      <w:marLeft w:val="0"/>
      <w:marRight w:val="0"/>
      <w:marTop w:val="0"/>
      <w:marBottom w:val="0"/>
      <w:divBdr>
        <w:top w:val="none" w:sz="0" w:space="0" w:color="auto"/>
        <w:left w:val="none" w:sz="0" w:space="0" w:color="auto"/>
        <w:bottom w:val="none" w:sz="0" w:space="0" w:color="auto"/>
        <w:right w:val="none" w:sz="0" w:space="0" w:color="auto"/>
      </w:divBdr>
    </w:div>
    <w:div w:id="1967421687">
      <w:bodyDiv w:val="1"/>
      <w:marLeft w:val="0"/>
      <w:marRight w:val="0"/>
      <w:marTop w:val="0"/>
      <w:marBottom w:val="0"/>
      <w:divBdr>
        <w:top w:val="none" w:sz="0" w:space="0" w:color="auto"/>
        <w:left w:val="none" w:sz="0" w:space="0" w:color="auto"/>
        <w:bottom w:val="none" w:sz="0" w:space="0" w:color="auto"/>
        <w:right w:val="none" w:sz="0" w:space="0" w:color="auto"/>
      </w:divBdr>
    </w:div>
    <w:div w:id="1991667654">
      <w:bodyDiv w:val="1"/>
      <w:marLeft w:val="0"/>
      <w:marRight w:val="0"/>
      <w:marTop w:val="0"/>
      <w:marBottom w:val="0"/>
      <w:divBdr>
        <w:top w:val="none" w:sz="0" w:space="0" w:color="auto"/>
        <w:left w:val="none" w:sz="0" w:space="0" w:color="auto"/>
        <w:bottom w:val="none" w:sz="0" w:space="0" w:color="auto"/>
        <w:right w:val="none" w:sz="0" w:space="0" w:color="auto"/>
      </w:divBdr>
    </w:div>
    <w:div w:id="2040424866">
      <w:bodyDiv w:val="1"/>
      <w:marLeft w:val="0"/>
      <w:marRight w:val="0"/>
      <w:marTop w:val="0"/>
      <w:marBottom w:val="0"/>
      <w:divBdr>
        <w:top w:val="none" w:sz="0" w:space="0" w:color="auto"/>
        <w:left w:val="none" w:sz="0" w:space="0" w:color="auto"/>
        <w:bottom w:val="none" w:sz="0" w:space="0" w:color="auto"/>
        <w:right w:val="none" w:sz="0" w:space="0" w:color="auto"/>
      </w:divBdr>
    </w:div>
    <w:div w:id="212352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i.org/10.17912/micropub.biology.000811" TargetMode="External"/><Relationship Id="rId4" Type="http://schemas.openxmlformats.org/officeDocument/2006/relationships/webSettings" Target="webSettings.xml"/><Relationship Id="rId9" Type="http://schemas.openxmlformats.org/officeDocument/2006/relationships/image" Target="media/image3.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20</Pages>
  <Words>5927</Words>
  <Characters>33785</Characters>
  <Application>Microsoft Office Word</Application>
  <DocSecurity>0</DocSecurity>
  <Lines>281</Lines>
  <Paragraphs>79</Paragraphs>
  <ScaleCrop>false</ScaleCrop>
  <Company/>
  <LinksUpToDate>false</LinksUpToDate>
  <CharactersWithSpaces>39633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yyzhanglab</dc:creator>
  <cp:keywords/>
  <dc:description/>
  <cp:lastModifiedBy>yyzhanglab</cp:lastModifiedBy>
  <cp:revision>11</cp:revision>
  <dcterms:created xsi:type="dcterms:W3CDTF">2026-04-26T15:38:00Z</dcterms:created>
  <dcterms:modified xsi:type="dcterms:W3CDTF">2026-04-27T12:15:00Z</dcterms:modified>
</cp:coreProperties>
</file>