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AF8AE" w14:textId="77777777" w:rsidR="00AB2370" w:rsidRPr="00AB2370" w:rsidRDefault="00AB2370" w:rsidP="00AB2370">
      <w:pPr>
        <w:rPr>
          <w:rFonts w:hint="eastAsia"/>
        </w:rPr>
      </w:pPr>
      <w:r w:rsidRPr="00AB2370">
        <w:rPr>
          <w:b/>
          <w:bCs/>
        </w:rPr>
        <w:t>Title:</w:t>
      </w:r>
      <w:r w:rsidRPr="00AB2370">
        <w:br/>
      </w:r>
      <w:proofErr w:type="gramStart"/>
      <w:r w:rsidRPr="00AB2370">
        <w:t>Multi-omics</w:t>
      </w:r>
      <w:proofErr w:type="gramEnd"/>
      <w:r w:rsidRPr="00AB2370">
        <w:t xml:space="preserve"> integration reveals a decoupling of leaf-level molecular reprogramming from macroscopic phenotypes during the microgeographic invasion of </w:t>
      </w:r>
      <w:r w:rsidRPr="00AB2370">
        <w:rPr>
          <w:i/>
          <w:iCs/>
        </w:rPr>
        <w:t>Spartina alterniflora</w:t>
      </w:r>
    </w:p>
    <w:p w14:paraId="1FE2E3A2" w14:textId="77777777" w:rsidR="00AB2370" w:rsidRPr="00AB2370" w:rsidRDefault="00AB2370" w:rsidP="00AB2370">
      <w:pPr>
        <w:rPr>
          <w:rFonts w:hint="eastAsia"/>
        </w:rPr>
      </w:pPr>
      <w:r w:rsidRPr="00AB2370">
        <w:rPr>
          <w:b/>
          <w:bCs/>
        </w:rPr>
        <w:t>Abstract:</w:t>
      </w:r>
    </w:p>
    <w:p w14:paraId="5E438F13" w14:textId="77777777" w:rsidR="00AB2370" w:rsidRPr="00AB2370" w:rsidRDefault="00AB2370" w:rsidP="00AB2370">
      <w:pPr>
        <w:rPr>
          <w:rFonts w:hint="eastAsia"/>
        </w:rPr>
      </w:pPr>
      <w:r w:rsidRPr="00AB2370">
        <w:rPr>
          <w:b/>
          <w:bCs/>
        </w:rPr>
        <w:t>Background:</w:t>
      </w:r>
      <w:r w:rsidRPr="00AB2370">
        <w:t> The success of invasive plant species relies on mechanisms ranging from initial genetic sorting to plastic molecular and phenotypic responses. However, because these layers are typically studied in isolation and at macrogeographic scales, the causal linkages connecting short-term local establishment, multi-omics dynamics, and whole-plant phenotypes remain poorly understood.</w:t>
      </w:r>
    </w:p>
    <w:p w14:paraId="60D4AD58" w14:textId="77777777" w:rsidR="00AB2370" w:rsidRPr="00AB2370" w:rsidRDefault="00AB2370" w:rsidP="00AB2370">
      <w:pPr>
        <w:rPr>
          <w:rFonts w:hint="eastAsia"/>
        </w:rPr>
      </w:pPr>
      <w:r w:rsidRPr="00AB2370">
        <w:rPr>
          <w:b/>
          <w:bCs/>
        </w:rPr>
        <w:t>Objective:</w:t>
      </w:r>
      <w:r w:rsidRPr="00AB2370">
        <w:t> We aimed to evaluate the directed network of dependencies bridging spatial location, baseline genetic architecture, intermediate omics, and macroscopic phenotypes over a rapid, microgeographic invasion timeline.</w:t>
      </w:r>
    </w:p>
    <w:p w14:paraId="5A0AFE9B" w14:textId="77777777" w:rsidR="00AB2370" w:rsidRPr="00AB2370" w:rsidRDefault="00AB2370" w:rsidP="00AB2370">
      <w:pPr>
        <w:rPr>
          <w:rFonts w:hint="eastAsia"/>
        </w:rPr>
      </w:pPr>
      <w:r w:rsidRPr="00AB2370">
        <w:rPr>
          <w:b/>
          <w:bCs/>
        </w:rPr>
        <w:t>Methods:</w:t>
      </w:r>
      <w:r w:rsidRPr="00AB2370">
        <w:t xml:space="preserve"> Utilizing a spatial-temporal </w:t>
      </w:r>
      <w:proofErr w:type="spellStart"/>
      <w:r w:rsidRPr="00AB2370">
        <w:t>chronosequence</w:t>
      </w:r>
      <w:proofErr w:type="spellEnd"/>
      <w:r w:rsidRPr="00AB2370">
        <w:t xml:space="preserve"> of the invasive grass </w:t>
      </w:r>
      <w:r w:rsidRPr="00AB2370">
        <w:rPr>
          <w:i/>
          <w:iCs/>
        </w:rPr>
        <w:t>Spartina alterniflora</w:t>
      </w:r>
      <w:r w:rsidRPr="00AB2370">
        <w:t xml:space="preserve"> in the </w:t>
      </w:r>
      <w:proofErr w:type="spellStart"/>
      <w:r w:rsidRPr="00AB2370">
        <w:t>Zhangjiang</w:t>
      </w:r>
      <w:proofErr w:type="spellEnd"/>
      <w:r w:rsidRPr="00AB2370">
        <w:t xml:space="preserve"> Estuary, China—spanning four sequential patches established from 2012 to 2015 across distinct micro-habitat zones—we integrated field phenotyping, population genomics (SNPs), leaf transcriptomics, and untargeted metabolomics. We engineered a two-stage Bayesian hierarchical model to quantify the pathways connecting these biological layers.</w:t>
      </w:r>
    </w:p>
    <w:p w14:paraId="72D660E3" w14:textId="77777777" w:rsidR="00AB2370" w:rsidRPr="00AB2370" w:rsidRDefault="00AB2370" w:rsidP="00AB2370">
      <w:pPr>
        <w:rPr>
          <w:rFonts w:hint="eastAsia"/>
        </w:rPr>
      </w:pPr>
      <w:r w:rsidRPr="00AB2370">
        <w:rPr>
          <w:b/>
          <w:bCs/>
        </w:rPr>
        <w:t>Results:</w:t>
      </w:r>
      <w:r w:rsidRPr="00AB2370">
        <w:t xml:space="preserve"> We observed rapid spatial genetic divergence and significant phenotypic variance across the 3-to-4-year </w:t>
      </w:r>
      <w:proofErr w:type="spellStart"/>
      <w:r w:rsidRPr="00AB2370">
        <w:t>chronosequence</w:t>
      </w:r>
      <w:proofErr w:type="spellEnd"/>
      <w:r w:rsidRPr="00AB2370">
        <w:t>. The Bayesian framework mapped a clearly structured cascade: habitat location strictly drove genetic differentiation (P(E&gt;0) = 1) and synchronized transcriptomic behaviors (involving pathways such as </w:t>
      </w:r>
      <w:r w:rsidRPr="00AB2370">
        <w:rPr>
          <w:b/>
          <w:bCs/>
        </w:rPr>
        <w:t>[Insert 1-2 specific pathways here, e.g., ROS scavenging or secondary metabolite biosynthesis]</w:t>
      </w:r>
      <w:r w:rsidRPr="00AB2370">
        <w:t>), which in turn regulated downstream metabolomic shifts (P(E&gt;0) = 0.997). However, despite this robust leaf-level molecular reprogramming, the coefficients translating intermediate transcriptomic and metabolomic variances directly into structural biomass or spikelet production were notably weak or constrained (e.g., Metabolome → Leaf biomass, P(E&gt;0) = 0.212).</w:t>
      </w:r>
    </w:p>
    <w:p w14:paraId="254FE9D7" w14:textId="77777777" w:rsidR="00AB2370" w:rsidRPr="00AB2370" w:rsidRDefault="00AB2370" w:rsidP="00AB2370">
      <w:pPr>
        <w:rPr>
          <w:rFonts w:hint="eastAsia"/>
        </w:rPr>
      </w:pPr>
      <w:r w:rsidRPr="00AB2370">
        <w:rPr>
          <w:b/>
          <w:bCs/>
        </w:rPr>
        <w:t>Conclusion:</w:t>
      </w:r>
      <w:r w:rsidRPr="00AB2370">
        <w:t> We provide evidence for a decoupling between transient leaf-level omics and cumulative whole-plant phenotypes. Rather than directly dictating final structural traits, </w:t>
      </w:r>
      <w:r w:rsidRPr="00AB2370">
        <w:rPr>
          <w:i/>
          <w:iCs/>
        </w:rPr>
        <w:t>S. alterniflora</w:t>
      </w:r>
      <w:r w:rsidRPr="00AB2370">
        <w:t> utilizes highly sensitive, localized omics adjustments for immediate micro-environmental stress acclimation. This disconnect highlights the temporal mismatch between instantaneous leaf physiological responses and cumulative, polygenic biomass accumulation, which is likely buffered by extensive belowground resource allocation during sequence-driven expansion.</w:t>
      </w:r>
    </w:p>
    <w:p w14:paraId="05CA9CE0" w14:textId="77777777" w:rsidR="00AB2370" w:rsidRPr="00AB2370" w:rsidRDefault="00AB2370" w:rsidP="00AB2370">
      <w:pPr>
        <w:rPr>
          <w:rFonts w:hint="eastAsia"/>
        </w:rPr>
      </w:pPr>
      <w:r w:rsidRPr="00AB2370">
        <w:rPr>
          <w:b/>
          <w:bCs/>
        </w:rPr>
        <w:lastRenderedPageBreak/>
        <w:t>Keywords:</w:t>
      </w:r>
      <w:r w:rsidRPr="00AB2370">
        <w:br/>
      </w:r>
      <w:r w:rsidRPr="00AB2370">
        <w:rPr>
          <w:i/>
          <w:iCs/>
        </w:rPr>
        <w:t>Spartina alterniflora</w:t>
      </w:r>
      <w:r w:rsidRPr="00AB2370">
        <w:t>; biological invasion; multi-omics integration; Bayesian hierarchical model; phenotypic buffering; microgeographic variation; omics-phenotype decoupling</w:t>
      </w:r>
    </w:p>
    <w:p w14:paraId="28702502" w14:textId="77777777" w:rsidR="00ED62C1" w:rsidRDefault="00ED62C1" w:rsidP="00ED62C1"/>
    <w:p w14:paraId="0387A56E" w14:textId="7659D332" w:rsidR="00ED62C1" w:rsidRPr="00ED62C1" w:rsidRDefault="00ED62C1" w:rsidP="00ED62C1">
      <w:pPr>
        <w:rPr>
          <w:rFonts w:hint="eastAsia"/>
          <w:b/>
          <w:bCs/>
        </w:rPr>
      </w:pPr>
      <w:r>
        <w:rPr>
          <w:rFonts w:hint="eastAsia"/>
          <w:b/>
          <w:bCs/>
        </w:rPr>
        <w:t>1</w:t>
      </w:r>
      <w:r w:rsidRPr="00ED62C1">
        <w:rPr>
          <w:rFonts w:hint="eastAsia"/>
          <w:b/>
          <w:bCs/>
        </w:rPr>
        <w:t xml:space="preserve"> | </w:t>
      </w:r>
      <w:r>
        <w:rPr>
          <w:rFonts w:hint="eastAsia"/>
          <w:b/>
          <w:bCs/>
        </w:rPr>
        <w:t>Introduction</w:t>
      </w:r>
    </w:p>
    <w:p w14:paraId="463831A9" w14:textId="70C3F3E2" w:rsidR="00ED62C1" w:rsidRPr="00857230" w:rsidRDefault="00ED62C1" w:rsidP="00ED62C1">
      <w:pPr>
        <w:rPr>
          <w:rFonts w:hint="eastAsia"/>
        </w:rPr>
      </w:pPr>
      <w:r w:rsidRPr="00857230">
        <w:t>When exotic species rapidly colonize heterogeneous novel environments, they rely on a combination of phenotypic plasticity, spatial genetic sorting from initial founder events, and localized genetic structuring [Reference Needed]. Historically, phenotypic plasticity was considered the primary mechanism facilitating the initial stages of invasion. However, recent evidence suggests that fine-scale genetic differentiation can occur over exceptionally short timescales, interacting with plastic responses to serve as a key driver of expansion dynamics at local scales [Reference Needed].</w:t>
      </w:r>
    </w:p>
    <w:p w14:paraId="74D605FF" w14:textId="77777777" w:rsidR="00ED62C1" w:rsidRPr="00857230" w:rsidRDefault="00ED62C1" w:rsidP="00ED62C1">
      <w:pPr>
        <w:rPr>
          <w:rFonts w:hint="eastAsia"/>
        </w:rPr>
      </w:pPr>
      <w:r w:rsidRPr="00857230">
        <w:rPr>
          <w:i/>
          <w:iCs/>
        </w:rPr>
        <w:t>Spartina alterniflora</w:t>
      </w:r>
      <w:r w:rsidRPr="00857230">
        <w:t> (smooth cordgrass) is a highly successful invasive plant in global coastal salt marshes, characterized by its strong capacity for both clonal propagation and sexual reproduction [Reference Needed]. The species significantly alters estuarine hydrology, sediment dynamics, and native biodiversity, often outcompeting natural mangrove communities [Reference Needed]. Because of its extensive coastal distribution, prior evolutionary studies on </w:t>
      </w:r>
      <w:r w:rsidRPr="00857230">
        <w:rPr>
          <w:i/>
          <w:iCs/>
        </w:rPr>
        <w:t>S. alterniflora</w:t>
      </w:r>
      <w:r w:rsidRPr="00857230">
        <w:t> have predominantly focused on macrogeographic patterns, successfully documenting large-scale adaptive clines across continental latitudinal gradients [Reference Needed]. However, the dynamics of these invasive populations at the microgeographic scale—where natural invasion processes are highly dynamic and spatially explicit—remain poorly understood.</w:t>
      </w:r>
    </w:p>
    <w:p w14:paraId="51B0ED2A" w14:textId="77777777" w:rsidR="00ED62C1" w:rsidRPr="00857230" w:rsidRDefault="00ED62C1" w:rsidP="00ED62C1">
      <w:pPr>
        <w:rPr>
          <w:rFonts w:hint="eastAsia"/>
        </w:rPr>
      </w:pPr>
      <w:r w:rsidRPr="00857230">
        <w:t>As expanding populations establish sequentially, they form chronological successional patches over just a few years. Despite existing in close proximity, these temporal patches often present distinct microenvironmental pressures, such as variations in tidal inundation, soil anoxia, nutrient availability, and density-dependent competition [Reference Needed]. It remains unclear how </w:t>
      </w:r>
      <w:r w:rsidRPr="00857230">
        <w:rPr>
          <w:i/>
          <w:iCs/>
        </w:rPr>
        <w:t>S. alterniflora</w:t>
      </w:r>
      <w:r w:rsidRPr="00857230">
        <w:t> rapidly sorts and acclimates across these newly established spatial-temporal gradients. Responding to such localized habitats involves hierarchical biological partitioning—from baseline genetic variations (e.g., initial founder sorting) to shifting gene expression, metabolic regulation, and ultimately structural resource allocation. Because previous studies typically examine these biological layers in isolation [Reference Needed], the causal linkages translating local establishment history into multi-omics dynamics, and finally into whole-plant phenotypic traits, remain largely entangled in wild populations.</w:t>
      </w:r>
    </w:p>
    <w:p w14:paraId="0B8742E5" w14:textId="77777777" w:rsidR="00ED62C1" w:rsidRPr="00857230" w:rsidRDefault="00ED62C1" w:rsidP="00ED62C1">
      <w:pPr>
        <w:rPr>
          <w:rFonts w:hint="eastAsia"/>
        </w:rPr>
      </w:pPr>
      <w:r w:rsidRPr="00857230">
        <w:t xml:space="preserve">Using a natural spatial-temporal </w:t>
      </w:r>
      <w:proofErr w:type="spellStart"/>
      <w:r w:rsidRPr="00857230">
        <w:t>chronosequence</w:t>
      </w:r>
      <w:proofErr w:type="spellEnd"/>
      <w:r w:rsidRPr="00857230">
        <w:t xml:space="preserve"> of </w:t>
      </w:r>
      <w:r w:rsidRPr="00857230">
        <w:rPr>
          <w:i/>
          <w:iCs/>
        </w:rPr>
        <w:t>S. alterniflora</w:t>
      </w:r>
      <w:r w:rsidRPr="00857230">
        <w:t xml:space="preserve"> established between 2012 and 2015 in the </w:t>
      </w:r>
      <w:proofErr w:type="spellStart"/>
      <w:r w:rsidRPr="00857230">
        <w:t>Zhangjiang</w:t>
      </w:r>
      <w:proofErr w:type="spellEnd"/>
      <w:r w:rsidRPr="00857230">
        <w:t xml:space="preserve"> Estuary, China, we integrated field phenotypic </w:t>
      </w:r>
      <w:r w:rsidRPr="00857230">
        <w:lastRenderedPageBreak/>
        <w:t>measurements, population genomics (SNPs), transcriptomics, and untargeted metabolomics to dissect these linkages. By utilizing remote sensing to determine the exact colonization years of distinct patches, we built an integrative Bayesian hierarchical framework to evaluate the directed network of dependencies among geographical, genetic, and molecular layers.</w:t>
      </w:r>
    </w:p>
    <w:p w14:paraId="5F1E0E7A" w14:textId="77777777" w:rsidR="00ED62C1" w:rsidRPr="00857230" w:rsidRDefault="00ED62C1" w:rsidP="00ED62C1">
      <w:pPr>
        <w:rPr>
          <w:rFonts w:hint="eastAsia"/>
        </w:rPr>
      </w:pPr>
      <w:r w:rsidRPr="00857230">
        <w:t>Specifically, this study aims to: (1) characterize the multidimensional divergence of </w:t>
      </w:r>
      <w:r w:rsidRPr="00857230">
        <w:rPr>
          <w:i/>
          <w:iCs/>
        </w:rPr>
        <w:t>S. alterniflora</w:t>
      </w:r>
      <w:r w:rsidRPr="00857230">
        <w:t> across a short-term timeline, spanning structural growth, reproductive output, and multi-omics variation; and (2) untangle the magnitude to which spatial location and genetic architecture cascade into transcriptomic and metabolomic reprogramming. Crucially, this integrated model allows us to critically assess whether these intermediate molecular omics layers directly dictate final phenotypic performance in natural microgeographic invasions, providing a comprehensive view of how populations biologically structure themselves during sequence-driven expansion.</w:t>
      </w:r>
    </w:p>
    <w:p w14:paraId="1F1E3C82" w14:textId="77777777" w:rsidR="00ED62C1" w:rsidRPr="00857230" w:rsidRDefault="00ED62C1" w:rsidP="00ED62C1">
      <w:pPr>
        <w:rPr>
          <w:rFonts w:hint="eastAsia"/>
        </w:rPr>
      </w:pPr>
    </w:p>
    <w:p w14:paraId="5073EEF9" w14:textId="77777777" w:rsidR="00ED62C1" w:rsidRPr="00ED62C1" w:rsidRDefault="00ED62C1" w:rsidP="00ED62C1">
      <w:pPr>
        <w:rPr>
          <w:b/>
          <w:bCs/>
        </w:rPr>
      </w:pPr>
      <w:r w:rsidRPr="00ED62C1">
        <w:rPr>
          <w:rFonts w:hint="eastAsia"/>
          <w:b/>
          <w:bCs/>
        </w:rPr>
        <w:t>2 | MATERIALS AND METHODS</w:t>
      </w:r>
    </w:p>
    <w:p w14:paraId="0AA3967C" w14:textId="77777777" w:rsidR="00ED62C1" w:rsidRPr="00ED62C1" w:rsidRDefault="00ED62C1" w:rsidP="00ED62C1">
      <w:pPr>
        <w:rPr>
          <w:rFonts w:hint="eastAsia"/>
          <w:b/>
          <w:bCs/>
        </w:rPr>
      </w:pPr>
      <w:r w:rsidRPr="00ED62C1">
        <w:rPr>
          <w:rFonts w:hint="eastAsia"/>
          <w:b/>
          <w:bCs/>
        </w:rPr>
        <w:t>2.1 | Study site and sample collection</w:t>
      </w:r>
    </w:p>
    <w:p w14:paraId="40D0C639" w14:textId="77777777" w:rsidR="00ED62C1" w:rsidRPr="00ED62C1" w:rsidRDefault="00ED62C1" w:rsidP="00ED62C1">
      <w:pPr>
        <w:rPr>
          <w:rFonts w:hint="eastAsia"/>
        </w:rPr>
      </w:pPr>
      <w:r w:rsidRPr="00ED62C1">
        <w:rPr>
          <w:rFonts w:hint="eastAsia"/>
        </w:rPr>
        <w:t xml:space="preserve">The study was conducted in the estuarine area of the </w:t>
      </w:r>
      <w:proofErr w:type="spellStart"/>
      <w:r w:rsidRPr="00ED62C1">
        <w:rPr>
          <w:rFonts w:hint="eastAsia"/>
        </w:rPr>
        <w:t>Zhangjiangkou</w:t>
      </w:r>
      <w:proofErr w:type="spellEnd"/>
      <w:r w:rsidRPr="00ED62C1">
        <w:rPr>
          <w:rFonts w:hint="eastAsia"/>
        </w:rPr>
        <w:t xml:space="preserve"> Mangrove National Nature Reserve, Zhangzhou, Fujian Province, China (117°24′07″E–117°30′00″E, 23°53′45″N–23°56′00″N; hereafter referred to as the </w:t>
      </w:r>
      <w:proofErr w:type="spellStart"/>
      <w:r w:rsidRPr="00ED62C1">
        <w:rPr>
          <w:rFonts w:hint="eastAsia"/>
        </w:rPr>
        <w:t>Zhangjiang</w:t>
      </w:r>
      <w:proofErr w:type="spellEnd"/>
      <w:r w:rsidRPr="00ED62C1">
        <w:rPr>
          <w:rFonts w:hint="eastAsia"/>
        </w:rPr>
        <w:t xml:space="preserve"> Estuary). Based on colonization years identified from remote-sensing imagery, the Spartina alterniflora population in the </w:t>
      </w:r>
      <w:proofErr w:type="spellStart"/>
      <w:r w:rsidRPr="00ED62C1">
        <w:rPr>
          <w:rFonts w:hint="eastAsia"/>
        </w:rPr>
        <w:t>Zhangjiang</w:t>
      </w:r>
      <w:proofErr w:type="spellEnd"/>
      <w:r w:rsidRPr="00ED62C1">
        <w:rPr>
          <w:rFonts w:hint="eastAsia"/>
        </w:rPr>
        <w:t xml:space="preserve"> Estuary was divided into four patches established in 2012, 2013, 2014, and 2015.</w:t>
      </w:r>
    </w:p>
    <w:p w14:paraId="245154DF" w14:textId="77777777" w:rsidR="00ED62C1" w:rsidRPr="00ED62C1" w:rsidRDefault="00ED62C1" w:rsidP="00ED62C1">
      <w:pPr>
        <w:rPr>
          <w:rFonts w:hint="eastAsia"/>
        </w:rPr>
      </w:pPr>
      <w:r w:rsidRPr="00ED62C1">
        <w:rPr>
          <w:rFonts w:hint="eastAsia"/>
        </w:rPr>
        <w:t>In September 2022, a total of 20 sampling sites were established across the four colonization-year patches, with five randomly placed quadrats (0.5 m × 0.5 m) in each patch. Quadrats were separated by at least 30 m or were located in independent patches to ensure spatial independence. Elevation of each quadrat was measured using real-time kinematic (RTK) surveying.</w:t>
      </w:r>
    </w:p>
    <w:p w14:paraId="5F31B285" w14:textId="77777777" w:rsidR="00ED62C1" w:rsidRPr="00ED62C1" w:rsidRDefault="00ED62C1" w:rsidP="00ED62C1">
      <w:pPr>
        <w:rPr>
          <w:rFonts w:hint="eastAsia"/>
        </w:rPr>
      </w:pPr>
      <w:r w:rsidRPr="00ED62C1">
        <w:rPr>
          <w:rFonts w:hint="eastAsia"/>
        </w:rPr>
        <w:t>Within each quadrat, the number of adult plants and flowering or fruiting individuals was recorded. Plant height was measured for the three tallest individuals. One intact and insect-free plant was randomly collected from each quadrat and returned to the laboratory for oven-drying and biomass allocation measurements. In addition, 10 intact mature inflorescences were collected from each quadrat to measure inflorescence length, spikelet number, numbers of filled and unfilled seeds, and thousand-seed weight of filled seeds.</w:t>
      </w:r>
    </w:p>
    <w:p w14:paraId="109A8B69" w14:textId="77777777" w:rsidR="00ED62C1" w:rsidRPr="00ED62C1" w:rsidRDefault="00ED62C1" w:rsidP="00ED62C1">
      <w:pPr>
        <w:rPr>
          <w:rFonts w:hint="eastAsia"/>
        </w:rPr>
      </w:pPr>
      <w:r w:rsidRPr="00ED62C1">
        <w:rPr>
          <w:rFonts w:hint="eastAsia"/>
        </w:rPr>
        <w:t xml:space="preserve">For multi-omics analyses, one S. alterniflora individual was randomly sampled within </w:t>
      </w:r>
      <w:r w:rsidRPr="00ED62C1">
        <w:rPr>
          <w:rFonts w:hint="eastAsia"/>
        </w:rPr>
        <w:lastRenderedPageBreak/>
        <w:t>each quadrat, and two additional individuals were collected from the interval area between adjacent quadrats. In total, 15 individuals were collected from each patch, yielding 60 leaf samples across the four patches. Leaves were immediately excised, placed into PE tubes, snap-frozen in liquid nitrogen, and transported back to the laboratory for transcriptomic and metabolomic analyses.</w:t>
      </w:r>
    </w:p>
    <w:p w14:paraId="13E2EEA0" w14:textId="77777777" w:rsidR="00ED62C1" w:rsidRPr="00ED62C1" w:rsidRDefault="00ED62C1" w:rsidP="00ED62C1">
      <w:pPr>
        <w:rPr>
          <w:rFonts w:hint="eastAsia"/>
          <w:b/>
          <w:bCs/>
        </w:rPr>
      </w:pPr>
      <w:r w:rsidRPr="00ED62C1">
        <w:rPr>
          <w:rFonts w:hint="eastAsia"/>
          <w:b/>
          <w:bCs/>
        </w:rPr>
        <w:t>2.2 | RNA extraction, transcriptome profiling, and genetic differentiation analyses</w:t>
      </w:r>
    </w:p>
    <w:p w14:paraId="03E91B70" w14:textId="77777777" w:rsidR="00ED62C1" w:rsidRPr="00ED62C1" w:rsidRDefault="00ED62C1" w:rsidP="00ED62C1">
      <w:pPr>
        <w:rPr>
          <w:rFonts w:hint="eastAsia"/>
        </w:rPr>
      </w:pPr>
      <w:r w:rsidRPr="00ED62C1">
        <w:rPr>
          <w:rFonts w:hint="eastAsia"/>
        </w:rPr>
        <w:t xml:space="preserve">To characterize both gene expression variation and genetic differentiation across colonization-year patches, we used the same leaf samples for transcriptomic sequencing and SNP-based analyses. To ensure correspondence between transcriptomic and metabolomic datasets, each leaf sample was divided into two portions for RNA extraction and metabolomic analysis, respectively. Total RNA was extracted from liquid nitrogen-frozen leaves using the </w:t>
      </w:r>
      <w:proofErr w:type="spellStart"/>
      <w:r w:rsidRPr="00ED62C1">
        <w:rPr>
          <w:rFonts w:hint="eastAsia"/>
        </w:rPr>
        <w:t>TRIzol</w:t>
      </w:r>
      <w:proofErr w:type="spellEnd"/>
      <w:r w:rsidRPr="00ED62C1">
        <w:rPr>
          <w:rFonts w:hint="eastAsia"/>
        </w:rPr>
        <w:t xml:space="preserve"> method. RNA quality was assessed using a </w:t>
      </w:r>
      <w:proofErr w:type="spellStart"/>
      <w:r w:rsidRPr="00ED62C1">
        <w:rPr>
          <w:rFonts w:hint="eastAsia"/>
        </w:rPr>
        <w:t>NanoDrop</w:t>
      </w:r>
      <w:proofErr w:type="spellEnd"/>
      <w:r w:rsidRPr="00ED62C1">
        <w:rPr>
          <w:rFonts w:hint="eastAsia"/>
        </w:rPr>
        <w:t xml:space="preserve"> 2000C spectrophotometer (</w:t>
      </w:r>
      <w:proofErr w:type="spellStart"/>
      <w:r w:rsidRPr="00ED62C1">
        <w:rPr>
          <w:rFonts w:hint="eastAsia"/>
        </w:rPr>
        <w:t>Thermo</w:t>
      </w:r>
      <w:proofErr w:type="spellEnd"/>
      <w:r w:rsidRPr="00ED62C1">
        <w:rPr>
          <w:rFonts w:hint="eastAsia"/>
        </w:rPr>
        <w:t xml:space="preserve"> Fisher Scientific, Waltham, MA, USA). cDNA library construction and paired-end sequencing (150 bp) were performed on the Illumina </w:t>
      </w:r>
      <w:proofErr w:type="spellStart"/>
      <w:r w:rsidRPr="00ED62C1">
        <w:rPr>
          <w:rFonts w:hint="eastAsia"/>
        </w:rPr>
        <w:t>NovaSeq</w:t>
      </w:r>
      <w:proofErr w:type="spellEnd"/>
      <w:r w:rsidRPr="00ED62C1">
        <w:rPr>
          <w:rFonts w:hint="eastAsia"/>
        </w:rPr>
        <w:t xml:space="preserve"> 6000 platform (Illumina, San Diego, CA, USA).</w:t>
      </w:r>
    </w:p>
    <w:p w14:paraId="20CE4AB7" w14:textId="77777777" w:rsidR="00ED62C1" w:rsidRPr="00ED62C1" w:rsidRDefault="00ED62C1" w:rsidP="00ED62C1">
      <w:pPr>
        <w:rPr>
          <w:rFonts w:hint="eastAsia"/>
        </w:rPr>
      </w:pPr>
      <w:r w:rsidRPr="00ED62C1">
        <w:rPr>
          <w:rFonts w:hint="eastAsia"/>
        </w:rPr>
        <w:t xml:space="preserve">Raw transcriptomic reads were first assessed for sequence quality using </w:t>
      </w:r>
      <w:proofErr w:type="spellStart"/>
      <w:r w:rsidRPr="00ED62C1">
        <w:rPr>
          <w:rFonts w:hint="eastAsia"/>
        </w:rPr>
        <w:t>FastQC</w:t>
      </w:r>
      <w:proofErr w:type="spellEnd"/>
      <w:r w:rsidRPr="00ED62C1">
        <w:rPr>
          <w:rFonts w:hint="eastAsia"/>
        </w:rPr>
        <w:t xml:space="preserve"> (Andrews, 2010). After quality control, clean reads were mapped to the </w:t>
      </w:r>
      <w:r w:rsidRPr="00ED62C1">
        <w:rPr>
          <w:rFonts w:hint="eastAsia"/>
          <w:i/>
          <w:iCs/>
        </w:rPr>
        <w:t>S. alterniflora</w:t>
      </w:r>
      <w:r w:rsidRPr="00ED62C1">
        <w:rPr>
          <w:rFonts w:hint="eastAsia"/>
        </w:rPr>
        <w:t xml:space="preserve"> reference genome, which was obtained from previously published data in the China National </w:t>
      </w:r>
      <w:proofErr w:type="spellStart"/>
      <w:r w:rsidRPr="00ED62C1">
        <w:rPr>
          <w:rFonts w:hint="eastAsia"/>
        </w:rPr>
        <w:t>GeneBank</w:t>
      </w:r>
      <w:proofErr w:type="spellEnd"/>
      <w:r w:rsidRPr="00ED62C1">
        <w:rPr>
          <w:rFonts w:hint="eastAsia"/>
        </w:rPr>
        <w:t xml:space="preserve"> Database. To improve functional annotation, the reference genome was re-annotated using the </w:t>
      </w:r>
      <w:proofErr w:type="spellStart"/>
      <w:r w:rsidRPr="00ED62C1">
        <w:rPr>
          <w:rFonts w:hint="eastAsia"/>
        </w:rPr>
        <w:t>InterPro</w:t>
      </w:r>
      <w:proofErr w:type="spellEnd"/>
      <w:r w:rsidRPr="00ED62C1">
        <w:rPr>
          <w:rFonts w:hint="eastAsia"/>
        </w:rPr>
        <w:t xml:space="preserve"> database (Blum et al., 2021). High-quality reads were aligned to the reference genome using STAR v2.7.1 (</w:t>
      </w:r>
      <w:proofErr w:type="spellStart"/>
      <w:r w:rsidRPr="00ED62C1">
        <w:rPr>
          <w:rFonts w:hint="eastAsia"/>
        </w:rPr>
        <w:t>Dobin</w:t>
      </w:r>
      <w:proofErr w:type="spellEnd"/>
      <w:r w:rsidRPr="00ED62C1">
        <w:rPr>
          <w:rFonts w:hint="eastAsia"/>
        </w:rPr>
        <w:t xml:space="preserve"> et al., 2013), raw gene counts were generated with </w:t>
      </w:r>
      <w:proofErr w:type="spellStart"/>
      <w:r w:rsidRPr="00ED62C1">
        <w:rPr>
          <w:rFonts w:hint="eastAsia"/>
        </w:rPr>
        <w:t>featureCounts</w:t>
      </w:r>
      <w:proofErr w:type="spellEnd"/>
      <w:r w:rsidRPr="00ED62C1">
        <w:rPr>
          <w:rFonts w:hint="eastAsia"/>
        </w:rPr>
        <w:t xml:space="preserve"> v2.0.6 (Liao et al., 2014), and count data were normalized using DESeq2 (Love et al., 2014).</w:t>
      </w:r>
    </w:p>
    <w:p w14:paraId="25151CB5" w14:textId="77777777" w:rsidR="00ED62C1" w:rsidRPr="00ED62C1" w:rsidRDefault="00ED62C1" w:rsidP="00ED62C1">
      <w:pPr>
        <w:rPr>
          <w:rFonts w:hint="eastAsia"/>
        </w:rPr>
      </w:pPr>
      <w:r w:rsidRPr="00ED62C1">
        <w:rPr>
          <w:rFonts w:hint="eastAsia"/>
        </w:rPr>
        <w:t xml:space="preserve">To identify gene expression patterns associated with different colonization-year patches, normalized transcriptomic data were subjected to soft clustering using the </w:t>
      </w:r>
      <w:proofErr w:type="spellStart"/>
      <w:r w:rsidRPr="00ED62C1">
        <w:rPr>
          <w:rFonts w:hint="eastAsia"/>
        </w:rPr>
        <w:t>Mfuzz</w:t>
      </w:r>
      <w:proofErr w:type="spellEnd"/>
      <w:r w:rsidRPr="00ED62C1">
        <w:rPr>
          <w:rFonts w:hint="eastAsia"/>
        </w:rPr>
        <w:t xml:space="preserve"> package (Kumar &amp; </w:t>
      </w:r>
      <w:proofErr w:type="spellStart"/>
      <w:r w:rsidRPr="00ED62C1">
        <w:rPr>
          <w:rFonts w:hint="eastAsia"/>
        </w:rPr>
        <w:t>Futschik</w:t>
      </w:r>
      <w:proofErr w:type="spellEnd"/>
      <w:r w:rsidRPr="00ED62C1">
        <w:rPr>
          <w:rFonts w:hint="eastAsia"/>
        </w:rPr>
        <w:t xml:space="preserve">, 2007). The four colonization-year patches were treated as an ordered gradient for clustering. The optimal cluster number was determined based on minimum centroid distance. Transcripts with membership values &gt; 0.5 were defined as core genes in each cluster, and these core gene sets were further </w:t>
      </w:r>
      <w:proofErr w:type="spellStart"/>
      <w:r w:rsidRPr="00ED62C1">
        <w:rPr>
          <w:rFonts w:hint="eastAsia"/>
        </w:rPr>
        <w:t>analysed</w:t>
      </w:r>
      <w:proofErr w:type="spellEnd"/>
      <w:r w:rsidRPr="00ED62C1">
        <w:rPr>
          <w:rFonts w:hint="eastAsia"/>
        </w:rPr>
        <w:t xml:space="preserve"> by Gene Ontology (GO) enrichment using </w:t>
      </w:r>
      <w:proofErr w:type="spellStart"/>
      <w:r w:rsidRPr="00ED62C1">
        <w:rPr>
          <w:rFonts w:hint="eastAsia"/>
        </w:rPr>
        <w:t>clusterProfiler</w:t>
      </w:r>
      <w:proofErr w:type="spellEnd"/>
      <w:r w:rsidRPr="00ED62C1">
        <w:rPr>
          <w:rFonts w:hint="eastAsia"/>
        </w:rPr>
        <w:t xml:space="preserve"> (Yu et al., 2012). Redundant GO terms were further summarized using </w:t>
      </w:r>
      <w:proofErr w:type="spellStart"/>
      <w:r w:rsidRPr="00ED62C1">
        <w:rPr>
          <w:rFonts w:hint="eastAsia"/>
        </w:rPr>
        <w:t>rrvgo</w:t>
      </w:r>
      <w:proofErr w:type="spellEnd"/>
      <w:r w:rsidRPr="00ED62C1">
        <w:rPr>
          <w:rFonts w:hint="eastAsia"/>
        </w:rPr>
        <w:t xml:space="preserve"> (</w:t>
      </w:r>
      <w:proofErr w:type="spellStart"/>
      <w:r w:rsidRPr="00ED62C1">
        <w:rPr>
          <w:rFonts w:hint="eastAsia"/>
        </w:rPr>
        <w:t>Sayols</w:t>
      </w:r>
      <w:proofErr w:type="spellEnd"/>
      <w:r w:rsidRPr="00ED62C1">
        <w:rPr>
          <w:rFonts w:hint="eastAsia"/>
        </w:rPr>
        <w:t>, 2023).</w:t>
      </w:r>
    </w:p>
    <w:p w14:paraId="35FB1782" w14:textId="77777777" w:rsidR="00ED62C1" w:rsidRPr="00ED62C1" w:rsidRDefault="00ED62C1" w:rsidP="00ED62C1">
      <w:pPr>
        <w:rPr>
          <w:rFonts w:hint="eastAsia"/>
        </w:rPr>
      </w:pPr>
      <w:r w:rsidRPr="00ED62C1">
        <w:rPr>
          <w:rFonts w:hint="eastAsia"/>
        </w:rPr>
        <w:t xml:space="preserve">To assess genetic differentiation among colonization-year patches, sequence variants were called from the alignment files and filtered to retain high-quality SNPs using the GATK pipeline (McKenna et al., 2010) and </w:t>
      </w:r>
      <w:proofErr w:type="spellStart"/>
      <w:r w:rsidRPr="00ED62C1">
        <w:rPr>
          <w:rFonts w:hint="eastAsia"/>
        </w:rPr>
        <w:t>SAMtools</w:t>
      </w:r>
      <w:proofErr w:type="spellEnd"/>
      <w:r w:rsidRPr="00ED62C1">
        <w:rPr>
          <w:rFonts w:hint="eastAsia"/>
        </w:rPr>
        <w:t xml:space="preserve"> (Li et al., 2009a). Additional SNP filtering and downstream genotype processing were conducted using </w:t>
      </w:r>
      <w:proofErr w:type="spellStart"/>
      <w:r w:rsidRPr="00ED62C1">
        <w:rPr>
          <w:rFonts w:hint="eastAsia"/>
        </w:rPr>
        <w:t>VCFtools</w:t>
      </w:r>
      <w:proofErr w:type="spellEnd"/>
      <w:r w:rsidRPr="00ED62C1">
        <w:rPr>
          <w:rFonts w:hint="eastAsia"/>
        </w:rPr>
        <w:t xml:space="preserve"> (</w:t>
      </w:r>
      <w:proofErr w:type="spellStart"/>
      <w:r w:rsidRPr="00ED62C1">
        <w:rPr>
          <w:rFonts w:hint="eastAsia"/>
        </w:rPr>
        <w:t>Danecek</w:t>
      </w:r>
      <w:proofErr w:type="spellEnd"/>
      <w:r w:rsidRPr="00ED62C1">
        <w:rPr>
          <w:rFonts w:hint="eastAsia"/>
        </w:rPr>
        <w:t xml:space="preserve"> et al., 2011) and PLINK/PLINK 2 (Purcell et al., 2007; Chang et al., 2015). The </w:t>
      </w:r>
      <w:r w:rsidRPr="00ED62C1">
        <w:rPr>
          <w:rFonts w:hint="eastAsia"/>
        </w:rPr>
        <w:lastRenderedPageBreak/>
        <w:t>retained SNPs were used to (1) estimate pairwise relatedness among individuals, (2) quantify genetic differentiation and nucleotide diversity for each patch relative to the other three patches, and (3) identify significantly differentiated SNPs for subsequent principal component analysis (PCA).</w:t>
      </w:r>
    </w:p>
    <w:p w14:paraId="7CC1A233" w14:textId="77777777" w:rsidR="00ED62C1" w:rsidRPr="00ED62C1" w:rsidRDefault="00ED62C1" w:rsidP="00ED62C1">
      <w:pPr>
        <w:rPr>
          <w:rFonts w:hint="eastAsia"/>
          <w:b/>
          <w:bCs/>
        </w:rPr>
      </w:pPr>
      <w:r w:rsidRPr="00ED62C1">
        <w:rPr>
          <w:rFonts w:hint="eastAsia"/>
          <w:b/>
          <w:bCs/>
        </w:rPr>
        <w:t>2.3 | Untargeted metabolomics</w:t>
      </w:r>
    </w:p>
    <w:p w14:paraId="2B7885C6" w14:textId="77777777" w:rsidR="00ED62C1" w:rsidRPr="00ED62C1" w:rsidRDefault="00ED62C1" w:rsidP="00ED62C1">
      <w:pPr>
        <w:rPr>
          <w:rFonts w:hint="eastAsia"/>
        </w:rPr>
      </w:pPr>
      <w:r w:rsidRPr="00ED62C1">
        <w:rPr>
          <w:rFonts w:hint="eastAsia"/>
        </w:rPr>
        <w:t xml:space="preserve">The remaining half of each leaf sample was used for untargeted metabolomic analysis. Metabolite extraction and liquid chromatography–mass spectrometry (LC–MS) analysis were conducted by </w:t>
      </w:r>
      <w:proofErr w:type="spellStart"/>
      <w:r w:rsidRPr="00ED62C1">
        <w:rPr>
          <w:rFonts w:hint="eastAsia"/>
        </w:rPr>
        <w:t>Novogene</w:t>
      </w:r>
      <w:proofErr w:type="spellEnd"/>
      <w:r w:rsidRPr="00ED62C1">
        <w:rPr>
          <w:rFonts w:hint="eastAsia"/>
        </w:rPr>
        <w:t xml:space="preserve"> Bioinformatics Technology Co., Ltd. Raw mass spectrometry data were converted into standard formats and processed in </w:t>
      </w:r>
      <w:proofErr w:type="spellStart"/>
      <w:r w:rsidRPr="00ED62C1">
        <w:rPr>
          <w:rFonts w:hint="eastAsia"/>
        </w:rPr>
        <w:t>MZmine</w:t>
      </w:r>
      <w:proofErr w:type="spellEnd"/>
      <w:r w:rsidRPr="00ED62C1">
        <w:rPr>
          <w:rFonts w:hint="eastAsia"/>
        </w:rPr>
        <w:t xml:space="preserve"> v4.8 for peak detection, deconvolution, isotope grouping, peak alignment, and gap filling. Only metabolite features with MS/MS fragmentation information were retained for further analysis.</w:t>
      </w:r>
    </w:p>
    <w:p w14:paraId="49B0D186" w14:textId="77777777" w:rsidR="00ED62C1" w:rsidRPr="00ED62C1" w:rsidRDefault="00ED62C1" w:rsidP="00ED62C1">
      <w:pPr>
        <w:rPr>
          <w:rFonts w:hint="eastAsia"/>
        </w:rPr>
      </w:pPr>
      <w:r w:rsidRPr="00ED62C1">
        <w:rPr>
          <w:rFonts w:hint="eastAsia"/>
        </w:rPr>
        <w:t xml:space="preserve">Metabolite features were then annotated using SIRIUS v5.3.0 and its associated modules for molecular formula prediction, structural annotation, and compound classification. Feature-based molecular networking was further conducted on the GNPS platform to assist metabolite annotation. The final annotations from GNPS and SIRIUS were integrated and converted into KEGG identifiers for downstream pathway analysis. Metabolite annotation confidence was classified with reference to the framework proposed by </w:t>
      </w:r>
      <w:proofErr w:type="spellStart"/>
      <w:r w:rsidRPr="00ED62C1">
        <w:rPr>
          <w:rFonts w:hint="eastAsia"/>
        </w:rPr>
        <w:t>Schymanski</w:t>
      </w:r>
      <w:proofErr w:type="spellEnd"/>
      <w:r w:rsidRPr="00ED62C1">
        <w:rPr>
          <w:rFonts w:hint="eastAsia"/>
        </w:rPr>
        <w:t xml:space="preserve"> et al. (2014) for communicating confidence in small-molecule identification based on high-resolution mass spectrometry.</w:t>
      </w:r>
    </w:p>
    <w:p w14:paraId="1F62DE4B" w14:textId="77777777" w:rsidR="00ED62C1" w:rsidRPr="00ED62C1" w:rsidRDefault="00ED62C1" w:rsidP="00ED62C1">
      <w:pPr>
        <w:rPr>
          <w:rFonts w:hint="eastAsia"/>
        </w:rPr>
      </w:pPr>
      <w:r w:rsidRPr="00ED62C1">
        <w:rPr>
          <w:rFonts w:hint="eastAsia"/>
        </w:rPr>
        <w:t>Because strong batch effects remained evident after testing multiple correction approaches, and no method satisfactorily removed batch-associated separation without risking distortion of the biological structure, only samples from the second batch were retained for downstream metabolomic analyses. After exclusion of batch 1, the retained metabolomic sample sizes were 10, 15, 15, and 10 for the 2012, 2013, 2014, and 2015 patches, respectively. This reduction in sample size and balance should be considered when interpreting metabolome-based patterns.</w:t>
      </w:r>
    </w:p>
    <w:p w14:paraId="2EF6AA34" w14:textId="77777777" w:rsidR="00ED62C1" w:rsidRPr="00ED62C1" w:rsidRDefault="00ED62C1" w:rsidP="00ED62C1">
      <w:pPr>
        <w:rPr>
          <w:rFonts w:hint="eastAsia"/>
          <w:b/>
          <w:bCs/>
        </w:rPr>
      </w:pPr>
      <w:r w:rsidRPr="00ED62C1">
        <w:rPr>
          <w:rFonts w:hint="eastAsia"/>
          <w:b/>
          <w:bCs/>
        </w:rPr>
        <w:t>2.4 | Bayesian hierarchical model</w:t>
      </w:r>
    </w:p>
    <w:p w14:paraId="47EC6741" w14:textId="77777777" w:rsidR="00ED62C1" w:rsidRPr="00ED62C1" w:rsidRDefault="00ED62C1" w:rsidP="00ED62C1">
      <w:pPr>
        <w:rPr>
          <w:rFonts w:hint="eastAsia"/>
        </w:rPr>
      </w:pPr>
      <w:r w:rsidRPr="00ED62C1">
        <w:rPr>
          <w:rFonts w:hint="eastAsia"/>
        </w:rPr>
        <w:t>To integrate phenotypic, transcriptomic, metabolomic, genetic, and spatial information within a common analytical framework, we constructed an integrative Bayesian hierarchical model. Before model fitting, all datasets were matched by sample identity, and only samples for which phenotypic, metabolomic, transcriptomic, and SNP data were simultaneously available were retained. This filtering resulted in a final set of 20 samples used for hierarchical modeling.</w:t>
      </w:r>
    </w:p>
    <w:p w14:paraId="534204B3" w14:textId="77777777" w:rsidR="00ED62C1" w:rsidRPr="00ED62C1" w:rsidRDefault="00ED62C1" w:rsidP="00ED62C1">
      <w:pPr>
        <w:rPr>
          <w:rFonts w:hint="eastAsia"/>
        </w:rPr>
      </w:pPr>
      <w:r w:rsidRPr="00ED62C1">
        <w:rPr>
          <w:rFonts w:hint="eastAsia"/>
        </w:rPr>
        <w:t>To reduce dimensionality and obtain comparable summary descriptors across high-</w:t>
      </w:r>
      <w:r w:rsidRPr="00ED62C1">
        <w:rPr>
          <w:rFonts w:hint="eastAsia"/>
        </w:rPr>
        <w:lastRenderedPageBreak/>
        <w:t>dimensional data types, principal component analysis (PCA) was performed separately for spatial position, SNP variation, transcriptomic variation, and metabolomic variation. For each of these datasets, the first principal component (PC1) was used as a univariate summary variable representing the dominant axis of variation. Spatial-position PC1 was derived from quadrat longitude and latitude. PC1 scores for spatial position, SNPs, transcriptomic data, and metabolomic data were normalized prior to model fitting. By contrast, leaf biomass and spikelet number were entered into the model as observed phenotypic variables representing growth and reproductive performance, respectively.</w:t>
      </w:r>
    </w:p>
    <w:p w14:paraId="26BB29EF" w14:textId="77777777" w:rsidR="00ED62C1" w:rsidRPr="00ED62C1" w:rsidRDefault="00ED62C1" w:rsidP="00ED62C1">
      <w:pPr>
        <w:rPr>
          <w:rFonts w:hint="eastAsia"/>
        </w:rPr>
      </w:pPr>
      <w:r w:rsidRPr="00ED62C1">
        <w:rPr>
          <w:rFonts w:hint="eastAsia"/>
        </w:rPr>
        <w:t>The hierarchical model was structured in two layers. In the first layer, transcriptomic and metabolomic PC1 scores were modeled as responses to spatial position and SNP variation. In the second layer, phenotypic responses were modeled as functions of the transcriptomic and metabolomic components estimated in the first layer. Leaf biomass was used as the growth-related phenotypic response, and spikelet number was used as the reproductive phenotypic response.</w:t>
      </w:r>
    </w:p>
    <w:p w14:paraId="754486AB" w14:textId="77777777" w:rsidR="00ED62C1" w:rsidRPr="00ED62C1" w:rsidRDefault="00ED62C1" w:rsidP="00ED62C1">
      <w:pPr>
        <w:rPr>
          <w:rFonts w:hint="eastAsia"/>
        </w:rPr>
      </w:pPr>
      <w:r w:rsidRPr="00ED62C1">
        <w:rPr>
          <w:rFonts w:hint="eastAsia"/>
        </w:rPr>
        <w:t>The model included both fixed effects and sample-level random effects. Growth and reproductive responses were modeled jointly so that their covariance structure could be estimated simultaneously within the Bayesian framework. Weakly informative priors were assigned to model parameters, and hyperpriors were used for variance terms to allow shrinkage and reduce the risk of overparameterization.</w:t>
      </w:r>
    </w:p>
    <w:p w14:paraId="60EF4DF2" w14:textId="77777777" w:rsidR="00ED62C1" w:rsidRPr="00ED62C1" w:rsidRDefault="00ED62C1" w:rsidP="00ED62C1">
      <w:pPr>
        <w:rPr>
          <w:rFonts w:hint="eastAsia"/>
        </w:rPr>
      </w:pPr>
      <w:r w:rsidRPr="00ED62C1">
        <w:rPr>
          <w:rFonts w:hint="eastAsia"/>
        </w:rPr>
        <w:t>All parameters were jointly estimated using a Metropolis–Hastings Markov chain Monte Carlo (MCMC) algorithm. Posterior means and 95% credible intervals were used to summarize parameter estimates, and posterior probabilities were used to evaluate the directionality of effects. Additional details of data preprocessing, variable construction, model specification, prior distributions, and MCMC implementation are provided in Supplementary Text S7.</w:t>
      </w:r>
    </w:p>
    <w:p w14:paraId="578E389F" w14:textId="77777777" w:rsidR="00ED62C1" w:rsidRPr="00ED62C1" w:rsidRDefault="00ED62C1" w:rsidP="00ED62C1">
      <w:pPr>
        <w:rPr>
          <w:rFonts w:hint="eastAsia"/>
          <w:b/>
          <w:bCs/>
        </w:rPr>
      </w:pPr>
      <w:r w:rsidRPr="00ED62C1">
        <w:rPr>
          <w:rFonts w:hint="eastAsia"/>
          <w:b/>
          <w:bCs/>
        </w:rPr>
        <w:t>2.5 | Statistical analyses</w:t>
      </w:r>
    </w:p>
    <w:p w14:paraId="061F0155" w14:textId="77777777" w:rsidR="00ED62C1" w:rsidRPr="00ED62C1" w:rsidRDefault="00ED62C1" w:rsidP="00ED62C1">
      <w:pPr>
        <w:rPr>
          <w:rFonts w:hint="eastAsia"/>
        </w:rPr>
      </w:pPr>
      <w:r w:rsidRPr="00ED62C1">
        <w:rPr>
          <w:rFonts w:hint="eastAsia"/>
        </w:rPr>
        <w:t>In addition to the hierarchical modelling framework, a series of conventional multivariate and enrichment analyses were performed to summarize variation within each data layer. Unless otherwise stated, all analyses were performed in R and Python. Principal component analysis was used to evaluate overall divergence among colonization-year patches at the transcriptomic, metabolomic, and genetic levels. GO and KEGG enrichment analyses were used to identify biological processes and metabolic pathways associated with rapid responses at the microgeographic scale. The Bayesian hierarchical model was used to quantify the direct and indirect relationships among patch position, genetic variation, multi-omics variation, and phenotypic traits.</w:t>
      </w:r>
    </w:p>
    <w:p w14:paraId="6E82DDFC" w14:textId="77777777" w:rsidR="00ED62C1" w:rsidRPr="00ED62C1" w:rsidRDefault="00ED62C1" w:rsidP="00ED62C1">
      <w:pPr>
        <w:rPr>
          <w:rFonts w:hint="eastAsia"/>
          <w:b/>
          <w:bCs/>
        </w:rPr>
      </w:pPr>
      <w:r w:rsidRPr="00ED62C1">
        <w:rPr>
          <w:rFonts w:hint="eastAsia"/>
          <w:b/>
          <w:bCs/>
        </w:rPr>
        <w:t>2.5 | Statistical analyses</w:t>
      </w:r>
    </w:p>
    <w:p w14:paraId="2D8B1106" w14:textId="77777777" w:rsidR="00ED62C1" w:rsidRPr="00ED62C1" w:rsidRDefault="00ED62C1" w:rsidP="00ED62C1">
      <w:pPr>
        <w:rPr>
          <w:rFonts w:hint="eastAsia"/>
        </w:rPr>
      </w:pPr>
      <w:r w:rsidRPr="00ED62C1">
        <w:rPr>
          <w:rFonts w:hint="eastAsia"/>
        </w:rPr>
        <w:lastRenderedPageBreak/>
        <w:t>In addition to the hierarchical modelling framework, a series of conventional multivariate and enrichment analyses were performed to summarize variation within each data layer. Unless otherwise stated, all analyses were performed in R and Python. Principal component analysis was used to evaluate overall divergence among colonization-year patches at the transcriptomic, metabolomic, and genetic levels. GO and KEGG enrichment analyses were used to identify biological processes and metabolic pathways associated with rapid responses at the microgeographic scale. The Bayesian hierarchical model was used to quantify the direct and indirect relationships among patch position, genetic variation, multi-omics variation, and phenotypic traits.</w:t>
      </w:r>
    </w:p>
    <w:p w14:paraId="23C8ABFE" w14:textId="77777777" w:rsidR="00EC509A" w:rsidRDefault="00EC509A"/>
    <w:p w14:paraId="5603EE7B" w14:textId="77777777" w:rsidR="00ED62C1" w:rsidRPr="000E4A99" w:rsidRDefault="00ED62C1" w:rsidP="00ED62C1">
      <w:pPr>
        <w:rPr>
          <w:rFonts w:hint="eastAsia"/>
          <w:b/>
          <w:bCs/>
        </w:rPr>
      </w:pPr>
      <w:r w:rsidRPr="000E4A99">
        <w:rPr>
          <w:b/>
          <w:bCs/>
        </w:rPr>
        <w:t>3 | RESULTS</w:t>
      </w:r>
    </w:p>
    <w:p w14:paraId="6FE0BE12" w14:textId="77777777" w:rsidR="00ED62C1" w:rsidRPr="000E4A99" w:rsidRDefault="00ED62C1" w:rsidP="00ED62C1">
      <w:pPr>
        <w:rPr>
          <w:rFonts w:hint="eastAsia"/>
          <w:b/>
          <w:bCs/>
        </w:rPr>
      </w:pPr>
      <w:r w:rsidRPr="000E4A99">
        <w:rPr>
          <w:b/>
          <w:bCs/>
        </w:rPr>
        <w:t>3.1 | Phenotypic Variations Across Colonization Years</w:t>
      </w:r>
    </w:p>
    <w:p w14:paraId="1BE8AD21" w14:textId="77777777" w:rsidR="00ED62C1" w:rsidRDefault="00ED62C1" w:rsidP="00ED62C1">
      <w:pPr>
        <w:rPr>
          <w:b/>
          <w:bCs/>
        </w:rPr>
      </w:pPr>
      <w:r w:rsidRPr="000E4A99">
        <w:rPr>
          <w:b/>
          <w:bCs/>
        </w:rPr>
        <w:t>To investigate the temporal dynamics of </w:t>
      </w:r>
      <w:r w:rsidRPr="000E4A99">
        <w:rPr>
          <w:b/>
          <w:bCs/>
          <w:i/>
          <w:iCs/>
        </w:rPr>
        <w:t>Spartina alterniflora</w:t>
      </w:r>
      <w:r w:rsidRPr="000E4A99">
        <w:rPr>
          <w:b/>
          <w:bCs/>
        </w:rPr>
        <w:t xml:space="preserve"> invasion, we established a sampling design in the estuarine area of the </w:t>
      </w:r>
      <w:proofErr w:type="spellStart"/>
      <w:r w:rsidRPr="000E4A99">
        <w:rPr>
          <w:b/>
          <w:bCs/>
        </w:rPr>
        <w:t>Zhangjiangkou</w:t>
      </w:r>
      <w:proofErr w:type="spellEnd"/>
      <w:r w:rsidRPr="000E4A99">
        <w:rPr>
          <w:b/>
          <w:bCs/>
        </w:rPr>
        <w:t xml:space="preserve"> Mangrove National Nature Reserve. Using remote-sensing satellite imagery to determine the timing of patch appearance, the local population was categorized into four distinct colonization-year patches (2012, 2013, 2014, and 2015), which were sampled across three microgeographic zones (estuary, competition, and dense zones) (Fig 1a, Fig S1a). Phenotypic measurements were conducted within randomly placed quadrats to evaluate fundamental growth and reproductive features, including biomass allocations and morphological traits for intact plants and mature inflorescences. An analysis of the acquired phenotypic results demonstrated significant multidimensional variations corresponding to the establishment timing of the patches. Specifically, aboveground organ trait indices, including stem biomass, shoot biomass, leaf biomass, and inflorescence biomass, exhibited significant differences among the four patches defined by colonization years (Fig 1b–e). Parallel to these biomass allocations, growth-related morphology and reproductive metrics—namely flowering stem density, plant height, inflorescence length, and spikelet number—also displayed significant spatial-temporal divergence across the </w:t>
      </w:r>
      <w:proofErr w:type="spellStart"/>
      <w:r w:rsidRPr="000E4A99">
        <w:rPr>
          <w:b/>
          <w:bCs/>
        </w:rPr>
        <w:t>chronosequence</w:t>
      </w:r>
      <w:proofErr w:type="spellEnd"/>
      <w:r w:rsidRPr="000E4A99">
        <w:rPr>
          <w:b/>
          <w:bCs/>
        </w:rPr>
        <w:t xml:space="preserve"> (Fig S1b–e). Overall, these phenotypic patterns highlight that </w:t>
      </w:r>
      <w:r w:rsidRPr="000E4A99">
        <w:rPr>
          <w:b/>
          <w:bCs/>
          <w:i/>
          <w:iCs/>
        </w:rPr>
        <w:t>S. alterniflora</w:t>
      </w:r>
      <w:r w:rsidRPr="000E4A99">
        <w:rPr>
          <w:b/>
          <w:bCs/>
        </w:rPr>
        <w:t> patches undergo significant shifts in structural resource allocation and reproductive output traversing different colonization years.</w:t>
      </w:r>
    </w:p>
    <w:p w14:paraId="410E2920" w14:textId="5EE80630" w:rsidR="00ED62C1" w:rsidRDefault="00ED62C1" w:rsidP="00ED62C1">
      <w:pPr>
        <w:rPr>
          <w:b/>
          <w:bCs/>
        </w:rPr>
      </w:pPr>
      <w:r>
        <w:rPr>
          <w:noProof/>
        </w:rPr>
        <w:lastRenderedPageBreak/>
        <w:drawing>
          <wp:inline distT="0" distB="0" distL="0" distR="0" wp14:anchorId="06423696" wp14:editId="1F20A149">
            <wp:extent cx="5274310" cy="6908165"/>
            <wp:effectExtent l="0" t="0" r="254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rotWithShape="1">
                    <a:blip r:embed="rId4" cstate="print">
                      <a:extLst>
                        <a:ext uri="{28A0092B-C50C-407E-A947-70E740481C1C}">
                          <a14:useLocalDpi xmlns:a14="http://schemas.microsoft.com/office/drawing/2010/main" val="0"/>
                        </a:ext>
                      </a:extLst>
                    </a:blip>
                    <a:srcRect l="31522" r="11206"/>
                    <a:stretch/>
                  </pic:blipFill>
                  <pic:spPr bwMode="auto">
                    <a:xfrm>
                      <a:off x="0" y="0"/>
                      <a:ext cx="5274310" cy="6908165"/>
                    </a:xfrm>
                    <a:prstGeom prst="rect">
                      <a:avLst/>
                    </a:prstGeom>
                    <a:ln>
                      <a:noFill/>
                    </a:ln>
                    <a:extLst>
                      <a:ext uri="{53640926-AAD7-44D8-BBD7-CCE9431645EC}">
                        <a14:shadowObscured xmlns:a14="http://schemas.microsoft.com/office/drawing/2010/main"/>
                      </a:ext>
                    </a:extLst>
                  </pic:spPr>
                </pic:pic>
              </a:graphicData>
            </a:graphic>
          </wp:inline>
        </w:drawing>
      </w:r>
    </w:p>
    <w:p w14:paraId="706E86E5" w14:textId="5C0CB10C" w:rsidR="00ED62C1" w:rsidRPr="00ED62C1" w:rsidRDefault="00ED62C1" w:rsidP="00ED62C1">
      <w:pPr>
        <w:rPr>
          <w:rFonts w:hint="eastAsia"/>
          <w:b/>
          <w:bCs/>
        </w:rPr>
      </w:pPr>
      <w:r w:rsidRPr="00ED62C1">
        <w:rPr>
          <w:rFonts w:hint="eastAsia"/>
          <w:b/>
          <w:bCs/>
        </w:rPr>
        <w:t xml:space="preserve">Figure 1 | Sampling design and differences in aboveground organ biomass among Spartina alterniflora patches with different colonization years in the </w:t>
      </w:r>
      <w:proofErr w:type="spellStart"/>
      <w:r w:rsidRPr="00ED62C1">
        <w:rPr>
          <w:rFonts w:hint="eastAsia"/>
          <w:b/>
          <w:bCs/>
        </w:rPr>
        <w:t>Zhangjiang</w:t>
      </w:r>
      <w:proofErr w:type="spellEnd"/>
      <w:r w:rsidRPr="00ED62C1">
        <w:rPr>
          <w:rFonts w:hint="eastAsia"/>
          <w:b/>
          <w:bCs/>
        </w:rPr>
        <w:t xml:space="preserve"> Estuary.</w:t>
      </w:r>
      <w:r w:rsidRPr="00ED62C1">
        <w:rPr>
          <w:rFonts w:hint="eastAsia"/>
          <w:b/>
          <w:bCs/>
        </w:rPr>
        <w:br/>
        <w:t xml:space="preserve">(a) Based on colonization year identified from satellite imagery, the </w:t>
      </w:r>
      <w:r w:rsidRPr="00ED62C1">
        <w:rPr>
          <w:rFonts w:hint="eastAsia"/>
          <w:b/>
          <w:bCs/>
          <w:i/>
        </w:rPr>
        <w:t>S. alterniflora</w:t>
      </w:r>
      <w:r w:rsidRPr="00ED62C1">
        <w:rPr>
          <w:rFonts w:hint="eastAsia"/>
          <w:b/>
          <w:bCs/>
        </w:rPr>
        <w:t xml:space="preserve"> population in the </w:t>
      </w:r>
      <w:proofErr w:type="spellStart"/>
      <w:r w:rsidRPr="00ED62C1">
        <w:rPr>
          <w:rFonts w:hint="eastAsia"/>
          <w:b/>
          <w:bCs/>
        </w:rPr>
        <w:t>Zhangjiang</w:t>
      </w:r>
      <w:proofErr w:type="spellEnd"/>
      <w:r w:rsidRPr="00ED62C1">
        <w:rPr>
          <w:rFonts w:hint="eastAsia"/>
          <w:b/>
          <w:bCs/>
        </w:rPr>
        <w:t xml:space="preserve"> Estuary was divided into four patches established in 2012, 2013, 2014, and 2015. Red, green, blue, and yellow points indicate sampling locations in the 2012, 2013, 2014, and 2015 patches, respectively. According to microgeographic habitat conditions, the population was further classified into </w:t>
      </w:r>
      <w:r w:rsidRPr="00ED62C1">
        <w:rPr>
          <w:rFonts w:hint="eastAsia"/>
          <w:b/>
          <w:bCs/>
        </w:rPr>
        <w:lastRenderedPageBreak/>
        <w:t>three zones: the estuary zone near the river mouth, the competition zone adjacent to mangroves, and the dense zone located in the population core. Blue, green, and yellow ellipses denote the estuary, competition, and dense zones, respectively.</w:t>
      </w:r>
      <w:r w:rsidRPr="00ED62C1">
        <w:rPr>
          <w:rFonts w:hint="eastAsia"/>
          <w:b/>
          <w:bCs/>
        </w:rPr>
        <w:br/>
        <w:t>(b–e) Differences in biomass among the four patches of different colonization years for (b) stem biomass, (c) shoot biomass, (d) leaf biomass, and (e) inflorescence biomass. Different letters above boxplots indicate significant differences among patches (</w:t>
      </w:r>
      <w:r w:rsidRPr="00ED62C1">
        <w:rPr>
          <w:rFonts w:hint="eastAsia"/>
          <w:b/>
          <w:bCs/>
          <w:i/>
        </w:rPr>
        <w:t>P</w:t>
      </w:r>
      <w:r w:rsidRPr="00ED62C1">
        <w:rPr>
          <w:rFonts w:hint="eastAsia"/>
          <w:b/>
          <w:bCs/>
        </w:rPr>
        <w:t xml:space="preserve"> &lt; 0.05).</w:t>
      </w:r>
    </w:p>
    <w:p w14:paraId="484696BE" w14:textId="77777777" w:rsidR="00ED62C1" w:rsidRPr="000E4A99" w:rsidRDefault="00ED62C1" w:rsidP="00ED62C1">
      <w:pPr>
        <w:rPr>
          <w:rFonts w:hint="eastAsia"/>
          <w:b/>
          <w:bCs/>
        </w:rPr>
      </w:pPr>
      <w:r w:rsidRPr="000E4A99">
        <w:rPr>
          <w:b/>
          <w:bCs/>
        </w:rPr>
        <w:t>3.2 | Transcriptomic and Metabolomic Dynamics</w:t>
      </w:r>
    </w:p>
    <w:p w14:paraId="5711C300" w14:textId="77777777" w:rsidR="00ED62C1" w:rsidRPr="000E4A99" w:rsidRDefault="00ED62C1" w:rsidP="00ED62C1">
      <w:pPr>
        <w:rPr>
          <w:rFonts w:hint="eastAsia"/>
          <w:b/>
          <w:bCs/>
        </w:rPr>
      </w:pPr>
      <w:r w:rsidRPr="000E4A99">
        <w:rPr>
          <w:b/>
          <w:bCs/>
        </w:rPr>
        <w:t>We integrated transcriptomic and metabolomic analyses to systematically investigate the underlying molecular differences among the colonization-year patches. To maximize annotation accuracy prior to analysis, a previously published </w:t>
      </w:r>
      <w:r w:rsidRPr="000E4A99">
        <w:rPr>
          <w:b/>
          <w:bCs/>
          <w:i/>
          <w:iCs/>
        </w:rPr>
        <w:t>S. alterniflora</w:t>
      </w:r>
      <w:r w:rsidRPr="000E4A99">
        <w:rPr>
          <w:b/>
          <w:bCs/>
        </w:rPr>
        <w:t xml:space="preserve"> genome was utilized as a functional template and successfully re-annotated through the </w:t>
      </w:r>
      <w:proofErr w:type="spellStart"/>
      <w:r w:rsidRPr="000E4A99">
        <w:rPr>
          <w:b/>
          <w:bCs/>
        </w:rPr>
        <w:t>InterPro</w:t>
      </w:r>
      <w:proofErr w:type="spellEnd"/>
      <w:r w:rsidRPr="000E4A99">
        <w:rPr>
          <w:b/>
          <w:bCs/>
        </w:rPr>
        <w:t xml:space="preserve"> database, resulting in a total of </w:t>
      </w:r>
      <w:r>
        <w:rPr>
          <w:rFonts w:hint="eastAsia"/>
          <w:b/>
          <w:bCs/>
        </w:rPr>
        <w:t>49126</w:t>
      </w:r>
      <w:r w:rsidRPr="000E4A99">
        <w:rPr>
          <w:b/>
          <w:bCs/>
        </w:rPr>
        <w:t> tightly co-annotated core genes.</w:t>
      </w:r>
    </w:p>
    <w:p w14:paraId="5F72B7E1" w14:textId="77777777" w:rsidR="00ED62C1" w:rsidRPr="000E4A99" w:rsidRDefault="00ED62C1" w:rsidP="00ED62C1">
      <w:pPr>
        <w:rPr>
          <w:rFonts w:hint="eastAsia"/>
          <w:b/>
          <w:bCs/>
        </w:rPr>
      </w:pPr>
      <w:r w:rsidRPr="000E4A99">
        <w:rPr>
          <w:b/>
          <w:bCs/>
        </w:rPr>
        <w:t xml:space="preserve">For transcriptomic profiling, total RNA extracted from snap-frozen leaf tissues was sequenced via the Illumina </w:t>
      </w:r>
      <w:proofErr w:type="spellStart"/>
      <w:r w:rsidRPr="000E4A99">
        <w:rPr>
          <w:b/>
          <w:bCs/>
        </w:rPr>
        <w:t>NovaSeq</w:t>
      </w:r>
      <w:proofErr w:type="spellEnd"/>
      <w:r w:rsidRPr="000E4A99">
        <w:rPr>
          <w:b/>
          <w:bCs/>
        </w:rPr>
        <w:t xml:space="preserve"> 6000 platform, generating robust datasets mapped against the reference genome that identified a total of </w:t>
      </w:r>
      <w:r>
        <w:rPr>
          <w:rFonts w:hint="eastAsia"/>
          <w:b/>
          <w:bCs/>
        </w:rPr>
        <w:t>73711</w:t>
      </w:r>
      <w:r w:rsidRPr="000E4A99">
        <w:rPr>
          <w:b/>
          <w:bCs/>
        </w:rPr>
        <w:t xml:space="preserve"> expressed genes with verified mapping statistics (Table S3). Principal component analysis (PCA) mapped to normalized expression counts displayed robust structural clusters, establishing substantial genome-wide transcriptomic divergence correlated with the varying colonization years (Fig 2a). Utilizing the </w:t>
      </w:r>
      <w:proofErr w:type="spellStart"/>
      <w:r w:rsidRPr="000E4A99">
        <w:rPr>
          <w:b/>
          <w:bCs/>
        </w:rPr>
        <w:t>Mfuzz</w:t>
      </w:r>
      <w:proofErr w:type="spellEnd"/>
      <w:r w:rsidRPr="000E4A99">
        <w:rPr>
          <w:b/>
          <w:bCs/>
        </w:rPr>
        <w:t xml:space="preserve"> minimum centroid distance to assign classification parameters (Fig S2a), transcripts were successfully partitioned into four distinct temporal expression trends representing ordered response behaviors (Fig S2c). It was explicitly identified that 12,026, 10,033, 5,453, and 10,196 high-confidence core genes drove these four respective time-scale clusters. Detailed Gene Ontology (GO) pathway enrichment mapping for these highly expressed core associations established a comprehensive transition of physiological functionalities partitioned specifically to each colonization-year environment (2012 through 2015) (Fig 2c–f), prominently featuring mechanisms related to [Data Required]. Collectively, the temporal transcriptomics mapping reveals a highly structured functional shift governed by specific gene-regulatory programs modulating adaptative responses following patch establishment.</w:t>
      </w:r>
    </w:p>
    <w:p w14:paraId="4F052D9F" w14:textId="77777777" w:rsidR="00ED62C1" w:rsidRDefault="00ED62C1" w:rsidP="00ED62C1">
      <w:pPr>
        <w:rPr>
          <w:b/>
          <w:bCs/>
        </w:rPr>
      </w:pPr>
      <w:r w:rsidRPr="000E4A99">
        <w:rPr>
          <w:b/>
          <w:bCs/>
        </w:rPr>
        <w:t xml:space="preserve">Complementary to these patterns, an untargeted LC-MS-based metabolomic profiling isolated 68,574 unique MS2 features, yielding 1,107 structurally annotated features within the leaf components, of which 143 confident targets </w:t>
      </w:r>
      <w:r w:rsidRPr="000E4A99">
        <w:rPr>
          <w:b/>
          <w:bCs/>
        </w:rPr>
        <w:lastRenderedPageBreak/>
        <w:t>mapped cleanly to established KEGG identifiers (Table S5).</w:t>
      </w:r>
      <w:r w:rsidRPr="003E3937">
        <w:rPr>
          <w:rFonts w:ascii="Segoe UI" w:hAnsi="Segoe UI" w:cs="Segoe UI"/>
          <w:color w:val="666666"/>
          <w:spacing w:val="4"/>
          <w:sz w:val="21"/>
          <w:szCs w:val="21"/>
          <w:shd w:val="clear" w:color="auto" w:fill="FFFFFF"/>
        </w:rPr>
        <w:t xml:space="preserve"> </w:t>
      </w:r>
      <w:r w:rsidRPr="003E3937">
        <w:rPr>
          <w:b/>
          <w:bCs/>
        </w:rPr>
        <w:t> After excluding samples exhibiting severe batch effects (see Methods), PCA of the retained samples generated highly discrete metabolic profiles clearly clustering with the sequential spatial–temporal distribution arrays representing the chronological patches (Fig 2b</w:t>
      </w:r>
      <w:proofErr w:type="gramStart"/>
      <w:r w:rsidRPr="003E3937">
        <w:rPr>
          <w:b/>
          <w:bCs/>
        </w:rPr>
        <w:t>).</w:t>
      </w:r>
      <w:r w:rsidRPr="000E4A99">
        <w:rPr>
          <w:b/>
          <w:bCs/>
        </w:rPr>
        <w:t>Subsequently</w:t>
      </w:r>
      <w:proofErr w:type="gramEnd"/>
      <w:r w:rsidRPr="000E4A99">
        <w:rPr>
          <w:b/>
          <w:bCs/>
        </w:rPr>
        <w:t xml:space="preserve"> employing similar minimum distance classifications (Fig S2b), differential clustering generated four distinct metabolite trajectory groups distributed over the </w:t>
      </w:r>
      <w:proofErr w:type="spellStart"/>
      <w:r w:rsidRPr="000E4A99">
        <w:rPr>
          <w:b/>
          <w:bCs/>
        </w:rPr>
        <w:t>chronosequence</w:t>
      </w:r>
      <w:proofErr w:type="spellEnd"/>
      <w:r w:rsidRPr="000E4A99">
        <w:rPr>
          <w:b/>
          <w:bCs/>
        </w:rPr>
        <w:t xml:space="preserve"> (Fig S2d). Pathway enrichment evaluations mapped discrete groups of the significantly changing constituent compounds to key KEGG signaling networks varying significantly throughout the lifespan stages of the colonization locations (Fig 2g), including [Data Required]. Ultimately, these dynamic spatial shifts emphasize robust and tightly organized local metabolomic reprogramming across the </w:t>
      </w:r>
      <w:proofErr w:type="spellStart"/>
      <w:r w:rsidRPr="000E4A99">
        <w:rPr>
          <w:b/>
          <w:bCs/>
        </w:rPr>
        <w:t>chronosequence</w:t>
      </w:r>
      <w:proofErr w:type="spellEnd"/>
      <w:r w:rsidRPr="000E4A99">
        <w:rPr>
          <w:b/>
          <w:bCs/>
        </w:rPr>
        <w:t xml:space="preserve"> timeline.</w:t>
      </w:r>
    </w:p>
    <w:p w14:paraId="50FC2E32" w14:textId="18C61EA2" w:rsidR="00ED62C1" w:rsidRDefault="00ED62C1" w:rsidP="00ED62C1">
      <w:pPr>
        <w:rPr>
          <w:b/>
          <w:bCs/>
        </w:rPr>
      </w:pPr>
      <w:r>
        <w:rPr>
          <w:noProof/>
        </w:rPr>
        <w:lastRenderedPageBreak/>
        <w:drawing>
          <wp:inline distT="0" distB="0" distL="0" distR="0" wp14:anchorId="0391E2E1" wp14:editId="318AD9F9">
            <wp:extent cx="5274310" cy="737679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7376795"/>
                    </a:xfrm>
                    <a:prstGeom prst="rect">
                      <a:avLst/>
                    </a:prstGeom>
                  </pic:spPr>
                </pic:pic>
              </a:graphicData>
            </a:graphic>
          </wp:inline>
        </w:drawing>
      </w:r>
    </w:p>
    <w:p w14:paraId="3C48897B" w14:textId="48728BFB" w:rsidR="00ED62C1" w:rsidRPr="00ED62C1" w:rsidRDefault="00ED62C1" w:rsidP="00ED62C1">
      <w:pPr>
        <w:rPr>
          <w:rFonts w:hint="eastAsia"/>
          <w:b/>
          <w:bCs/>
        </w:rPr>
      </w:pPr>
      <w:r w:rsidRPr="00ED62C1">
        <w:rPr>
          <w:rFonts w:hint="eastAsia"/>
          <w:b/>
          <w:bCs/>
        </w:rPr>
        <w:t>Figure 2 | Transcriptomic and metabolomic variation among Spartina alterniflora patches with different colonization years and their functional enrichment patterns.</w:t>
      </w:r>
      <w:r w:rsidRPr="00ED62C1">
        <w:rPr>
          <w:rFonts w:hint="eastAsia"/>
          <w:b/>
          <w:bCs/>
        </w:rPr>
        <w:br/>
        <w:t xml:space="preserve">(a) Principal component analysis (PCA) of the transcriptome. (b) Principal component analysis (PCA) of the metabolome. Red, green, blue, and yellow points represent samples from patches established in 2012, 2013, 2014, and 2015, </w:t>
      </w:r>
      <w:r w:rsidRPr="00ED62C1">
        <w:rPr>
          <w:rFonts w:hint="eastAsia"/>
          <w:b/>
          <w:bCs/>
        </w:rPr>
        <w:lastRenderedPageBreak/>
        <w:t>respectively.</w:t>
      </w:r>
      <w:r w:rsidRPr="00ED62C1">
        <w:rPr>
          <w:rFonts w:hint="eastAsia"/>
          <w:b/>
          <w:bCs/>
        </w:rPr>
        <w:br/>
        <w:t>(c–f) Two-dimensional visualization of Gene Ontology (GO) enrichment for highly expressed gene sets in patches established in different years: (c) 2012, (d) 2013, (e) 2014, and (f) 2015.</w:t>
      </w:r>
      <w:r w:rsidRPr="00ED62C1">
        <w:rPr>
          <w:rFonts w:hint="eastAsia"/>
          <w:b/>
          <w:bCs/>
        </w:rPr>
        <w:br/>
        <w:t>(g) KEGG pathway enrichment analysis of highly abundant metabolites across patches with different colonization years. The y-axis shows KEGG pathways and the x-axis shows colonization-year patches. Red, green, blue, and yellow points represent the 2012, 2013, 2014, and 2015 patches, respectively. Point size indicates the number of metabolites mapped to each pathway, and color intensity indicates the significance level of enrichment (</w:t>
      </w:r>
      <w:r w:rsidRPr="00ED62C1">
        <w:rPr>
          <w:rFonts w:hint="eastAsia"/>
          <w:b/>
          <w:bCs/>
          <w:i/>
        </w:rPr>
        <w:t>P</w:t>
      </w:r>
      <w:r w:rsidRPr="00ED62C1">
        <w:rPr>
          <w:rFonts w:hint="eastAsia"/>
          <w:b/>
          <w:bCs/>
        </w:rPr>
        <w:t xml:space="preserve"> value).</w:t>
      </w:r>
    </w:p>
    <w:p w14:paraId="14B40268" w14:textId="77777777" w:rsidR="00ED62C1" w:rsidRPr="000E4A99" w:rsidRDefault="00ED62C1" w:rsidP="00ED62C1">
      <w:pPr>
        <w:rPr>
          <w:rFonts w:hint="eastAsia"/>
          <w:b/>
          <w:bCs/>
        </w:rPr>
      </w:pPr>
      <w:r w:rsidRPr="000E4A99">
        <w:rPr>
          <w:b/>
          <w:bCs/>
        </w:rPr>
        <w:t>3.3 | Genetic Architecture and Multi-omics Integration</w:t>
      </w:r>
    </w:p>
    <w:p w14:paraId="58CD1ADC" w14:textId="77777777" w:rsidR="00ED62C1" w:rsidRPr="000E4A99" w:rsidRDefault="00ED62C1" w:rsidP="00ED62C1">
      <w:pPr>
        <w:rPr>
          <w:rFonts w:hint="eastAsia"/>
          <w:b/>
          <w:bCs/>
        </w:rPr>
      </w:pPr>
      <w:r w:rsidRPr="000E4A99">
        <w:rPr>
          <w:b/>
          <w:bCs/>
        </w:rPr>
        <w:t>To elucidate the baseline genetic structure facilitating these biological responses, we characterized SNP-level variations across the microgeographic sampling gradient. Evaluations detailing pair-wise interrelatedness revealed highly localized patterns of spatial kinship segregation mapping to localized patches (Fig 3a). Utilizing filtered, highly informative genome loci generated by isolating the intersecting sets of outlier </w:t>
      </w:r>
      <w:r w:rsidRPr="000E4A99">
        <w:rPr>
          <w:b/>
          <w:bCs/>
          <w:i/>
          <w:iCs/>
        </w:rPr>
        <w:t>F_ST</w:t>
      </w:r>
      <w:r w:rsidRPr="000E4A99">
        <w:rPr>
          <w:b/>
          <w:bCs/>
        </w:rPr>
        <w:t> differentiation signals and nucleotide diversity (π) metrics (top 5%), subsequent PCA clustering identified distinct spatial-scale genetic partitioning entirely consistent with the observed timeline trajectories across patches (Fig 3b).</w:t>
      </w:r>
    </w:p>
    <w:p w14:paraId="4F8C43E9" w14:textId="77777777" w:rsidR="00ED62C1" w:rsidRPr="003E3937" w:rsidRDefault="00ED62C1" w:rsidP="00ED62C1">
      <w:pPr>
        <w:rPr>
          <w:rFonts w:hint="eastAsia"/>
        </w:rPr>
      </w:pPr>
      <w:r w:rsidRPr="000E4A99">
        <w:rPr>
          <w:b/>
          <w:bCs/>
        </w:rPr>
        <w:t xml:space="preserve">We subsequently advanced these localized findings by engineering a comprehensive two-stage Bayesian hierarchical model, targeting the directed network influences in which spatial locations, driving genetic components (SNPs), transcriptome signatures, and secondary metabolomes determine major growth factors (leaf biomass) and reproductive traits (spikelet counts). Verification via robust linear regression comparisons between analytical posterior predictions and empirically observed distributions demonstrated high predictive fidelity across both multi-omics pathways (Fig S3a) and resultant phenotype assessments (Fig S3b). </w:t>
      </w:r>
      <w:r w:rsidRPr="003E3937">
        <w:rPr>
          <w:b/>
          <w:bCs/>
        </w:rPr>
        <w:t>Evaluation of the directed relationships within the hierarchical framework illustrated strong interdependencies across structural levels. Notably, spatial position (habitat location) exerted strong positive effects on corresponding genetic differentiation (</w:t>
      </w:r>
      <w:proofErr w:type="gramStart"/>
      <w:r w:rsidRPr="003E3937">
        <w:rPr>
          <w:b/>
          <w:bCs/>
        </w:rPr>
        <w:t>P(</w:t>
      </w:r>
      <w:proofErr w:type="gramEnd"/>
      <w:r w:rsidRPr="003E3937">
        <w:rPr>
          <w:b/>
          <w:bCs/>
        </w:rPr>
        <w:t>E &gt; 0) = 1; Fig 3c), underlying transcriptome composition (P(E &gt; 0) = 1; Fig 3d), and metabolomic structure (P(E &gt; 0) = 1; Fig 3e).</w:t>
      </w:r>
      <w:r w:rsidRPr="000E4A99">
        <w:rPr>
          <w:b/>
          <w:bCs/>
        </w:rPr>
        <w:t xml:space="preserve"> Distinct molecular layers internally modulated downstream elements; the genetic framework elicited moderate influences guiding transcription behaviors (</w:t>
      </w:r>
      <w:proofErr w:type="gramStart"/>
      <w:r w:rsidRPr="000E4A99">
        <w:rPr>
          <w:b/>
          <w:bCs/>
          <w:i/>
          <w:iCs/>
        </w:rPr>
        <w:t>P(</w:t>
      </w:r>
      <w:proofErr w:type="gramEnd"/>
      <w:r w:rsidRPr="000E4A99">
        <w:rPr>
          <w:b/>
          <w:bCs/>
          <w:i/>
          <w:iCs/>
        </w:rPr>
        <w:t>E &gt; 0)</w:t>
      </w:r>
      <w:r w:rsidRPr="000E4A99">
        <w:rPr>
          <w:b/>
          <w:bCs/>
        </w:rPr>
        <w:t> = 0.876; Fig 3d), while transcriptome variability robustly controlled shifting metabolomic structures (</w:t>
      </w:r>
      <w:r w:rsidRPr="000E4A99">
        <w:rPr>
          <w:b/>
          <w:bCs/>
          <w:i/>
          <w:iCs/>
        </w:rPr>
        <w:t>P(E &gt; 0)</w:t>
      </w:r>
      <w:r w:rsidRPr="000E4A99">
        <w:rPr>
          <w:b/>
          <w:bCs/>
        </w:rPr>
        <w:t xml:space="preserve"> = 0.997; Fig 3e). However, the resulting </w:t>
      </w:r>
      <w:r w:rsidRPr="000E4A99">
        <w:rPr>
          <w:b/>
          <w:bCs/>
        </w:rPr>
        <w:lastRenderedPageBreak/>
        <w:t>connection parameters translating omics variances (both transcriptome and metabolome elements) directly onto targeted biomass growth traits (Transcriptome: </w:t>
      </w:r>
      <w:r w:rsidRPr="000E4A99">
        <w:rPr>
          <w:b/>
          <w:bCs/>
          <w:i/>
          <w:iCs/>
        </w:rPr>
        <w:t>a_G_tran0</w:t>
      </w:r>
      <w:r w:rsidRPr="000E4A99">
        <w:rPr>
          <w:b/>
          <w:bCs/>
        </w:rPr>
        <w:t> = 0.2424, </w:t>
      </w:r>
      <w:r w:rsidRPr="000E4A99">
        <w:rPr>
          <w:b/>
          <w:bCs/>
          <w:i/>
          <w:iCs/>
        </w:rPr>
        <w:t>P(E &gt; 0)</w:t>
      </w:r>
      <w:r w:rsidRPr="000E4A99">
        <w:rPr>
          <w:b/>
          <w:bCs/>
        </w:rPr>
        <w:t> = 0.655; Metabolome: </w:t>
      </w:r>
      <w:r w:rsidRPr="000E4A99">
        <w:rPr>
          <w:b/>
          <w:bCs/>
          <w:i/>
          <w:iCs/>
        </w:rPr>
        <w:t>b_G_met0</w:t>
      </w:r>
      <w:r w:rsidRPr="000E4A99">
        <w:rPr>
          <w:b/>
          <w:bCs/>
        </w:rPr>
        <w:t> = -0.5796, </w:t>
      </w:r>
      <w:r w:rsidRPr="000E4A99">
        <w:rPr>
          <w:b/>
          <w:bCs/>
          <w:i/>
          <w:iCs/>
        </w:rPr>
        <w:t>P(E &gt; 0)</w:t>
      </w:r>
      <w:r w:rsidRPr="000E4A99">
        <w:rPr>
          <w:b/>
          <w:bCs/>
        </w:rPr>
        <w:t> = 0.212) or reproductive outputs (Transcriptome: </w:t>
      </w:r>
      <w:r w:rsidRPr="000E4A99">
        <w:rPr>
          <w:b/>
          <w:bCs/>
          <w:i/>
          <w:iCs/>
        </w:rPr>
        <w:t>a_R_tran0</w:t>
      </w:r>
      <w:r w:rsidRPr="000E4A99">
        <w:rPr>
          <w:b/>
          <w:bCs/>
        </w:rPr>
        <w:t> = -0.0852, </w:t>
      </w:r>
      <w:r w:rsidRPr="000E4A99">
        <w:rPr>
          <w:b/>
          <w:bCs/>
          <w:i/>
          <w:iCs/>
        </w:rPr>
        <w:t>P(E &gt; 0)</w:t>
      </w:r>
      <w:r w:rsidRPr="000E4A99">
        <w:rPr>
          <w:b/>
          <w:bCs/>
        </w:rPr>
        <w:t> = 0.409; Metabolome: </w:t>
      </w:r>
      <w:r w:rsidRPr="000E4A99">
        <w:rPr>
          <w:b/>
          <w:bCs/>
          <w:i/>
          <w:iCs/>
        </w:rPr>
        <w:t>b_R_met0</w:t>
      </w:r>
      <w:r w:rsidRPr="000E4A99">
        <w:rPr>
          <w:b/>
          <w:bCs/>
        </w:rPr>
        <w:t> = -0.1213, </w:t>
      </w:r>
      <w:r w:rsidRPr="000E4A99">
        <w:rPr>
          <w:b/>
          <w:bCs/>
          <w:i/>
          <w:iCs/>
        </w:rPr>
        <w:t>P(E &gt; 0)</w:t>
      </w:r>
      <w:r w:rsidRPr="000E4A99">
        <w:rPr>
          <w:b/>
          <w:bCs/>
        </w:rPr>
        <w:t xml:space="preserve"> = 0.402) presented mixed or weakly constrained pathway coefficients representing secondary or delayed system linkages (Fig 3f–g, Table S4). </w:t>
      </w:r>
      <w:r w:rsidRPr="003E3937">
        <w:rPr>
          <w:b/>
          <w:bCs/>
        </w:rPr>
        <w:t> In summary, these hierarchical assessments indicate that spatial conditions and establishment timing strongly shape early genetic architecture, exhibiting sequential statistical associations through transcriptomic and metabolomic layers, while direct associations translating these omics layers into final phenotypic variation remain relatively weak or complex.</w:t>
      </w:r>
    </w:p>
    <w:p w14:paraId="241BB517" w14:textId="1FB26BD7" w:rsidR="00ED62C1" w:rsidRDefault="00ED62C1">
      <w:r>
        <w:rPr>
          <w:rFonts w:hint="eastAsia"/>
          <w:noProof/>
        </w:rPr>
        <w:lastRenderedPageBreak/>
        <w:drawing>
          <wp:inline distT="0" distB="0" distL="0" distR="0" wp14:anchorId="1ADFD42D" wp14:editId="6CD76A94">
            <wp:extent cx="5610225" cy="7303555"/>
            <wp:effectExtent l="0" t="0" r="0" b="0"/>
            <wp:docPr id="3"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10;&#10;描述已自动生成"/>
                    <pic:cNvPicPr/>
                  </pic:nvPicPr>
                  <pic:blipFill rotWithShape="1">
                    <a:blip r:embed="rId6" cstate="print">
                      <a:extLst>
                        <a:ext uri="{28A0092B-C50C-407E-A947-70E740481C1C}">
                          <a14:useLocalDpi xmlns:a14="http://schemas.microsoft.com/office/drawing/2010/main" val="0"/>
                        </a:ext>
                      </a:extLst>
                    </a:blip>
                    <a:srcRect r="40766"/>
                    <a:stretch/>
                  </pic:blipFill>
                  <pic:spPr bwMode="auto">
                    <a:xfrm>
                      <a:off x="0" y="0"/>
                      <a:ext cx="5631364" cy="7331075"/>
                    </a:xfrm>
                    <a:prstGeom prst="rect">
                      <a:avLst/>
                    </a:prstGeom>
                    <a:ln>
                      <a:noFill/>
                    </a:ln>
                    <a:extLst>
                      <a:ext uri="{53640926-AAD7-44D8-BBD7-CCE9431645EC}">
                        <a14:shadowObscured xmlns:a14="http://schemas.microsoft.com/office/drawing/2010/main"/>
                      </a:ext>
                    </a:extLst>
                  </pic:spPr>
                </pic:pic>
              </a:graphicData>
            </a:graphic>
          </wp:inline>
        </w:drawing>
      </w:r>
    </w:p>
    <w:p w14:paraId="4788DBE2" w14:textId="77777777" w:rsidR="00ED62C1" w:rsidRPr="00ED62C1" w:rsidRDefault="00ED62C1" w:rsidP="00ED62C1">
      <w:r w:rsidRPr="00ED62C1">
        <w:rPr>
          <w:rFonts w:hint="eastAsia"/>
          <w:b/>
          <w:bCs/>
        </w:rPr>
        <w:t>Figure 3 | Genetic structure and hierarchical response relationships among Spartina alterniflora patches with different colonization years.</w:t>
      </w:r>
      <w:r w:rsidRPr="00ED62C1">
        <w:rPr>
          <w:rFonts w:hint="eastAsia"/>
        </w:rPr>
        <w:br/>
        <w:t>(a) Heatmap of pairwise relatedness among all individuals; darker colors indicate closer relatedness.</w:t>
      </w:r>
      <w:r w:rsidRPr="00ED62C1">
        <w:rPr>
          <w:rFonts w:hint="eastAsia"/>
        </w:rPr>
        <w:br/>
        <w:t>(b) PCA based on significantly differentiated SNPs. Red, green, blue, and yellow points represent samples from patches established in 2012, 2013, 2014, and 2015, respectively.</w:t>
      </w:r>
      <w:r w:rsidRPr="00ED62C1">
        <w:rPr>
          <w:rFonts w:hint="eastAsia"/>
        </w:rPr>
        <w:br/>
      </w:r>
      <w:r w:rsidRPr="00ED62C1">
        <w:rPr>
          <w:rFonts w:hint="eastAsia"/>
        </w:rPr>
        <w:lastRenderedPageBreak/>
        <w:t xml:space="preserve">(c–g) Bayesian hierarchical model integrating patch location, genetic variation, multi-omics variation, and phenotypic responses. Effect sizes and posterior probabilities, </w:t>
      </w:r>
      <w:r w:rsidRPr="00ED62C1">
        <w:rPr>
          <w:rFonts w:hint="eastAsia"/>
          <w:i/>
        </w:rPr>
        <w:t>P</w:t>
      </w:r>
      <w:r w:rsidRPr="00ED62C1">
        <w:rPr>
          <w:rFonts w:hint="eastAsia"/>
        </w:rPr>
        <w:t xml:space="preserve"> (E &gt; 0), are shown for each parameter (see Materials and Methods). Lower </w:t>
      </w:r>
      <w:r w:rsidRPr="00ED62C1">
        <w:rPr>
          <w:rFonts w:hint="eastAsia"/>
          <w:i/>
        </w:rPr>
        <w:t>P</w:t>
      </w:r>
      <w:r w:rsidRPr="00ED62C1">
        <w:rPr>
          <w:rFonts w:hint="eastAsia"/>
        </w:rPr>
        <w:t xml:space="preserve"> values indicate stronger negative effects, whereas higher </w:t>
      </w:r>
      <w:r w:rsidRPr="00ED62C1">
        <w:rPr>
          <w:rFonts w:hint="eastAsia"/>
          <w:i/>
        </w:rPr>
        <w:t>P</w:t>
      </w:r>
      <w:r w:rsidRPr="00ED62C1">
        <w:rPr>
          <w:rFonts w:hint="eastAsia"/>
        </w:rPr>
        <w:t xml:space="preserve"> values indicate stronger positive effects; solid and dashed lines denote strong and weak effects, respectively. Panels represent (c) location → genetics, (d) location and genetics → transcriptome, (e) location, genetics, and transcriptome → metabolome, (f) transcriptome → growth and reproductive traits, and (g) metabolome → growth and reproductive traits.</w:t>
      </w:r>
    </w:p>
    <w:p w14:paraId="3A58B7EE" w14:textId="77777777" w:rsidR="00ED62C1" w:rsidRPr="00E22810" w:rsidRDefault="00ED62C1" w:rsidP="00ED62C1">
      <w:pPr>
        <w:rPr>
          <w:rFonts w:hint="eastAsia"/>
          <w:b/>
          <w:bCs/>
        </w:rPr>
      </w:pPr>
      <w:r w:rsidRPr="00E22810">
        <w:rPr>
          <w:b/>
          <w:bCs/>
        </w:rPr>
        <w:t>4 | DISCUSSION</w:t>
      </w:r>
    </w:p>
    <w:p w14:paraId="7894EE37" w14:textId="77777777" w:rsidR="00ED62C1" w:rsidRPr="00E22810" w:rsidRDefault="00ED62C1" w:rsidP="00ED62C1">
      <w:pPr>
        <w:rPr>
          <w:rFonts w:hint="eastAsia"/>
        </w:rPr>
      </w:pPr>
      <w:r w:rsidRPr="00E22810">
        <w:rPr>
          <w:b/>
          <w:bCs/>
        </w:rPr>
        <w:t>4.1 Hierarchical architecture of microgeographic invasion</w:t>
      </w:r>
      <w:r w:rsidRPr="00E22810">
        <w:br/>
        <w:t>The rapid, fine-scale expansion of </w:t>
      </w:r>
      <w:r w:rsidRPr="00E22810">
        <w:rPr>
          <w:i/>
          <w:iCs/>
        </w:rPr>
        <w:t>Spartina alterniflora</w:t>
      </w:r>
      <w:r w:rsidRPr="00E22810">
        <w:t xml:space="preserve"> within a single estuary presents an extreme test of how invasive populations map environmental heterogeneity into biological performance. Over a remarkably brief </w:t>
      </w:r>
      <w:proofErr w:type="spellStart"/>
      <w:r w:rsidRPr="00E22810">
        <w:t>chronosequence</w:t>
      </w:r>
      <w:proofErr w:type="spellEnd"/>
      <w:r w:rsidRPr="00E22810">
        <w:t xml:space="preserve"> (2012–2015), populations organized into distinct successive patches spanning discrete micro-habitats (estuary, competition, and dense zones). By employing an integrative Bayesian hierarchical framework, we disentangled the causal sequence linking geographical location, genetic architecture, intermediate multi-omics, and whole-plant phenotypes. Moving beyond traditional isolated omics studies, our results underscore a highly structured but decoupled biological partition: spatial location and rapid genetic sorting strongly drive synchronized transcriptome and metabolome reprogramming, yet these intermediate molecular layers exhibit a conspicuously weak and constrained translation into structural and reproductive phenotypes. This integrated framework bridges discrete biological layers, offering a rare microgeographic perspective on the sequential adaptation and "phenotypic buffering" strategies of coastal invaders [Reference: e.g., foundational papers on multi-omics integration in plant ecology/invasion].</w:t>
      </w:r>
    </w:p>
    <w:p w14:paraId="04839C22" w14:textId="77777777" w:rsidR="00ED62C1" w:rsidRPr="00E22810" w:rsidRDefault="00ED62C1" w:rsidP="00ED62C1">
      <w:pPr>
        <w:rPr>
          <w:rFonts w:hint="eastAsia"/>
        </w:rPr>
      </w:pPr>
      <w:r w:rsidRPr="00E22810">
        <w:rPr>
          <w:b/>
          <w:bCs/>
        </w:rPr>
        <w:t>4.2 Rapid genetic sorting and coordinated molecular reprogramming</w:t>
      </w:r>
      <w:r w:rsidRPr="00E22810">
        <w:br/>
        <w:t>Previous evolutionary assessments of </w:t>
      </w:r>
      <w:r w:rsidRPr="00E22810">
        <w:rPr>
          <w:i/>
          <w:iCs/>
        </w:rPr>
        <w:t>S. alterniflora</w:t>
      </w:r>
      <w:r w:rsidRPr="00E22810">
        <w:t> have primarily documented macrogeographic adaptive clines spanning vast latitudinal gradients [Reference: e.g., Richards et al., or classic latitudinal studies]. In stark contrast, our findings highlight that substantial spatial genetic partitioning (SNPs) can emerge over an exceptionally brief timescale (3–4 years) within a localized estuary. The Bayesian model identified a deterministic influence of spatial position on genetic differentiation (P(E&gt;</w:t>
      </w:r>
      <w:proofErr w:type="gramStart"/>
      <w:r w:rsidRPr="00E22810">
        <w:t>0)=</w:t>
      </w:r>
      <w:proofErr w:type="gramEnd"/>
      <w:r w:rsidRPr="00E22810">
        <w:t>1</w:t>
      </w:r>
      <w:r w:rsidRPr="00E22810">
        <w:rPr>
          <w:i/>
          <w:iCs/>
        </w:rPr>
        <w:t>P</w:t>
      </w:r>
      <w:r w:rsidRPr="00E22810">
        <w:t>(</w:t>
      </w:r>
      <w:r w:rsidRPr="00E22810">
        <w:rPr>
          <w:i/>
          <w:iCs/>
        </w:rPr>
        <w:t>E</w:t>
      </w:r>
      <w:r w:rsidRPr="00E22810">
        <w:t>&gt;0)=1). Given the microgeographic scale, we interpret this pattern not merely as isolation by distance, but as the strong footprint of rapid spatial sorting driven by sequential initial founder events and subsequent early-stage micro-environmental filtering [Reference: theories on spatial sorting / expansion fronts, e.g., Shine et al., 2011].</w:t>
      </w:r>
    </w:p>
    <w:p w14:paraId="48098A69" w14:textId="77777777" w:rsidR="00ED62C1" w:rsidRPr="00E22810" w:rsidRDefault="00ED62C1" w:rsidP="00ED62C1">
      <w:pPr>
        <w:rPr>
          <w:rFonts w:hint="eastAsia"/>
        </w:rPr>
      </w:pPr>
      <w:r w:rsidRPr="00E22810">
        <w:lastRenderedPageBreak/>
        <w:t xml:space="preserve">Building upon this underlying genetic architecture, our results map a robust signaling cascade into the molecular layers. </w:t>
      </w:r>
      <w:proofErr w:type="spellStart"/>
      <w:r w:rsidRPr="00E22810">
        <w:t>Mfuzz</w:t>
      </w:r>
      <w:proofErr w:type="spellEnd"/>
      <w:r w:rsidRPr="00E22810">
        <w:t xml:space="preserve"> clustering revealed discrete temporal expression trends, and the Bayesian predictions confirmed that both habitat location and genetic variation are prominent drivers of transcriptomic behaviors (P(E&gt;</w:t>
      </w:r>
      <w:proofErr w:type="gramStart"/>
      <w:r w:rsidRPr="00E22810">
        <w:t>0)=</w:t>
      </w:r>
      <w:proofErr w:type="gramEnd"/>
      <w:r w:rsidRPr="00E22810">
        <w:t>0.876</w:t>
      </w:r>
      <w:r w:rsidRPr="00E22810">
        <w:rPr>
          <w:i/>
          <w:iCs/>
        </w:rPr>
        <w:t>P</w:t>
      </w:r>
      <w:r w:rsidRPr="00E22810">
        <w:t>(</w:t>
      </w:r>
      <w:r w:rsidRPr="00E22810">
        <w:rPr>
          <w:i/>
          <w:iCs/>
        </w:rPr>
        <w:t>E</w:t>
      </w:r>
      <w:r w:rsidRPr="00E22810">
        <w:t>&gt;0)=0.876 to 11). Importantly, transcriptome variability emerged as a strict regulatory mechanism shaping downstream metabolomic shifts (P(E&gt;</w:t>
      </w:r>
      <w:proofErr w:type="gramStart"/>
      <w:r w:rsidRPr="00E22810">
        <w:t>0)=</w:t>
      </w:r>
      <w:proofErr w:type="gramEnd"/>
      <w:r w:rsidRPr="00E22810">
        <w:t>0.997</w:t>
      </w:r>
      <w:r w:rsidRPr="00E22810">
        <w:rPr>
          <w:i/>
          <w:iCs/>
        </w:rPr>
        <w:t>P</w:t>
      </w:r>
      <w:r w:rsidRPr="00E22810">
        <w:t>(</w:t>
      </w:r>
      <w:r w:rsidRPr="00E22810">
        <w:rPr>
          <w:i/>
          <w:iCs/>
        </w:rPr>
        <w:t>E</w:t>
      </w:r>
      <w:r w:rsidRPr="00E22810">
        <w:t>&gt;0)=0.997). This synchronized, highly predictive linkage from transcriptome to metabolome indicates that </w:t>
      </w:r>
      <w:r w:rsidRPr="00E22810">
        <w:rPr>
          <w:i/>
          <w:iCs/>
        </w:rPr>
        <w:t>S. alterniflora</w:t>
      </w:r>
      <w:r w:rsidRPr="00E22810">
        <w:t> utilizes a highly sensitive regulatory network to acclimate to newly colonized zones. As specific patches mature, shifting local pressures—such as varying tidal inundation limits or intensive density-dependent shading in the "dense zone"—necessitate rapid molecular recalibrations. Specifically, the activation of functional gene categories and metabolic networks observed in our distinct temporal clusters, such as [Insert 1-2 specific pathways from Fig 2c-g here, e.g., reactive oxygen species (ROS) scavenging, carbon allocation, or secondary metabolite biosynthesis], directly underscores the formidable molecular plasticity utilized by this species to maintain physiological homeostasis in highly dynamic marsh environments [Reference: pathways specific functions under estuarine stress].</w:t>
      </w:r>
    </w:p>
    <w:p w14:paraId="310FB19E" w14:textId="77777777" w:rsidR="00ED62C1" w:rsidRPr="00E22810" w:rsidRDefault="00ED62C1" w:rsidP="00ED62C1">
      <w:pPr>
        <w:rPr>
          <w:rFonts w:hint="eastAsia"/>
        </w:rPr>
      </w:pPr>
      <w:r w:rsidRPr="00E22810">
        <w:rPr>
          <w:b/>
          <w:bCs/>
        </w:rPr>
        <w:t>4.3 The decoupling of intermediate omics from whole-plant phenotypes</w:t>
      </w:r>
      <w:r w:rsidRPr="00E22810">
        <w:br/>
        <w:t>The most striking insight yielded by our hierarchical model was the disjointed relationship between the molecular omics layers and ultimate phenotypic performance. Despite clear spatial divergence in both omics architectures and fundamental plant traits (e.g., stem/leaf biomass and spikelet production), the pathway coefficients translating transcriptomic and metabolomic variances directly into targeted growth traits were noticeably weak or mixed (e.g., Metabolome →→ Leaf biomass, P(E&gt;</w:t>
      </w:r>
      <w:proofErr w:type="gramStart"/>
      <w:r w:rsidRPr="00E22810">
        <w:t>0)=</w:t>
      </w:r>
      <w:proofErr w:type="gramEnd"/>
      <w:r w:rsidRPr="00E22810">
        <w:t>0.212</w:t>
      </w:r>
      <w:r w:rsidRPr="00E22810">
        <w:rPr>
          <w:i/>
          <w:iCs/>
        </w:rPr>
        <w:t>P</w:t>
      </w:r>
      <w:r w:rsidRPr="00E22810">
        <w:t>(</w:t>
      </w:r>
      <w:r w:rsidRPr="00E22810">
        <w:rPr>
          <w:i/>
          <w:iCs/>
        </w:rPr>
        <w:t>E</w:t>
      </w:r>
      <w:r w:rsidRPr="00E22810">
        <w:t>&gt;0)=0.212; Transcriptome →→ </w:t>
      </w:r>
      <w:proofErr w:type="spellStart"/>
      <w:r w:rsidRPr="00E22810">
        <w:t>Spikelets</w:t>
      </w:r>
      <w:proofErr w:type="spellEnd"/>
      <w:r w:rsidRPr="00E22810">
        <w:t>, P(E&gt;0)=0.409</w:t>
      </w:r>
      <w:r w:rsidRPr="00E22810">
        <w:rPr>
          <w:i/>
          <w:iCs/>
        </w:rPr>
        <w:t>P</w:t>
      </w:r>
      <w:r w:rsidRPr="00E22810">
        <w:t>(</w:t>
      </w:r>
      <w:r w:rsidRPr="00E22810">
        <w:rPr>
          <w:i/>
          <w:iCs/>
        </w:rPr>
        <w:t>E</w:t>
      </w:r>
      <w:r w:rsidRPr="00E22810">
        <w:t>&gt;0)=0.409). We propose three primary mechanisms for this apparent omics-phenotype decoupling.</w:t>
      </w:r>
    </w:p>
    <w:p w14:paraId="421DBB36" w14:textId="77777777" w:rsidR="00ED62C1" w:rsidRPr="00E22810" w:rsidRDefault="00ED62C1" w:rsidP="00ED62C1">
      <w:pPr>
        <w:rPr>
          <w:rFonts w:hint="eastAsia"/>
        </w:rPr>
      </w:pPr>
      <w:r w:rsidRPr="00E22810">
        <w:t>First, this disconnect reflects the spatial partitioning of biological functions inherent to clonal plants. </w:t>
      </w:r>
      <w:r w:rsidRPr="00E22810">
        <w:rPr>
          <w:i/>
          <w:iCs/>
        </w:rPr>
        <w:t>S. alterniflora</w:t>
      </w:r>
      <w:r w:rsidRPr="00E22810">
        <w:t> heavily relies on extensive belowground rhizome networks for both clonal expansion and nutrient storage [Reference: </w:t>
      </w:r>
      <w:r w:rsidRPr="00E22810">
        <w:rPr>
          <w:i/>
          <w:iCs/>
        </w:rPr>
        <w:t>S. alterniflora</w:t>
      </w:r>
      <w:r w:rsidRPr="00E22810">
        <w:t> root/rhizome biomass allocation]. The multi-omics variations quantified here were necessarily derived from aboveground leaf tissues. Leaves act as reactive interfaces for immediate stress acclimation (e.g., salinity or light fluctuations), whereas long-term carbon allocation and total biomass accumulation are substantially mediated by the underground rhizome sink. Consequently, transient molecular adjustments in leaf tissue do not proportionally dictate the whole-plant structural investment.</w:t>
      </w:r>
    </w:p>
    <w:p w14:paraId="09A3E508" w14:textId="77777777" w:rsidR="00ED62C1" w:rsidRPr="00E22810" w:rsidRDefault="00ED62C1" w:rsidP="00ED62C1">
      <w:pPr>
        <w:rPr>
          <w:rFonts w:hint="eastAsia"/>
        </w:rPr>
      </w:pPr>
      <w:r w:rsidRPr="00E22810">
        <w:lastRenderedPageBreak/>
        <w:t>Second, the time scales of molecular response and phenotypic accumulation are fundamentally mismatched. Structural biomass and reproductive outputs are highly integrative, polygenic traits that accumulate longitudinally over the growing season. Conversely, the omics snapshots captured in this study reflect instantaneous physiological maintenance. This decoupling aligns with the concept of "evolutionary modularity" or "phenotypic buffering" [Reference: systems biology / phenotypic buffering theory, e.g., canalization mechanisms]. By uncoupling sensitive molecular adjustments from core biomass investments, </w:t>
      </w:r>
      <w:r w:rsidRPr="00E22810">
        <w:rPr>
          <w:i/>
          <w:iCs/>
        </w:rPr>
        <w:t>S. alterniflora</w:t>
      </w:r>
      <w:r w:rsidRPr="00E22810">
        <w:t> effectively buffers its macroscopic traits against the high-frequency temporal noise of intertidal environments, granting it exceptional ecological flexibility.</w:t>
      </w:r>
    </w:p>
    <w:p w14:paraId="6F961249" w14:textId="77777777" w:rsidR="00ED62C1" w:rsidRPr="00E22810" w:rsidRDefault="00ED62C1" w:rsidP="00ED62C1">
      <w:pPr>
        <w:rPr>
          <w:rFonts w:hint="eastAsia"/>
        </w:rPr>
      </w:pPr>
      <w:r w:rsidRPr="00E22810">
        <w:t>Third, we postulate that structural phenotypes are more heavily dictated by delayed, cumulative system linkages or direct environmental forcing (e.g., absolute soil nutrient availability, anoxia gradients) that essentially "bypass" the baseline physiological signals circulating in leaf tissues [Reference: papers confirming environmental drivers of </w:t>
      </w:r>
      <w:r w:rsidRPr="00E22810">
        <w:rPr>
          <w:i/>
          <w:iCs/>
        </w:rPr>
        <w:t>Spartina</w:t>
      </w:r>
      <w:r w:rsidRPr="00E22810">
        <w:t> biomass].</w:t>
      </w:r>
    </w:p>
    <w:p w14:paraId="6B486511" w14:textId="77777777" w:rsidR="00ED62C1" w:rsidRPr="00E22810" w:rsidRDefault="00ED62C1" w:rsidP="00ED62C1">
      <w:pPr>
        <w:rPr>
          <w:rFonts w:hint="eastAsia"/>
        </w:rPr>
      </w:pPr>
      <w:r w:rsidRPr="00E22810">
        <w:rPr>
          <w:b/>
          <w:bCs/>
        </w:rPr>
        <w:t>4.4 Limitations and future directions</w:t>
      </w:r>
      <w:r w:rsidRPr="00E22810">
        <w:br/>
        <w:t>While our multidimensional approach clarifies the chronological hierarchy of microgeographic invasions, certain systemic boundaries exist. Because exact micro-edaphic conditions (e.g., high-resolution soil salinity, nutrient quantification, and redox potential) were implicitly represented by spatial position in our models, future investigations should directly incorporate fine-scale biogeochemical tracking. Identifying the continuous abiotic parameters that drive the founder sorting and genetic structure observed in these temporal patches will further illuminate the exact ecological constraints acting on the expansion front. Furthermore, integrating root and rhizome-specific omics datasets in future models will likely bridge the gap identified in this study, potentially revealing a much tighter causal linkage between belowground molecular regulation and total biomass allocation.</w:t>
      </w:r>
    </w:p>
    <w:p w14:paraId="535A2267" w14:textId="77777777" w:rsidR="00ED62C1" w:rsidRPr="00E22810" w:rsidRDefault="00ED62C1" w:rsidP="00ED62C1">
      <w:pPr>
        <w:rPr>
          <w:rFonts w:hint="eastAsia"/>
        </w:rPr>
      </w:pPr>
      <w:r w:rsidRPr="00E22810">
        <w:rPr>
          <w:b/>
          <w:bCs/>
        </w:rPr>
        <w:t>4.5 Conclusion</w:t>
      </w:r>
      <w:r w:rsidRPr="00E22810">
        <w:br/>
        <w:t>In summary, this study captures the evolutionary and physiological dynamics of </w:t>
      </w:r>
      <w:r w:rsidRPr="00E22810">
        <w:rPr>
          <w:i/>
          <w:iCs/>
        </w:rPr>
        <w:t>S. alterniflora</w:t>
      </w:r>
      <w:r w:rsidRPr="00E22810">
        <w:t xml:space="preserve"> transitioning across a microgeographic timeline. We provide compelling evidence that spatial colonization history and baseline genetic sorting strongly cascade into rapid, synchronized transcriptomic and metabolomic reprogramming. However, we also reveal that this molecular acclimation is mathematically decoupled from ultimate structural and reproductive traits. This "asynchrony" between omics layers and whole-plant phenotypes highlights a decoupled, modular expansion strategy, offering a new molecular-ecological paradigm for understanding how non-native clonal plants successfully acclimate to heterogeneous environments without compromising their </w:t>
      </w:r>
      <w:r w:rsidRPr="00E22810">
        <w:lastRenderedPageBreak/>
        <w:t>cumulative growth performance.</w:t>
      </w:r>
    </w:p>
    <w:p w14:paraId="43E6B28B" w14:textId="77777777" w:rsidR="00ED62C1" w:rsidRPr="00E22810" w:rsidRDefault="00ED62C1" w:rsidP="00ED62C1">
      <w:pPr>
        <w:rPr>
          <w:rFonts w:hint="eastAsia"/>
        </w:rPr>
      </w:pPr>
    </w:p>
    <w:p w14:paraId="7EA7953D" w14:textId="2DF1211E" w:rsidR="00ED62C1" w:rsidRPr="00ED62C1" w:rsidRDefault="00ED62C1">
      <w:pPr>
        <w:rPr>
          <w:rFonts w:hint="eastAsia"/>
        </w:rPr>
      </w:pPr>
    </w:p>
    <w:sectPr w:rsidR="00ED62C1" w:rsidRPr="00ED62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370"/>
    <w:rsid w:val="000E6882"/>
    <w:rsid w:val="001C7272"/>
    <w:rsid w:val="001D11B1"/>
    <w:rsid w:val="002045C7"/>
    <w:rsid w:val="00AB2370"/>
    <w:rsid w:val="00EC509A"/>
    <w:rsid w:val="00ED62C1"/>
    <w:rsid w:val="00F75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16BA"/>
  <w15:chartTrackingRefBased/>
  <w15:docId w15:val="{BA18EE3F-F2E3-4FFE-A5E5-AF1F9DE7A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62C1"/>
    <w:pPr>
      <w:widowControl w:val="0"/>
    </w:pPr>
  </w:style>
  <w:style w:type="paragraph" w:styleId="1">
    <w:name w:val="heading 1"/>
    <w:basedOn w:val="a"/>
    <w:next w:val="a"/>
    <w:link w:val="10"/>
    <w:uiPriority w:val="9"/>
    <w:qFormat/>
    <w:rsid w:val="00AB23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B23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B23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B23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237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B237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237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237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237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23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B23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B23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B2370"/>
    <w:rPr>
      <w:rFonts w:cstheme="majorBidi"/>
      <w:color w:val="0F4761" w:themeColor="accent1" w:themeShade="BF"/>
      <w:sz w:val="28"/>
      <w:szCs w:val="28"/>
    </w:rPr>
  </w:style>
  <w:style w:type="character" w:customStyle="1" w:styleId="50">
    <w:name w:val="标题 5 字符"/>
    <w:basedOn w:val="a0"/>
    <w:link w:val="5"/>
    <w:uiPriority w:val="9"/>
    <w:semiHidden/>
    <w:rsid w:val="00AB2370"/>
    <w:rPr>
      <w:rFonts w:cstheme="majorBidi"/>
      <w:color w:val="0F4761" w:themeColor="accent1" w:themeShade="BF"/>
      <w:sz w:val="24"/>
    </w:rPr>
  </w:style>
  <w:style w:type="character" w:customStyle="1" w:styleId="60">
    <w:name w:val="标题 6 字符"/>
    <w:basedOn w:val="a0"/>
    <w:link w:val="6"/>
    <w:uiPriority w:val="9"/>
    <w:semiHidden/>
    <w:rsid w:val="00AB2370"/>
    <w:rPr>
      <w:rFonts w:cstheme="majorBidi"/>
      <w:b/>
      <w:bCs/>
      <w:color w:val="0F4761" w:themeColor="accent1" w:themeShade="BF"/>
    </w:rPr>
  </w:style>
  <w:style w:type="character" w:customStyle="1" w:styleId="70">
    <w:name w:val="标题 7 字符"/>
    <w:basedOn w:val="a0"/>
    <w:link w:val="7"/>
    <w:uiPriority w:val="9"/>
    <w:semiHidden/>
    <w:rsid w:val="00AB2370"/>
    <w:rPr>
      <w:rFonts w:cstheme="majorBidi"/>
      <w:b/>
      <w:bCs/>
      <w:color w:val="595959" w:themeColor="text1" w:themeTint="A6"/>
    </w:rPr>
  </w:style>
  <w:style w:type="character" w:customStyle="1" w:styleId="80">
    <w:name w:val="标题 8 字符"/>
    <w:basedOn w:val="a0"/>
    <w:link w:val="8"/>
    <w:uiPriority w:val="9"/>
    <w:semiHidden/>
    <w:rsid w:val="00AB2370"/>
    <w:rPr>
      <w:rFonts w:cstheme="majorBidi"/>
      <w:color w:val="595959" w:themeColor="text1" w:themeTint="A6"/>
    </w:rPr>
  </w:style>
  <w:style w:type="character" w:customStyle="1" w:styleId="90">
    <w:name w:val="标题 9 字符"/>
    <w:basedOn w:val="a0"/>
    <w:link w:val="9"/>
    <w:uiPriority w:val="9"/>
    <w:semiHidden/>
    <w:rsid w:val="00AB2370"/>
    <w:rPr>
      <w:rFonts w:eastAsiaTheme="majorEastAsia" w:cstheme="majorBidi"/>
      <w:color w:val="595959" w:themeColor="text1" w:themeTint="A6"/>
    </w:rPr>
  </w:style>
  <w:style w:type="paragraph" w:styleId="a3">
    <w:name w:val="Title"/>
    <w:basedOn w:val="a"/>
    <w:next w:val="a"/>
    <w:link w:val="a4"/>
    <w:uiPriority w:val="10"/>
    <w:qFormat/>
    <w:rsid w:val="00AB237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23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23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23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2370"/>
    <w:pPr>
      <w:spacing w:before="160"/>
      <w:jc w:val="center"/>
    </w:pPr>
    <w:rPr>
      <w:i/>
      <w:iCs/>
      <w:color w:val="404040" w:themeColor="text1" w:themeTint="BF"/>
    </w:rPr>
  </w:style>
  <w:style w:type="character" w:customStyle="1" w:styleId="a8">
    <w:name w:val="引用 字符"/>
    <w:basedOn w:val="a0"/>
    <w:link w:val="a7"/>
    <w:uiPriority w:val="29"/>
    <w:rsid w:val="00AB2370"/>
    <w:rPr>
      <w:i/>
      <w:iCs/>
      <w:color w:val="404040" w:themeColor="text1" w:themeTint="BF"/>
    </w:rPr>
  </w:style>
  <w:style w:type="paragraph" w:styleId="a9">
    <w:name w:val="List Paragraph"/>
    <w:basedOn w:val="a"/>
    <w:uiPriority w:val="34"/>
    <w:qFormat/>
    <w:rsid w:val="00AB2370"/>
    <w:pPr>
      <w:ind w:left="720"/>
      <w:contextualSpacing/>
    </w:pPr>
  </w:style>
  <w:style w:type="character" w:styleId="aa">
    <w:name w:val="Intense Emphasis"/>
    <w:basedOn w:val="a0"/>
    <w:uiPriority w:val="21"/>
    <w:qFormat/>
    <w:rsid w:val="00AB2370"/>
    <w:rPr>
      <w:i/>
      <w:iCs/>
      <w:color w:val="0F4761" w:themeColor="accent1" w:themeShade="BF"/>
    </w:rPr>
  </w:style>
  <w:style w:type="paragraph" w:styleId="ab">
    <w:name w:val="Intense Quote"/>
    <w:basedOn w:val="a"/>
    <w:next w:val="a"/>
    <w:link w:val="ac"/>
    <w:uiPriority w:val="30"/>
    <w:qFormat/>
    <w:rsid w:val="00AB2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2370"/>
    <w:rPr>
      <w:i/>
      <w:iCs/>
      <w:color w:val="0F4761" w:themeColor="accent1" w:themeShade="BF"/>
    </w:rPr>
  </w:style>
  <w:style w:type="character" w:styleId="ad">
    <w:name w:val="Intense Reference"/>
    <w:basedOn w:val="a0"/>
    <w:uiPriority w:val="32"/>
    <w:qFormat/>
    <w:rsid w:val="00AB23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897728">
      <w:bodyDiv w:val="1"/>
      <w:marLeft w:val="0"/>
      <w:marRight w:val="0"/>
      <w:marTop w:val="0"/>
      <w:marBottom w:val="0"/>
      <w:divBdr>
        <w:top w:val="none" w:sz="0" w:space="0" w:color="auto"/>
        <w:left w:val="none" w:sz="0" w:space="0" w:color="auto"/>
        <w:bottom w:val="none" w:sz="0" w:space="0" w:color="auto"/>
        <w:right w:val="none" w:sz="0" w:space="0" w:color="auto"/>
      </w:divBdr>
    </w:div>
    <w:div w:id="355930226">
      <w:bodyDiv w:val="1"/>
      <w:marLeft w:val="0"/>
      <w:marRight w:val="0"/>
      <w:marTop w:val="0"/>
      <w:marBottom w:val="0"/>
      <w:divBdr>
        <w:top w:val="none" w:sz="0" w:space="0" w:color="auto"/>
        <w:left w:val="none" w:sz="0" w:space="0" w:color="auto"/>
        <w:bottom w:val="none" w:sz="0" w:space="0" w:color="auto"/>
        <w:right w:val="none" w:sz="0" w:space="0" w:color="auto"/>
      </w:divBdr>
    </w:div>
    <w:div w:id="1000233100">
      <w:bodyDiv w:val="1"/>
      <w:marLeft w:val="0"/>
      <w:marRight w:val="0"/>
      <w:marTop w:val="0"/>
      <w:marBottom w:val="0"/>
      <w:divBdr>
        <w:top w:val="none" w:sz="0" w:space="0" w:color="auto"/>
        <w:left w:val="none" w:sz="0" w:space="0" w:color="auto"/>
        <w:bottom w:val="none" w:sz="0" w:space="0" w:color="auto"/>
        <w:right w:val="none" w:sz="0" w:space="0" w:color="auto"/>
      </w:divBdr>
    </w:div>
    <w:div w:id="1361472956">
      <w:bodyDiv w:val="1"/>
      <w:marLeft w:val="0"/>
      <w:marRight w:val="0"/>
      <w:marTop w:val="0"/>
      <w:marBottom w:val="0"/>
      <w:divBdr>
        <w:top w:val="none" w:sz="0" w:space="0" w:color="auto"/>
        <w:left w:val="none" w:sz="0" w:space="0" w:color="auto"/>
        <w:bottom w:val="none" w:sz="0" w:space="0" w:color="auto"/>
        <w:right w:val="none" w:sz="0" w:space="0" w:color="auto"/>
      </w:divBdr>
      <w:divsChild>
        <w:div w:id="738595197">
          <w:marLeft w:val="0"/>
          <w:marRight w:val="0"/>
          <w:marTop w:val="0"/>
          <w:marBottom w:val="160"/>
          <w:divBdr>
            <w:top w:val="none" w:sz="0" w:space="0" w:color="auto"/>
            <w:left w:val="none" w:sz="0" w:space="0" w:color="auto"/>
            <w:bottom w:val="none" w:sz="0" w:space="0" w:color="auto"/>
            <w:right w:val="none" w:sz="0" w:space="0" w:color="auto"/>
          </w:divBdr>
        </w:div>
        <w:div w:id="16084335">
          <w:marLeft w:val="0"/>
          <w:marRight w:val="0"/>
          <w:marTop w:val="0"/>
          <w:marBottom w:val="160"/>
          <w:divBdr>
            <w:top w:val="none" w:sz="0" w:space="0" w:color="auto"/>
            <w:left w:val="none" w:sz="0" w:space="0" w:color="auto"/>
            <w:bottom w:val="none" w:sz="0" w:space="0" w:color="auto"/>
            <w:right w:val="none" w:sz="0" w:space="0" w:color="auto"/>
          </w:divBdr>
        </w:div>
        <w:div w:id="1686591764">
          <w:marLeft w:val="0"/>
          <w:marRight w:val="0"/>
          <w:marTop w:val="0"/>
          <w:marBottom w:val="160"/>
          <w:divBdr>
            <w:top w:val="none" w:sz="0" w:space="0" w:color="auto"/>
            <w:left w:val="none" w:sz="0" w:space="0" w:color="auto"/>
            <w:bottom w:val="none" w:sz="0" w:space="0" w:color="auto"/>
            <w:right w:val="none" w:sz="0" w:space="0" w:color="auto"/>
          </w:divBdr>
        </w:div>
        <w:div w:id="130711100">
          <w:marLeft w:val="0"/>
          <w:marRight w:val="0"/>
          <w:marTop w:val="0"/>
          <w:marBottom w:val="160"/>
          <w:divBdr>
            <w:top w:val="none" w:sz="0" w:space="0" w:color="auto"/>
            <w:left w:val="none" w:sz="0" w:space="0" w:color="auto"/>
            <w:bottom w:val="none" w:sz="0" w:space="0" w:color="auto"/>
            <w:right w:val="none" w:sz="0" w:space="0" w:color="auto"/>
          </w:divBdr>
        </w:div>
        <w:div w:id="1772310591">
          <w:marLeft w:val="0"/>
          <w:marRight w:val="0"/>
          <w:marTop w:val="0"/>
          <w:marBottom w:val="160"/>
          <w:divBdr>
            <w:top w:val="none" w:sz="0" w:space="0" w:color="auto"/>
            <w:left w:val="none" w:sz="0" w:space="0" w:color="auto"/>
            <w:bottom w:val="none" w:sz="0" w:space="0" w:color="auto"/>
            <w:right w:val="none" w:sz="0" w:space="0" w:color="auto"/>
          </w:divBdr>
        </w:div>
        <w:div w:id="768280315">
          <w:marLeft w:val="0"/>
          <w:marRight w:val="0"/>
          <w:marTop w:val="0"/>
          <w:marBottom w:val="160"/>
          <w:divBdr>
            <w:top w:val="none" w:sz="0" w:space="0" w:color="auto"/>
            <w:left w:val="none" w:sz="0" w:space="0" w:color="auto"/>
            <w:bottom w:val="none" w:sz="0" w:space="0" w:color="auto"/>
            <w:right w:val="none" w:sz="0" w:space="0" w:color="auto"/>
          </w:divBdr>
        </w:div>
      </w:divsChild>
    </w:div>
    <w:div w:id="1415786370">
      <w:bodyDiv w:val="1"/>
      <w:marLeft w:val="0"/>
      <w:marRight w:val="0"/>
      <w:marTop w:val="0"/>
      <w:marBottom w:val="0"/>
      <w:divBdr>
        <w:top w:val="none" w:sz="0" w:space="0" w:color="auto"/>
        <w:left w:val="none" w:sz="0" w:space="0" w:color="auto"/>
        <w:bottom w:val="none" w:sz="0" w:space="0" w:color="auto"/>
        <w:right w:val="none" w:sz="0" w:space="0" w:color="auto"/>
      </w:divBdr>
      <w:divsChild>
        <w:div w:id="863788791">
          <w:marLeft w:val="0"/>
          <w:marRight w:val="0"/>
          <w:marTop w:val="0"/>
          <w:marBottom w:val="160"/>
          <w:divBdr>
            <w:top w:val="none" w:sz="0" w:space="0" w:color="auto"/>
            <w:left w:val="none" w:sz="0" w:space="0" w:color="auto"/>
            <w:bottom w:val="none" w:sz="0" w:space="0" w:color="auto"/>
            <w:right w:val="none" w:sz="0" w:space="0" w:color="auto"/>
          </w:divBdr>
        </w:div>
        <w:div w:id="1358389477">
          <w:marLeft w:val="0"/>
          <w:marRight w:val="0"/>
          <w:marTop w:val="0"/>
          <w:marBottom w:val="160"/>
          <w:divBdr>
            <w:top w:val="none" w:sz="0" w:space="0" w:color="auto"/>
            <w:left w:val="none" w:sz="0" w:space="0" w:color="auto"/>
            <w:bottom w:val="none" w:sz="0" w:space="0" w:color="auto"/>
            <w:right w:val="none" w:sz="0" w:space="0" w:color="auto"/>
          </w:divBdr>
        </w:div>
        <w:div w:id="1506817737">
          <w:marLeft w:val="0"/>
          <w:marRight w:val="0"/>
          <w:marTop w:val="0"/>
          <w:marBottom w:val="160"/>
          <w:divBdr>
            <w:top w:val="none" w:sz="0" w:space="0" w:color="auto"/>
            <w:left w:val="none" w:sz="0" w:space="0" w:color="auto"/>
            <w:bottom w:val="none" w:sz="0" w:space="0" w:color="auto"/>
            <w:right w:val="none" w:sz="0" w:space="0" w:color="auto"/>
          </w:divBdr>
        </w:div>
        <w:div w:id="1739860741">
          <w:marLeft w:val="0"/>
          <w:marRight w:val="0"/>
          <w:marTop w:val="0"/>
          <w:marBottom w:val="160"/>
          <w:divBdr>
            <w:top w:val="none" w:sz="0" w:space="0" w:color="auto"/>
            <w:left w:val="none" w:sz="0" w:space="0" w:color="auto"/>
            <w:bottom w:val="none" w:sz="0" w:space="0" w:color="auto"/>
            <w:right w:val="none" w:sz="0" w:space="0" w:color="auto"/>
          </w:divBdr>
        </w:div>
        <w:div w:id="2105028475">
          <w:marLeft w:val="0"/>
          <w:marRight w:val="0"/>
          <w:marTop w:val="0"/>
          <w:marBottom w:val="160"/>
          <w:divBdr>
            <w:top w:val="none" w:sz="0" w:space="0" w:color="auto"/>
            <w:left w:val="none" w:sz="0" w:space="0" w:color="auto"/>
            <w:bottom w:val="none" w:sz="0" w:space="0" w:color="auto"/>
            <w:right w:val="none" w:sz="0" w:space="0" w:color="auto"/>
          </w:divBdr>
        </w:div>
        <w:div w:id="300616540">
          <w:marLeft w:val="0"/>
          <w:marRight w:val="0"/>
          <w:marTop w:val="0"/>
          <w:marBottom w:val="160"/>
          <w:divBdr>
            <w:top w:val="none" w:sz="0" w:space="0" w:color="auto"/>
            <w:left w:val="none" w:sz="0" w:space="0" w:color="auto"/>
            <w:bottom w:val="none" w:sz="0" w:space="0" w:color="auto"/>
            <w:right w:val="none" w:sz="0" w:space="0" w:color="auto"/>
          </w:divBdr>
        </w:div>
      </w:divsChild>
    </w:div>
    <w:div w:id="1537504650">
      <w:bodyDiv w:val="1"/>
      <w:marLeft w:val="0"/>
      <w:marRight w:val="0"/>
      <w:marTop w:val="0"/>
      <w:marBottom w:val="0"/>
      <w:divBdr>
        <w:top w:val="none" w:sz="0" w:space="0" w:color="auto"/>
        <w:left w:val="none" w:sz="0" w:space="0" w:color="auto"/>
        <w:bottom w:val="none" w:sz="0" w:space="0" w:color="auto"/>
        <w:right w:val="none" w:sz="0" w:space="0" w:color="auto"/>
      </w:divBdr>
    </w:div>
    <w:div w:id="1948464195">
      <w:bodyDiv w:val="1"/>
      <w:marLeft w:val="0"/>
      <w:marRight w:val="0"/>
      <w:marTop w:val="0"/>
      <w:marBottom w:val="0"/>
      <w:divBdr>
        <w:top w:val="none" w:sz="0" w:space="0" w:color="auto"/>
        <w:left w:val="none" w:sz="0" w:space="0" w:color="auto"/>
        <w:bottom w:val="none" w:sz="0" w:space="0" w:color="auto"/>
        <w:right w:val="none" w:sz="0" w:space="0" w:color="auto"/>
      </w:divBdr>
    </w:div>
    <w:div w:id="1967421687">
      <w:bodyDiv w:val="1"/>
      <w:marLeft w:val="0"/>
      <w:marRight w:val="0"/>
      <w:marTop w:val="0"/>
      <w:marBottom w:val="0"/>
      <w:divBdr>
        <w:top w:val="none" w:sz="0" w:space="0" w:color="auto"/>
        <w:left w:val="none" w:sz="0" w:space="0" w:color="auto"/>
        <w:bottom w:val="none" w:sz="0" w:space="0" w:color="auto"/>
        <w:right w:val="none" w:sz="0" w:space="0" w:color="auto"/>
      </w:divBdr>
    </w:div>
    <w:div w:id="1991667654">
      <w:bodyDiv w:val="1"/>
      <w:marLeft w:val="0"/>
      <w:marRight w:val="0"/>
      <w:marTop w:val="0"/>
      <w:marBottom w:val="0"/>
      <w:divBdr>
        <w:top w:val="none" w:sz="0" w:space="0" w:color="auto"/>
        <w:left w:val="none" w:sz="0" w:space="0" w:color="auto"/>
        <w:bottom w:val="none" w:sz="0" w:space="0" w:color="auto"/>
        <w:right w:val="none" w:sz="0" w:space="0" w:color="auto"/>
      </w:divBdr>
    </w:div>
    <w:div w:id="212352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tiff"/><Relationship Id="rId5" Type="http://schemas.openxmlformats.org/officeDocument/2006/relationships/image" Target="media/image2.tiff"/><Relationship Id="rId4" Type="http://schemas.openxmlformats.org/officeDocument/2006/relationships/image" Target="media/image1.tif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5340</Words>
  <Characters>30442</Characters>
  <Application>Microsoft Office Word</Application>
  <DocSecurity>0</DocSecurity>
  <Lines>253</Lines>
  <Paragraphs>71</Paragraphs>
  <ScaleCrop>false</ScaleCrop>
  <Company/>
  <LinksUpToDate>false</LinksUpToDate>
  <CharactersWithSpaces>35711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yyzhanglab</dc:creator>
  <cp:keywords/>
  <dc:description/>
  <cp:lastModifiedBy>yyzhanglab</cp:lastModifiedBy>
  <cp:revision>2</cp:revision>
  <dcterms:created xsi:type="dcterms:W3CDTF">2026-04-26T15:38:00Z</dcterms:created>
  <dcterms:modified xsi:type="dcterms:W3CDTF">2026-04-26T15:38:00Z</dcterms:modified>
</cp:coreProperties>
</file>