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b6fut3fm6ou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貧困は"お金がない"だけでなく、選択肢が狭まり、将来の見通しを持ちにくくなるという問題でもある。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支援は現金給付中心か、教育・就労支援中心か。立場を述べよ。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【追加条件】短期効果と長期効果を区別する。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・【追加条件】短期効果と長期効果を区別する。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追加条件（短期効果と長期効果を区別する。）を満たしている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