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k66end6i2jy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食品価格指数（2019=100）：2021年 103 → 2023年 112 → 2025年 118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実質賃金指数（2019=100）：2021年 99 → 2023年 97 → 2025年 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家計を守る政策を提案せよ。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【追加条件】短期（1年）と中期（3年）を分ける。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・【追加条件】短期（1年）と中期（3年）を分ける。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追加条件（短期（1年）と中期（3年）を分ける。）を満たしている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