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9qljv91m18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学校のいじめ相談件数：2022年 28件 → 2023年 35件 → 2024年 31件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匿名相談の割合：2022年 10% → 2024年 38%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相談制度をどう改善すべきか提案せよ。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【追加条件】匿名性のメリットとデメリットを両方書く。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・【追加条件】匿名性のメリットとデメリットを両方書く。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追加条件（匿名性のメリットとデメリットを両方書く。）を満たしている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