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alhyzpxiq8c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自治体の歳出：教育 20%、福祉 35%、インフラ 25%、その他 20%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人口推移：10年で −12%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財政制約下で優先すべき支出再配分の方針を述べよ。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【追加条件】削る項目と守る項目を明示し、反論を処理する。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・【追加条件】削る項目と守る項目を明示し、反論を処理する。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追加条件（削る項目と守る項目を明示し、反論を処理する。）を満たしている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