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jc w:val="center"/>
        <w:rPr>
          <w:b w:val="1"/>
          <w:bCs w:val="1"/>
          <w:sz w:val="40"/>
          <w:szCs w:val="40"/>
        </w:rPr>
      </w:pPr>
      <w:bookmarkStart w:colFirst="0" w:colLast="0" w:name="_zbvcchu5h2mr" w:id="0"/>
      <w:bookmarkEnd w:id="0"/>
      <w:r w:rsidDel="00000000" w:rsidR="00000000" w:rsidRPr="00000000">
        <w:rPr>
          <w:rFonts w:ascii="Arial Unicode MS" w:cs="Arial Unicode MS" w:eastAsia="Arial Unicode MS" w:hAnsi="Arial Unicode MS"/>
          <w:b w:val="1"/>
          <w:bCs w:val="1"/>
          <w:sz w:val="40"/>
          <w:szCs w:val="40"/>
          <w:rtl w:val="0"/>
        </w:rPr>
        <w:t xml:space="preserve">高校生 小論文 解説集（超上級）30問</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Key Point・模範解答・答案説明</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Ark College（総合型選抜専門塾）</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008">
      <w:pPr>
        <w:pStyle w:val="Heading2"/>
        <w:rPr>
          <w:b w:val="1"/>
          <w:bCs w:val="1"/>
          <w:sz w:val="26"/>
          <w:szCs w:val="26"/>
        </w:rPr>
      </w:pPr>
      <w:bookmarkStart w:colFirst="0" w:colLast="0" w:name="_4xzkr09dwh1x" w:id="1"/>
      <w:bookmarkEnd w:id="1"/>
      <w:r w:rsidDel="00000000" w:rsidR="00000000" w:rsidRPr="00000000">
        <w:rPr>
          <w:rFonts w:ascii="Arial Unicode MS" w:cs="Arial Unicode MS" w:eastAsia="Arial Unicode MS" w:hAnsi="Arial Unicode MS"/>
          <w:b w:val="1"/>
          <w:bCs w:val="1"/>
          <w:sz w:val="26"/>
          <w:szCs w:val="26"/>
          <w:rtl w:val="0"/>
        </w:rPr>
        <w:t xml:space="preserve">この解説集の使い方</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この解説集は超上級30問について10項目の解説（Key Point・設問分析・論点整理・構成戦略・構成メモ・模範解答・答案説明・よくある弱い答案・改善ポイント・使える表現集・復習課題）を収録しています。</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模範解答は1200〜1600字を目安とし、複数の資料（統計表・引用・表データ）を統合した論述を示しています。</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答案を書いた後に解説を読み、「どこで差がついたか」を確認する使い方が最も効果的です。</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0D">
      <w:pPr>
        <w:pStyle w:val="Heading2"/>
        <w:rPr>
          <w:b w:val="1"/>
          <w:bCs w:val="1"/>
          <w:sz w:val="26"/>
          <w:szCs w:val="26"/>
        </w:rPr>
      </w:pPr>
      <w:bookmarkStart w:colFirst="0" w:colLast="0" w:name="_us9an4josrql" w:id="2"/>
      <w:bookmarkEnd w:id="2"/>
      <w:r w:rsidDel="00000000" w:rsidR="00000000" w:rsidRPr="00000000">
        <w:rPr>
          <w:rFonts w:ascii="Arial Unicode MS" w:cs="Arial Unicode MS" w:eastAsia="Arial Unicode MS" w:hAnsi="Arial Unicode MS"/>
          <w:b w:val="1"/>
          <w:bCs w:val="1"/>
          <w:sz w:val="26"/>
          <w:szCs w:val="26"/>
          <w:rtl w:val="0"/>
        </w:rPr>
        <w:t xml:space="preserve">超上級小論文で求められる力</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① 複数資料の統合と矛盾の指摘：統計表・引用文・表データを統合し、相互の補完・矛盾を指摘する力</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② 資料の限界の明示：「資料から言えること」と「言えないこと・限界」を峻別する力</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③ 英語引用の日本語要約：英語の引用を正確に日本語で要約して論の根拠として使う力</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④ 定量的試算：コスト試算・削減ペース計算・一人当たり単価計算など概算での数値的裏付けを行う力</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⑤ 出典信頼性の評価：メディア・行政・国際機関・学術という出典の立場の違いを論じる力</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⑥ 予防原則とコスト・ベネフィット分析の緊張：不確実な問題に対する意思決定の枠組みを示す力</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15">
      <w:pPr>
        <w:pStyle w:val="Heading2"/>
        <w:rPr>
          <w:b w:val="1"/>
          <w:bCs w:val="1"/>
          <w:sz w:val="26"/>
          <w:szCs w:val="26"/>
        </w:rPr>
      </w:pPr>
      <w:bookmarkStart w:colFirst="0" w:colLast="0" w:name="_cgokvv1p1d0p" w:id="3"/>
      <w:bookmarkEnd w:id="3"/>
      <w:r w:rsidDel="00000000" w:rsidR="00000000" w:rsidRPr="00000000">
        <w:rPr>
          <w:rFonts w:ascii="Arial Unicode MS" w:cs="Arial Unicode MS" w:eastAsia="Arial Unicode MS" w:hAnsi="Arial Unicode MS"/>
          <w:b w:val="1"/>
          <w:bCs w:val="1"/>
          <w:sz w:val="26"/>
          <w:szCs w:val="26"/>
          <w:rtl w:val="0"/>
        </w:rPr>
        <w:t xml:space="preserve">超上級と上級の主な違い</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・資料の種類：統計表・グラフ・引用文・表データの4種類を組み合わせた複合資料</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・英語引用：自分で日本語に要約して使う（翻訳力ではなく要約・活用力が問われる）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・定量的試算：「概算でいくら」「年間何%削減が必要か」という計算が求められる</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・出典の信頼性評価：「この引用は誰の立場からの発言か」という批判的読解</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・複数資料間の矛盾指摘：二つの資料が異なる方向を示す場合の処理が求められる</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1C">
      <w:pPr>
        <w:pStyle w:val="Heading2"/>
        <w:rPr>
          <w:b w:val="1"/>
          <w:bCs w:val="1"/>
          <w:sz w:val="26"/>
          <w:szCs w:val="26"/>
        </w:rPr>
      </w:pPr>
      <w:bookmarkStart w:colFirst="0" w:colLast="0" w:name="_6co4atwk692i" w:id="4"/>
      <w:bookmarkEnd w:id="4"/>
      <w:r w:rsidDel="00000000" w:rsidR="00000000" w:rsidRPr="00000000">
        <w:rPr>
          <w:rFonts w:ascii="Arial Unicode MS" w:cs="Arial Unicode MS" w:eastAsia="Arial Unicode MS" w:hAnsi="Arial Unicode MS"/>
          <w:b w:val="1"/>
          <w:bCs w:val="1"/>
          <w:sz w:val="26"/>
          <w:szCs w:val="26"/>
          <w:rtl w:val="0"/>
        </w:rPr>
        <w:t xml:space="preserve">資料批判の三原則</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① 言えることと言えないことを区別する（相関≠因果、一例からの一般化を避ける）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② 資料の限界を示す（調査対象・方法・年次・定義の問題に触れる）</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③ 出典の立場を示す（誰が・何のために・どういう文脈でこの数値・主張を出したか）</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21">
      <w:pPr>
        <w:pStyle w:val="Heading2"/>
        <w:rPr>
          <w:b w:val="1"/>
          <w:bCs w:val="1"/>
          <w:sz w:val="26"/>
          <w:szCs w:val="26"/>
        </w:rPr>
      </w:pPr>
      <w:bookmarkStart w:colFirst="0" w:colLast="0" w:name="_vx5ghv7a67b7" w:id="5"/>
      <w:bookmarkEnd w:id="5"/>
      <w:r w:rsidDel="00000000" w:rsidR="00000000" w:rsidRPr="00000000">
        <w:rPr>
          <w:rFonts w:ascii="Arial Unicode MS" w:cs="Arial Unicode MS" w:eastAsia="Arial Unicode MS" w:hAnsi="Arial Unicode MS"/>
          <w:b w:val="1"/>
          <w:bCs w:val="1"/>
          <w:sz w:val="26"/>
          <w:szCs w:val="26"/>
          <w:rtl w:val="0"/>
        </w:rPr>
        <w:t xml:space="preserve">英語引用の使い方</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・英語引用は「そのまま貼り付ける」のではなく、必ず自分の日本語で要約して使う</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・要約の形：「〜は〜と述べている（要約）。この指摘は〜という点で重要だ。」</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・国際機関（UNESCO・OECD・IPCC等）の引用は「国際的な規範・合意」を示す根拠として有効</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・英語引用の「立場の違い（国際機関 vs 国内政府 vs メディア）」を明示すること</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27">
      <w:pPr>
        <w:pStyle w:val="Heading2"/>
        <w:rPr>
          <w:b w:val="1"/>
          <w:bCs w:val="1"/>
          <w:sz w:val="26"/>
          <w:szCs w:val="26"/>
        </w:rPr>
      </w:pPr>
      <w:bookmarkStart w:colFirst="0" w:colLast="0" w:name="_bhxx3t8vjcc" w:id="6"/>
      <w:bookmarkEnd w:id="6"/>
      <w:r w:rsidDel="00000000" w:rsidR="00000000" w:rsidRPr="00000000">
        <w:rPr>
          <w:rFonts w:ascii="Arial Unicode MS" w:cs="Arial Unicode MS" w:eastAsia="Arial Unicode MS" w:hAnsi="Arial Unicode MS"/>
          <w:b w:val="1"/>
          <w:bCs w:val="1"/>
          <w:sz w:val="26"/>
          <w:szCs w:val="26"/>
          <w:rtl w:val="0"/>
        </w:rPr>
        <w:t xml:space="preserve">定量的試算のコツ</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・「概算でいくら」「年間何%変化が必要か」という計算を一文加えるだけで説得力が大幅に向上する</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・計算例：削減ペース÷目標達成までの年数、一人当たり費用×対象人口、シェア×市場規模</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・「概算」「試算」「推計」という言葉を使い、断定ではないことを示す</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・計算が難しい場合は「〜という試算がある（〇〇省・〇〇機関）」と出典を使う</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02F">
      <w:pPr>
        <w:pStyle w:val="Heading1"/>
        <w:rPr>
          <w:b w:val="1"/>
          <w:bCs w:val="1"/>
          <w:color w:val="1a3a6b"/>
          <w:sz w:val="28"/>
          <w:szCs w:val="28"/>
        </w:rPr>
      </w:pPr>
      <w:bookmarkStart w:colFirst="0" w:colLast="0" w:name="_z9lab8xtso3k" w:id="7"/>
      <w:bookmarkEnd w:id="7"/>
      <w:r w:rsidDel="00000000" w:rsidR="00000000" w:rsidRPr="00000000">
        <w:rPr>
          <w:rFonts w:ascii="Arial Unicode MS" w:cs="Arial Unicode MS" w:eastAsia="Arial Unicode MS" w:hAnsi="Arial Unicode MS"/>
          <w:b w:val="1"/>
          <w:bCs w:val="1"/>
          <w:color w:val="1a3a6b"/>
          <w:sz w:val="28"/>
          <w:szCs w:val="28"/>
          <w:rtl w:val="0"/>
        </w:rPr>
        <w:t xml:space="preserve">【問題 No.01】　統計型／政策設計</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【表1】日本の社会保障給付費の推移（兆円）</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2000年：78.4　2010年：105.4　2020年：132.2　2030年（推計）：158.0</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内訳（2020年）：年金 55.5 ／ 医療 40.7 ／ 福祉その他 36.0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【表2】社会保障負担率の国際比較（2020年、GDP比）</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日本：24.4%　ドイツ：30.0%　フランス：34.0%　スウェーデン：27.2%　米国：16.0%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【引用】令和5年版 厚生労働白書（2023）：「社会保障制度は「自助・共助・公助」の適切な組み合わせにより、機能を発揮することが求められる。」</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上記の資料を踏まえ、持続可能な社会保障制度の再設計について、給付と負担のバランスを中心に提言せよ。</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【追加条件】「誰が」「何を」「どの程度」負担するかを世代別・所得別に整理し、トレードオフを明示すること。</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【読み取りのヒント】表1：給付費の増加ペースと内訳の変化に注目。表2：日本の負担率の国際的な位置づけを確認し、「低い＝余地あり」と断定しないこと。</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・表1から「給付費の伸びペース（約20年で約54兆円増）」と「内訳の偏り（年金が全体の42%）」を読み取ること。</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・表2を「日本の負担率が低いから上げられる」と単純断定しないこと。各国の制度的背景・経済状況が異なる。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・「誰が・何を・どの程度」という三軸の整理（追加条件）を世代別（現役vs高齢）・所得別（累進性）で行うこと。</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・給付削減と負担増という2方向のトレードオフを明示し、どの組み合わせを優先するかを条件付きで示すこと。</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・白書引用の「自助・共助・公助」という枠組みを使いながら、各層の役割の再定義まで踏み込むと上位答案になる。</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超上級の統計型・政策設計問題の典型。表1から読み取るべきは「給付費の絶対額の増大」と「2020年時点での内訳（年金が最大）」、そして「2030年推計からの伸び率」。表2では日本の負担率（24.4%）はドイツ・フランス・スウェーデンより低く、米国より高い。ただし「低いから上げられる」という単純な論理は避けること——各国の税制・公的サービスの範囲・経済成長率が異なるため、単純な国際比較には限界がある。追加条件「世代別・所得別の負担整理」は、①現役世代の保険料負担増、②高所得者の給付調整（年金の所得連動化）、③高齢者の窓口負担見直し、という三層で論じられる。</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・給付費の伸びの主因（高齢化・医療技術の高度化）と削減可能な領域の整理</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・負担増の形態（保険料・税・窓口負担）とそれぞれの逆進性・公平性</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・世代間の受益と負担の非対称性（現役世代が負担し高齢者が受益する構造）</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・「量的拡大」から「質的効率化」への転換（給付の絞り込みと重点化）</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表1・2の数値を引用しながら問題の構造（給付増大＋負担率の国際比較上の余地）を示す。ただし「負担率が低いから増やせる」という断定を避け、「一定の引き上げ余地があるが条件が伴う」という留保を入れる。本論1：給付側の見直し（年金の所得連動給付調整・医療の予防重視・高齢者窓口負担の所得連動強化）。本論2：負担側の設計（保険料の所得比例強化・消費税の社会保障目的税化・富裕層の資産課税強化）。世代別・所得別の整理（追加条件）。結論：「給付の重点化＋応能負担の強化」という方針を条件付きで提言。</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表1の読み取り：給付費は20年で54兆円増。内訳は年金が最大（55.5兆円）。2030年推計では158兆円と、2020年比26兆円増が見込まれる。</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表2の読み取り（限界含む）：日本の負担率（24.4%）はドイツ・仏・瑞より低い。しかし各国の制度構造・経済規模の差があるため「余地がある」とは言えても、どの程度かは別途分析が必要。</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給付側の見直し：年金：所得連動の給付調整（高所得高齢者の給付削減）。医療：予防投資の拡充と高額医療の費用対効果評価の強化。福祉：サービスの効率化・重点化。</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負担側の設計：現役世代：保険料の所得比例化強化。高齢者：窓口負担の所得連動引き上げ。全体：消費税の社会保障目的税化（逆進性には低所得者補助で対応）。</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世代別・所得別整理：高齢者（受益大・一部は負担余力あり）、現役世代（負担増が続く・将来の受益不安）、低所得者（給付削減を避けるセーフティネットが必要）。</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条件付き結論：給付の重点化と応能負担の強化を組み合わせることを条件に、持続可能な社会保障の再設計は可能だが、政治的合意の形成が前提条件となる。</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表1によれば、日本の社会保障給付費は2000年の78.4兆円から2020年の132.2兆円へ、20年で約54兆円増大している。2030年には158兆円に達すると推計されており、今後10年でさらに約26兆円の増加が見込まれる。内訳では年金が55.5兆円と全体の42%を占め、最大の費目となっている。</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表2では、日本の社会保障負担率（GDP比24.4%）はドイツ（30.0%）、フランス（34.0%）、スウェーデン（27.2%）より低く、一定の引き上げ余地があるように見える。しかし、この比較を「日本は負担を増やせる」という単純な根拠にすることは誤りだ。各国の税制・公的サービスの範囲・経済成長率が異なり、日本の低成長・高齢化率という文脈では同一基準での比較に限界がある。</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持続可能な社会保障の再設計には、給付側と負担側の両面からのアプローチが必要だ。給付側では、高齢者への年金給付を所得連動化し、一定以上の所得を持つ高齢者への給付を段階的に調整することが重要だ。医療については、予防医療への投資を拡充し、高額医療技術の費用対効果評価に基づく給付範囲の精緻化を進める。</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負担側の設計として、「誰が・何を・どの程度」負担するかを次のように整理する。現役世代については、保険料の所得比例化を強化し、高所得者ほど負担が増える仕組みを徹底する。高齢者については、現在一律に設定されている医療窓口負担を所得に応じて段階化し、負担能力のある高齢者には相応の負担を求める。低所得層については、負担増を求めないことを大前提とし、給付の重点配分を維持す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白書が示す「自助・共助・公助」の枠組みに照らせば、自助（本人の努力と備え）を基盤としながら、共助（保険制度）と公助（税による再分配）の役割を能力に応じて明確に定義し直すことが必要だ。現状は高齢者への公助が過大であり、現役世代と将来世代への公助が過小になっている構造的非対称性があ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以上から、持続可能な社会保障の再設計は、給付の重点化と応能負担の強化を組み合わせることで実現可能だ。ただし、その実現には世代を超えた政治的合意の形成が不可欠であり、「痛みを伴う改革を誰が先に負担するか」という困難な問いへの社会的な応答が前提条件となる。</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表1・2の数値を具体的に引用しながら、「負担率の国際比較を単純断定しない」という資料批判的な姿勢を示している。これが超上級の採点でまず評価される。給付側（年金の所得連動化・予防医療重視）と負担側（保険料の所得比例強化・窓口負担の段階化）という二方向からのアプローチが追加条件（世代別・所得別整理）を満たしている。白書引用（自助・共助・公助）を単なる引用としてではなく、現状の構造的非対称性の批判に活用している点が上位答案の特徴。結論の「政治的合意が前提条件」という留保が、政策提言の現実性を示している。</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・表2の「日本の負担率が低い」という数値を根拠に「だから上げればよい」と断定してしまう。国際比較の限界に触れていない。</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・「世代別・所得別の整理」という追加条件を満たさず、「全体的に負担を増やす」という抽象論になっている。</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・給付削減と負担増のどちらか一方しか論じず、両方を組み合わせるという提言の完成度が低い。</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・白書引用を「〜と述べている」という紹介にとどまり、論の根拠として機能させていない。</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・表1から「給付費の増加ペース（10年で約27兆円）」「内訳の偏り（年金が42%）」という具体的な数値を論の根拠として使う。</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・表2の国際比較を使う場合は「ただし各国の制度的背景が異なるため単純な比較には限界がある」という一文を必ず加える。</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・「誰が・何を・どの程度」という三軸の整理を世代別（現役・高齢）×所得別（高・中・低）のマトリクスで行うと追加条件を高精度で満たせる。</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・白書の「自助・共助・公助」という枠組みを「現状の何が歪んでいるか」という批判的分析に活用すると論述の深度が増す。</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・表1によれば、〜は〜から〜へ、〜年で約〜増大している。</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・この比較を「〜できる」という単純な根拠にすることは誤りだ。各国の〜が異なるためだ。</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・給付側では〜、負担側では〜という両面からのアプローチが必要だ。</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・「誰が・何を・どの程度」負担するかを次のように整理する。</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・〜の構造的非対称性がある。</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・その実現には〜が不可欠であり、〜という困難な問いへの社会的な応答が前提条件となる。</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・表1・2の数値を「批判的に」引用できていたか（単純断定していないか）。</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・追加条件「世代別・所得別の整理」を具体的に行えていたか。</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・給付側と負担側の両面からの提言になっていたか。</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07D">
      <w:pPr>
        <w:pStyle w:val="Heading1"/>
        <w:rPr>
          <w:b w:val="1"/>
          <w:bCs w:val="1"/>
          <w:color w:val="1a3a6b"/>
          <w:sz w:val="28"/>
          <w:szCs w:val="28"/>
        </w:rPr>
      </w:pPr>
      <w:bookmarkStart w:colFirst="0" w:colLast="0" w:name="_b8qj44jw2kae" w:id="8"/>
      <w:bookmarkEnd w:id="8"/>
      <w:r w:rsidDel="00000000" w:rsidR="00000000" w:rsidRPr="00000000">
        <w:rPr>
          <w:rFonts w:ascii="Arial Unicode MS" w:cs="Arial Unicode MS" w:eastAsia="Arial Unicode MS" w:hAnsi="Arial Unicode MS"/>
          <w:b w:val="1"/>
          <w:bCs w:val="1"/>
          <w:color w:val="1a3a6b"/>
          <w:sz w:val="28"/>
          <w:szCs w:val="28"/>
          <w:rtl w:val="0"/>
        </w:rPr>
        <w:t xml:space="preserve">【問題 No.02】　統計型／因果分析</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【表1】都道府県別 合計特殊出生率（2022年、上位・下位各3県）</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出生率高：沖縄 1.70 / 宮崎 1.49 / 鹿児島 1.47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出生率低：東京 1.04 / 宮城 1.07 / 北海道 1.12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【表2】女性就業率（25〜44歳）と出生率の相関（r = +0.41、p&lt;0.05）</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【表3】保育所定員充足率：全国平均 92%　東京 78%　沖縄 88%</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【引用】令和5年版 少子化社会対策白書（2023）：「少子化の要因は複合的であり、経済的要因、働き方、価値観の変化など多面的な視点からの分析が必要である。」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上記の資料から読み取れること・読み取れないことを整理し、少子化対策として最も優先すべき施策を提言せよ。</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【追加条件】相関と因果を区別し、「東京の出生率が低い理由」として断定できる仮説と、追加データが必要な仮説を分けること。</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【読み取りのヒント】表2の相関係数（r=0.41）は「弱〜中程度の正の相関」。因果関係の証明にはならない。表3の充足率の差が何を意味するかも検討すること。</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・表2の相関係数（r=0.41）を「因果関係の証明」として使わないこと。弱〜中程度の相関であり、第三変数（住宅費・通勤時間・所得水準）の影響を排除できていない。</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・「東京の出生率が低い理由」として資料から断定できる仮説と追加データが必要な仮説を区別すること（追加条件）。</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・「言えること」と「言えないこと」の峻別が超上級の核心。言えないことを安易に断定しない。</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・白書引用「要因は複合的」を踏まえた上で、自分の施策の根拠を「なぜこれが最優先か」まで論じること。</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・保育所充足率（表3）の地域差を、出生率との関係でどう読み取るか（相関はあるが因果断定は不可）という分析が必要。</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超上級の因果分析問題。表2のr=0.41という相関係数は「女性就業率が高い都道府県ほど出生率が高い傾向がある」という事実を示すが、「就業率を上げれば出生率が上がる」という因果を証明しない。東京の低出生率の説明として資料から「断定できる」仮説は存在しない——資料は相関を示すのみ。「仮説として提示できる」ものとして、住宅費の高さ・長時間通勤・所得に見合わない生活コストなどが考えられるが、これらを証明するには別途の調査が必要。施策の優先順位を論じる際も「最も効果が高い」という断定を避け、「現時点での根拠に基づく優先策」という形にすること。</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・表2の相関（r=0.41）の解釈：就業率と出生率の正の相関は何を意味し、何を意味しないか</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・「東京の出生率が低い」理由として資料から言えることと言えないことの峻別</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・保育所充足率（表3）の地域差と出生率の関係（相関は示唆されるが因果断定は不可）</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・少子化対策の優先施策選択：複合的要因への対応として何を「最優先」とする根拠があるか</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三つの表から「言えること」（出生率の地域差・女性就業率との正の相関・東京の保育所充足率の低さ）と「言えないこと」（因果関係・東京の低出生率の決定的原因）を整理する。本論1：「東京の出生率が低い理由」として断定できる仮説（資料に基づく範囲）と追加データが必要な仮説を区別して論じる。本論2：最優先施策の提言（保育環境の整備強化＋仕事と育児の両立支援）とその根拠。施策の限界にも触れる。結論：「複合的要因に対しては複合的な施策パッケージが必要」という条件付き提言。</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言えること（表1）：出生率に都道府県間の大きな格差（沖縄1.70 vs 東京1.04）が存在する。</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言えること（表2）：女性就業率と出生率の間に弱〜中程度の正の相関（r=0.41）がある。</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言えること（表3）：東京の保育所充足率（78%）は全国平均（92%）より低い。</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言えないこと：就業率を上げれば出生率が上がるという因果関係。東京の低出生率の決定的原因。沖縄の高出生率の理由（資料から説明できない）。</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断定できる仮説（東京）：保育所の不足（充足率78%）が就労育児の両立を困難にしている可能性がある。</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追加データが必要な仮説：住宅費の高さ・通勤時間・所得格差・価値観の変化などは、資料外の追加調査が必要。</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最優先施策：保育所の定員拡充と仕事と育児の両立制度（育休・時短勤務）の実効性強化。理由：現在の資料から最も支持される相関（就業率↑→出生率↑の傾向）と充足率の低さ。</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まず、三つの資料から読み取れることと読み取れないことを整理する。表1からは、都道府県間に大きな出生率格差（沖縄1.70 vs 東京1.04）が存在するという事実が読み取れる。表2では、女性就業率（25〜44歳）と出生率の間に統計的に有意な正の相関（r=0.41）が確認されている。ただし、r=0.41は「弱〜中程度の相関」であり、就業率を上げれば出生率が上がるという因果関係を証明するものではない。第三変数（住宅費・通勤時間・所得水準）が両者に影響している可能性は排除できない。表3では、東京の保育所定員充足率（78%）が全国平均（92%）より14ポイント低いことが読み取れる。</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次に、「東京の出生率が低い理由」として資料から示唆できる仮説と、追加データが必要な仮説を区別する。資料から示唆できる仮説は「保育所の不足が就労育児の両立を困難にし、出産の意思決定に影響している可能性」だ。これは表2（就業率と出生率の正の相関）と表3（東京の充足率の低さ）を組み合わせることで提示できる。一方、「住宅費の高さ」「長時間通勤による時間的余裕の欠如」「価値観の多様化」といった要因は、今回の資料からは確認できず、追加の調査なしに断定することはできない。</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白書が示すように、少子化の要因は複合的であるため、単一の施策で解決することは難しい。しかし、現在の資料に基づいて最も優先すべき施策を挙げるとすれば、保育所の定員拡充と、仕事と育児の両立を支援する制度の実効性強化だ。これは、表2の「就業率と出生率の正の相関」と表3の「東京の充足率の低さ」から最も根拠が示せるアプローチだ。男性育休の義務化・育休中の所得保障の拡充を組み合わせることで、「子育てをしながらも就業できる環境」を整えることが重要だ。</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ただし、この施策の限界も認識する必要がある。保育所を整備しても、住宅費・教育費という経済的負担が解消されなければ出生意欲の回復には限界がある。また、「子どもを持つ」という選択は価値観とも深く関わり、制度だけで変容させることは難しい。少子化対策は保育環境の整備を軸にしながら、住宅・教育・雇用という複合的な条件整備を並行して進める必要がある。</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現時点での資料に基づく最善の優先策として保育環境の整備と両立支援制度の強化を提言するが、その効果を定期的に検証し、追加データに基づいて施策を修正する適応的な政策運用が不可欠だと考える。</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言えること・言えないこと」を三表それぞれについて整理しており、超上級の核心的要求に正面から応えている。表2のr=0.41を「弱〜中程度の相関」と正確に評価し、因果断定を避けている点が高評価のポイント。追加条件「断定できる仮説と追加データが必要な仮説の区別」は第2段落で丁寧に行われており、資料の範囲内での「示唆」と「断定できない仮説」の峻別が明確だ。施策の限界（住宅費・教育費・価値観）にも触れており、単純な政策万能論を避けている。結論の「適応的な政策運用」という視点が上位答案を特徴づける。</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・表2のr=0.41を「就業率を上げれば出生率が上がる」という因果として断定してしまう。</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・「東京の出生率が低い理由」を資料に基づかない仮説（感覚・一般論）で説明してしまう。</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・「言えること・言えないこと」の区別をせず、資料を都合よく使って断定的な論を展開する。</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・施策を提言するが「なぜこれが最優先か」という根拠を資料と結びつけて示せていない。</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・r=0.41という具体的な数値を使い、かつ「弱〜中程度の相関」という解釈の留保を同時に示すことで、データリテラシーの高さを証明する。</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・「断定できる仮説」と「追加データが必要な仮説」を明示的に区別することが追加条件の充足になる。</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・施策の根拠を「表2と表3を組み合わせることで最も支持される」という形で示すと、資料活用の精度が高い答案になる。</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・施策の限界（住宅費・教育費・価値観）への言及が、「一つの施策で解決できない複合問題」という認識を示す。</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・〜からは〜が読み取れる。ただし、r=〜は「弱〜中程度の相関」であり、〜という因果関係を証明するものではない。</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・資料から示唆できる仮説は〜だ。一方、〜については、今回の資料からは確認できず、追加の調査なしに断定することはできない。</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・現在の資料に基づいて最も優先すべき施策を挙げるとすれば〜だ。これは〜から最も根拠が示せるアプローチだ。</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・追加データに基づいて施策を修正する適応的な政策運用が不可欠だ。</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・表2のr=0.41を相関として正確に解釈し、因果断定を避けられていたか。</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・「断定できる仮説」と「追加データが必要な仮説」を明示的に区別できていたか（追加条件）。</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・施策の提言を資料の読み取りと結びつけて根拠を示せていたか。</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0C9">
      <w:pPr>
        <w:pStyle w:val="Heading1"/>
        <w:rPr>
          <w:b w:val="1"/>
          <w:bCs w:val="1"/>
          <w:color w:val="1a3a6b"/>
          <w:sz w:val="28"/>
          <w:szCs w:val="28"/>
        </w:rPr>
      </w:pPr>
      <w:bookmarkStart w:colFirst="0" w:colLast="0" w:name="_jl0y2f89e2dm" w:id="9"/>
      <w:bookmarkEnd w:id="9"/>
      <w:r w:rsidDel="00000000" w:rsidR="00000000" w:rsidRPr="00000000">
        <w:rPr>
          <w:rFonts w:ascii="Arial Unicode MS" w:cs="Arial Unicode MS" w:eastAsia="Arial Unicode MS" w:hAnsi="Arial Unicode MS"/>
          <w:b w:val="1"/>
          <w:bCs w:val="1"/>
          <w:color w:val="1a3a6b"/>
          <w:sz w:val="28"/>
          <w:szCs w:val="28"/>
          <w:rtl w:val="0"/>
        </w:rPr>
        <w:t xml:space="preserve">【問題 No.03】　統計型／意見対立</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【課題文A】経済成長なき分配は財源を枯渇させ、長期的には格差を拡大する。</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【課題文B】成長の果実が下位層に届かない「トリクルダウン」の失敗は歴史が証明している。</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【表1】実質GDP成長率と賃金上昇率の推移（日本、%）</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2015年：成長率 1.6 / 賃金 0.1　2018年：成長率 0.6 / 賃金 0.8</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2021年：成長率 2.1 / 賃金 0.2　2023年：成長率 1.9 / 賃金 1.4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【表2】所得分配指標（ジニ係数、再分配前後）</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日本：再分配前 0.559 → 再分配後 0.381（改善幅 0.178）</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OECD平均：再分配前 0.491 → 再分配後 0.310（改善幅 0.181）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7d6608"/>
          <w:sz w:val="24"/>
          <w:szCs w:val="24"/>
        </w:rPr>
      </w:pPr>
      <w:r w:rsidDel="00000000" w:rsidR="00000000" w:rsidRPr="00000000">
        <w:rPr>
          <w:rFonts w:ascii="Arial Unicode MS" w:cs="Arial Unicode MS" w:eastAsia="Arial Unicode MS" w:hAnsi="Arial Unicode MS"/>
          <w:b w:val="1"/>
          <w:bCs w:val="1"/>
          <w:i w:val="1"/>
          <w:iCs w:val="1"/>
          <w:color w:val="7d6608"/>
          <w:sz w:val="24"/>
          <w:szCs w:val="24"/>
          <w:rtl w:val="0"/>
        </w:rPr>
        <w:t xml:space="preserve">課題文A/Bと資料を踏まえ、日本の経済政策は「成長重視」と「分配重視」のどちらを優先すべきか。条件付きで結論を示せ。</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【追加条件】ジニ係数の意味と限界（何を測れないか）に触れること。GDP成長率と賃金上昇率のズレについても分析すること。</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Fonts w:ascii="Arial Unicode MS" w:cs="Arial Unicode MS" w:eastAsia="Arial Unicode MS" w:hAnsi="Arial Unicode MS"/>
          <w:b w:val="1"/>
          <w:bCs w:val="1"/>
          <w:i w:val="1"/>
          <w:iCs w:val="1"/>
          <w:color w:val="6c3483"/>
          <w:sz w:val="20"/>
          <w:szCs w:val="20"/>
          <w:rtl w:val="0"/>
        </w:rPr>
        <w:t xml:space="preserve">【読み取りのヒント】ジニ係数は0が完全平等・1が完全不平等。日本の再分配改善幅はOECD平均とほぼ同等だが、再分配前の不平等度が高い点に注目。</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・課題文A（成長なき分配の限界）とB（トリクルダウンの失敗）を統合し、「どちらか一方では不十分」という論点を導出すること。</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・表1の「GDP成長率と賃金上昇率のズレ」を分析すること（追加条件）。成長が賃金に結びついていない2021年のデータが重要。</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・表2のジニ係数について「意味と限界」を論じること（追加条件）。ジニ係数が測れないもの（資産格差・地域差・世代間格差）を示す。</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・「成長か分配か」という二択を超えた「成長の質と分配の仕組みを同時に設計する」という条件付き結論を目指すこと。</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A+B統合＋複数統計の分析という超上級問題。表1の核心は「GDP成長率が2%超でも賃金上昇率が0.2%しかない」という2021年のデータ——これが課題文Bのトリクルダウン批判を裏付ける。表2の核心は「日本の再分配前ジニ係数（0.559）がOECD平均（0.491）より高い」という点——つまり日本は市場での不平等が大きく、再分配でかろうじてOECD平均並みに改善しているという構造。ジニ係数の限界（資産格差・実物サービスの価値・地域差・世代間格差を測れない）に触れることが追加条件。条件付き結論として「成長の果実が賃金に波及する仕組みの整備を条件に成長重視」または「分配の財源確保のために成長は必要だが、それだけでは分配は実現しない」という形が上位答案。</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・課題文AとBの統合：成長と分配はどちらかではなく、どのような「成長」と「分配の仕組み」が必要か</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・GDP成長率と賃金上昇率のズレ（表1）：なぜ成長が賃金に結びつかないか（企業内部留保・株主還元優先等）</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・ジニ係数の意味（市場の不平等度と再分配効果）と限界（資産・実物サービス・地域差を測れない）</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・「成長重視」の条件（成長の果実が賃金・雇用に波及する仕組み）と「分配重視」の条件（財源の持続可能性）</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A（成長なき分配の財源枯渇問題）とB（トリクルダウンの失敗）を統合し、「どちらかではなく、どのような成長と分配の組み合わせか」という問いに転換する。本論1：表1の分析——GDP成長率と賃金上昇率のズレの構造（企業が利益を内部留保・配当に回し、賃金に波及しない問題）。本論2：表2の分析——ジニ係数の意味（日本の再分配前不平等の大きさ）と限界（資産格差・地域差・世代間格差は反映されない）。結論：「賃金への成長波及を義務づける仕組みと応能分配を組み合わせる」という条件付き提言。</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A+B統合論点：成長なき分配は財源を枯渇させ（A）、成長しても自動的に下位層に届かない（B）。ゆえに「成長の質（賃金波及の仕組み）」と「分配の効率性（応能課税・重点給付）」の同時設計が必要だ。</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表1の分析：2021年のデータ（GDP成長率2.1%、賃金上昇率0.2%）は、成長が賃金に結びつかないトリクルダウンの失敗を示す。企業の内部留保・株主還元優先という構造的問題が背景にある。</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ジニ係数の意味：日本の再分配前ジニ係数（0.559）はOECD平均（0.491）より高く、市場での不平等が大きい。再分配後（0.381）はOECD平均（0.310）より高く、再分配でもOECD平均に届いていない。</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ジニ係数の限界（追加条件）：①資産格差（不動産・金融資産）を反映しない（フロー所得のみ）。②実物サービス（現物給付の価値）を測れない。③地域差・世代間格差が平均に埋もれる。</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条件付き結論：成長の果実を賃金に波及させる仕組み（最低賃金引き上げ・賃上げ税制）を条件に成長重視を維持しながら、応能課税による分配財源を確保する「成長と分配の好循環」を目指すべきだ。</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Aは「成長なき分配は財源を枯渇させる」と主張し、Bは「成長の果実が下位層に届かないトリクルダウンの失敗」を指摘する。両者を統合すると、「成長か分配か」という二択は誤りであり、「どのような成長を実現し、その果実をどう分配するか」という問いの転換が必要だという結論が導出される。</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表1は、このA・B統合論点を裏付ける。2021年は実質GDP成長率が2.1%であったにもかかわらず、賃金上昇率は0.2%にとどまっている。成長が賃金に波及しないという課題文Bのトリクルダウン批判を数値が支持している。この背景には、日本企業が利益を内部留保や株主還元に優先的に回し、賃金引き上げに消極的だったという構造的要因がある。2023年に賃金上昇率が1.4%に上昇した点は改善の兆候として注目されるが、まだ賃金と成長の正常な連動が回復したとは言えない。</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表2のジニ係数について分析する。日本の再分配前ジニ係数（0.559）はOECD平均（0.491）より高く、市場での所得不平等が大きいことを示す。再分配後のジニ係数（0.381）はOECD平均（0.310）より依然として高く、再分配でもOECD平均並みの平等性に届いていない。再分配改善幅（0.178）はOECD平均（0.181）とほぼ同等であり、再分配の「能力」は劣っていないが、再分配前の不平等が大きいために再分配後も格差が残るという構造だ。</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ただし、ジニ係数の限界にも触れる必要がある。第一に、ジニ係数はフロー所得（賃金・給付）の分配を測るが、資産（不動産・金融資産）の格差を反映しない。資産格差は日本でも拡大しており、ジニ係数だけでは全体像を捉えきれない。第二に、医療・教育など現物給付の価値は含まれないため、制度が充実した社会での真の「平等」を測るには不十分だ。第三に、地域差や世代間格差が全国平均に埋もれてしまう。</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以上を踏まえ、条件付きの結論を示す。日本は成長の果実が賃金・雇用に波及する仕組み（最低賃金の継続的引き上げ・賃上げ税制・労働市場改革）を整備することを条件に成長重視を維持しながら、応能課税（高所得・資産への累進強化）による分配財源を確保する。「成長か分配か」ではなく、「賃金波及型の成長と応能分配の好循環」を実現する政策こそが、現時点での最も合理的な方向性だと考える。</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でA+Bの統合から「どのような成長とどのような分配の組み合わせか」という問いへの転換を行っており、二択を超えた高度な論点設定になっている。表1の分析では「2021年のデータ（成長2.1%・賃金0.2%）」という具体的な数値でトリクルダウンの失敗を示しており、課題文Bの実証的裏付けとして機能している。表2の分析ではジニ係数の意味（再分配前後の比較）と限界（資産・現物給付・地域差・世代間格差）を両面から論じており、追加条件を高精度で満たしている。</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・「成長重視か分配重視か」を二択として論じ、一方を選ぶだけの答案になっている。課題文A・Bの統合という要求を満たしていない。</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・表1のデータを引用するが「成長率と賃金上昇率のズレ」という核心的な読み取りをせず、単に数値を列挙している。</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・ジニ係数を「格差の指標」と正確に説明しているが、「限界（何を測れないか）」という追加条件を満たしていない。</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・条件付き結論ではなく「成長と分配どちらも大切」という曖昧な中立論で終わっている。</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・表1の「2021年：成長率2.1%・賃金0.2%」というデータを「トリクルダウンの実証的失敗」として使うと課題文Bの根拠になる。</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・ジニ係数の限界として「資産格差の非反映・現物給付の非含有・地域差・世代間格差の不可視化」の4点を示す。</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・A+Bの統合として「成長なき分配も・成長のみも不十分」→「成長の質（賃金波及型）と分配の仕組みの同時設計」という三段論法が上位答案の構造。</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・両者を統合すると、「〜か〜か」という二択は誤りであり、「〜という問いの転換が必要だ」という結論が導出される。</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・〜は〜のA・B統合論点を裏付ける。〜にもかかわらず、〜にとどまっているという数値が支持している。</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・ジニ係数の限界にも触れる必要がある。第一に〜、第二に〜、第三に〜。</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・「〜か〜か」ではなく、「〜型の〜と〜の好循環」を実現する政策こそが〜だと考える。</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・課題文A・Bを統合して「二択を超えた問いの転換」ができていたか。</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・表1の「成長率と賃金上昇率のズレ」を分析できていたか（追加条件）。</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・ジニ係数の意味と限界（何を測れないか）を両面から論じられていたか（追加条件）。</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113">
      <w:pPr>
        <w:pStyle w:val="Heading1"/>
        <w:rPr>
          <w:b w:val="1"/>
          <w:bCs w:val="1"/>
          <w:color w:val="1a3a6b"/>
          <w:sz w:val="28"/>
          <w:szCs w:val="28"/>
        </w:rPr>
      </w:pPr>
      <w:bookmarkStart w:colFirst="0" w:colLast="0" w:name="_14qw9luo2a77" w:id="10"/>
      <w:bookmarkEnd w:id="10"/>
      <w:r w:rsidDel="00000000" w:rsidR="00000000" w:rsidRPr="00000000">
        <w:rPr>
          <w:rFonts w:ascii="Arial Unicode MS" w:cs="Arial Unicode MS" w:eastAsia="Arial Unicode MS" w:hAnsi="Arial Unicode MS"/>
          <w:b w:val="1"/>
          <w:bCs w:val="1"/>
          <w:color w:val="1a3a6b"/>
          <w:sz w:val="28"/>
          <w:szCs w:val="28"/>
          <w:rtl w:val="0"/>
        </w:rPr>
        <w:t xml:space="preserve">【問題 No.04】　統計型／問題解決</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【表1】日本のエネルギー自給率と電源構成（2022年）</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自給率：13.3%（OECD最低水準）</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電源構成：LNG 34% / 石炭 31% / 石油 7% / 原子力 6% / 再エネ 21%</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【表2】再生可能エネルギー導入コスト推移（円/kWh）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太陽光（事業用）：2012年 53.0 → 2020年 9.9 → 2023年 8.5</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陸上風力：2012年 30.0 → 2023年 13.2</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【表3】主要国の再エネ比率（2022年）</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ドイツ 46% / 英国 41% / フランス 26% / 日本 21% / 米国 22%</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【引用】第6次エネルギー基本計画（資源エネルギー庁）（2021）：「2030年度の電源構成目標：再生可能エネルギー36〜38%、原子力20〜22%、火力41%。」</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資料を踏まえ、日本のエネルギー政策として2030年までの移行ロードマップを提言せよ。</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【追加条件】エネルギー安全保障・コスト・CO2削減の3軸でトレードオフを整理し、「原子力の位置づけ」について賛否どちらかの立場から論じること。</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【読み取りのヒント】表2：コストの急低下は「再エネは高い」という前提が崩れていることを示す。ただし系統安定性コストは含まれていないことに注意。</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・表2のコスト低下を「再エネが安い」と断定しないこと。「系統安定性コスト（蓄電・調整力）が別途必要」という限界を示す（readingHintsの指示）。</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・「エネルギー安全保障・コスト・CO2削減の3軸でトレードオフを整理する」という追加条件を必ず満たすこと。</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・原子力の位置づけについて賛否どちらかの立場から論じること（追加条件）。どちらを選ぶにしても条件と根拠を示す。</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・第6次エネルギー基本計画の目標値（再エネ36〜38%・原子力20〜22%）を引用し、現状（再エネ21%・原子力6%）とのギャップを示すこと。</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・2030年ロードマップとして、何を・いつまでに・どのくらい変えるかという具体的な工程を示すこと。</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超上級エネルギー政策問題。表1の核心は「自給率13.3%（OECD最低）」という脆弱性と「火力（LNG+石炭）が65%を占める」という現状。表2の核心は太陽光のコストが10年で53→8.5円/kWhに急低下した事実——ただしreadingHintsが注意するように「系統安定性コスト（出力変動への対応・蓄電）は含まれていない」。表3では日本21%はドイツ46%・英国41%に大きく後れる。3軸トレードオフ（追加条件）：安全保障（自給率向上→再エネ・原子力）、コスト（再エネは低下中だが系統コスト・初期投資あり）、CO2（火力削減が急務）。原子力の立場については「安全性確認済みの既存炉再稼働を条件に活用を支持する」という条件付き賛成が論理的に整合しやすい。</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・エネルギー自給率13.3%という極度の輸入依存と安全保障リスク</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・再エネコスト低下の実態と「系統安定性コスト」という追加コストの問題</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・3軸トレードオフ：安全保障（自給率向上）vs コスト（移行費用）vs CO2削減（スピード）</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・原子力の位置づけ：既存炉再稼働の是非・新増設の可否・廃炉コスト</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表1〜3の数値を引用しながら現状の問題（自給率の脆弱性・再エネ比率の遅れ・目標とのギャップ）を示す。本論1：3軸トレードオフの整理——エネルギー安全保障（再エネ・原子力で自給率向上）、コスト（再エネは低下中だが系統安定性コストが別途必要）、CO2削減（火力比率の削減が急務）。本論2：原子力の位置づけ——「安全性確認済み既存炉の再稼働を条件に活用」という立場と根拠。2030年ロードマップの具体的な工程。結論：3軸のトレードオフを踏まえた条件付き提言。</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現状の問題：自給率13.3%（OECD最低）。再エネ21%は政府目標36〜38%に大きく不足。原子力6%は目標20〜22%の3分の1以下。</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軸トレードオフ：安全保障：化石燃料輸入依存を減らすには再エネ拡大＋原子力再稼働が有効。コスト：太陽光は8.5円/kWhに低下したが系統安定性コストは別途。CO2：火力（LNG+石炭）65%からの転換が最優先課題。</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原子力の立場（条件付き活用）：安全性審査に合格した既存炉の再稼働を条件に原子力を活用する。理由：自給率向上・CO2削減・系統安定性（出力が安定）。条件：独立した規制機関による審査・廃炉コストの内部化・地域住民の合意。</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ロードマップ（2030年まで）：①再エネ比率を2030年までに36%以上へ（太陽光の大幅増設・洋上風力の推進）。②既存炉の順次再稼働で原子力を10%以上へ。③LNG依存を維持しながら石炭は段階的廃止。</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限界と留保：再エネの系統安定性コストは試算に含まれていない。原子力は廃炉・核廃棄物処理という長期的コストがある。コスト試算には不確実性が残る。</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から日本のエネルギー政策の現状を整理する。表1によれば、日本の一次エネルギー自給率は13.3%とOECD最低水準であり、電源の65%をLNGと石炭という輸入化石燃料が占めている。再エネは21%で、政府の2030年目標（36〜38%）に大きく届いていない。原子力も6%で、目標の20〜22%の約3分の1にすぎない。この現状に対して、エネルギー安全保障・コスト・CO2削減の3軸でトレードオフを整理したうえで、2030年ロードマップを提言する。</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安全保障の軸では、化石燃料の輸入依存（国際情勢・価格変動リスク）を下げることが最重要課題だ。自給率を高める手段は再エネ拡大と原子力再稼働であり、どちらも「国内で生産できるエネルギー」という点で安全保障に貢献する。コストの軸では、表2が示すように太陽光のコストは2012年の53.0円/kWhから2023年の8.5円/kWhへと急低下しており、「再エネは高い」という従来の前提が崩れている。ただし、この数値は系統安定性コスト（出力変動への対応・蓄電池・調整力）を含んでいないため、実際の社会的コストは高くなる可能性がある。CO2削減の軸では、LNGと石炭が65%を占める現状からの転換が急務だ。</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原子力の位置づけについて、私は「安全性審査に合格した既存炉の再稼働を条件に積極的に活用する」という立場をとる。その根拠は三点ある。第一に、自給率向上への貢献だ。燃料輸入は必要だが発電自体は国内で行えるため、輸入化石燃料への依存よりリスクが低い。第二に、出力が安定しており、変動する再エネの系統安定性を補完できる。第三に、CO2排出量が石炭・LNGに比べて極めて低い（19g/kWh）。条件として、規制委員会による独立した安全審査の厳格な実施・廃炉コストと核廃棄物処理コストの電気料金への内部化・地域住民との合意形成を必須とする。</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2030年ロードマップとして、①太陽光・洋上風力の大幅増設で再エネ比率を36%以上へ引き上げる（2025〜2028年が集中整備期間）。②既存の安全審査合格炉を順次再稼働させ、原子力比率を10〜15%まで回復させる。③石炭火力を2030年までに段階的に廃止し、LNGは系統安定性のバックアップとして当面維持する。</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ただし、この提言には不確実性が残る。再エネの系統安定性コストの試算には幅があり、技術進歩によって変動する。原子力は廃炉・核廃棄物という長期的コストがある。これらを踏まえ、3年ごとにロードマップを見直す適応的な政策管理を前提条件とする。</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表1〜3の数値を体系的に引用し、現状の問題（自給率・再エネ比率の遅れ・政府目標とのギャップ）を明確に示している。3軸トレードオフ（安全保障・コスト・CO2）は追加条件を完全に満たしており、それぞれに具体的な分析がある。表2の分析では「系統安定性コストを含まない」という限界を示している点がreadingHintsへの応答として機能している。原子力への条件付き賛成という立場を「三つの根拠＋三つの条件」という形で論じており、単純な賛否論との差別化ができている。ロードマップは工程（時期・対象・数値目標）を示しており、政策提言として具体的だ。</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・表2のコスト低下を「再エネが安い・すぐに普及できる」と断定し、系統安定性コストという重要な留保を無視している。</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・3軸トレードオフを「全て大切だ」という並列論で示し、各軸間の優先順位や対立関係を論じていない。</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・原子力への賛否を示しているが「どのような条件のもとで」という精密化がなく、単純な賛成または反対になっている。</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・2030年ロードマップとして「何を・いつまでに・どのくらい」という工程を示せていない。</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・表2を引用する際に「ただし系統安定性コストは含まれていない」という留保を必ず加える。</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・3軸トレードオフは「安全保障・コスト・CO2の間の対立関係（例：CO2削減を急ぐほど再エネ移行コストが高くなる）」を示すと深みが増す。</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・原子力の立場を「安全審査合格炉の再稼働を条件に」という形で精密化し、条件と根拠の両方を示す。</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・ロードマップは「①再エネ36%へ（集中整備期間）、②原子力10〜15%へ（既存炉再稼働）、③石炭廃止」という形で工程を示す。</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・〜の3軸でトレードオフを整理したうえで、〜を提言する。</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・ただし、この数値は〜を含んでいないため、実際の〜は高くなる可能性がある。</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・私は「〜を条件に〜を積極的に活用する」という立場をとる。その根拠は三点ある。</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・〜として、①〜。②〜。③〜。ただし、この提言には不確実性が残る。</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・〜ごとにロードマップを見直す適応的な政策管理を前提条件とする。</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・表2のコスト低下に「系統安定性コストという限界」を加えられていたか。</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・エネルギー安全保障・コスト・CO2削減の3軸でトレードオフを整理できていたか（追加条件）。</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・原子力の位置づけを条件付きで（どのような条件のもとで）論じられていたか（追加条件）。</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161">
      <w:pPr>
        <w:pStyle w:val="Heading1"/>
        <w:rPr>
          <w:b w:val="1"/>
          <w:bCs w:val="1"/>
          <w:color w:val="1a3a6b"/>
          <w:sz w:val="28"/>
          <w:szCs w:val="28"/>
        </w:rPr>
      </w:pPr>
      <w:bookmarkStart w:colFirst="0" w:colLast="0" w:name="_wq2ixu7ld7oj" w:id="11"/>
      <w:bookmarkEnd w:id="11"/>
      <w:r w:rsidDel="00000000" w:rsidR="00000000" w:rsidRPr="00000000">
        <w:rPr>
          <w:rFonts w:ascii="Arial Unicode MS" w:cs="Arial Unicode MS" w:eastAsia="Arial Unicode MS" w:hAnsi="Arial Unicode MS"/>
          <w:b w:val="1"/>
          <w:bCs w:val="1"/>
          <w:color w:val="1a3a6b"/>
          <w:sz w:val="28"/>
          <w:szCs w:val="28"/>
          <w:rtl w:val="0"/>
        </w:rPr>
        <w:t xml:space="preserve">【問題 No.05】　統計型／複合評価</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【表1】PISA2022 順位（読解力：3位、数学：5位、科学：2位）</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【表2】教員の1週間の労働時間（TALIS2018、小学校）</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日本：54.4時間（参加国最長）　OECD平均：38.3時間</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【表3】教育支出のGDP比（2020年、公的支出のみ）</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日本：2.9%　OECD平均：4.1%　フィンランド：5.5%</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【英語引用】OECD Education at a Glance 2023：</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b w:val="1"/>
          <w:bCs w:val="1"/>
          <w:color w:val="7d6608"/>
          <w:sz w:val="20"/>
          <w:szCs w:val="20"/>
          <w:rtl w:val="0"/>
        </w:rPr>
        <w:t xml:space="preserve">"Japan shows high student achievement but relatively low public investment in education compared to OECD peers."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7d6608"/>
          <w:sz w:val="24"/>
          <w:szCs w:val="24"/>
        </w:rPr>
      </w:pPr>
      <w:r w:rsidDel="00000000" w:rsidR="00000000" w:rsidRPr="00000000">
        <w:rPr>
          <w:rFonts w:ascii="Arial Unicode MS" w:cs="Arial Unicode MS" w:eastAsia="Arial Unicode MS" w:hAnsi="Arial Unicode MS"/>
          <w:b w:val="1"/>
          <w:bCs w:val="1"/>
          <w:color w:val="7d6608"/>
          <w:sz w:val="24"/>
          <w:szCs w:val="24"/>
          <w:rtl w:val="0"/>
        </w:rPr>
        <w:t xml:space="preserve">資料が示す「高い学力・低い公的支出・長時間労働の教員」という構造の問題を分析し、持続可能な日本の教育政策を提言せよ。</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【追加条件】英語の引用文を自分で日本語に要約して使用すること。「教員の質」と「教員の数」の問題を区別して論じること。</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【読み取りのヒント】表1の高順位をそのまま「日本の教育は成功」と断定しないこと。「誰が」コストを負担しているかを表2・表3から読み解くことが重要。</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・英語引用を「〜と指摘されている」という形で日本語に要約して活用すること（追加条件）。直訳や英語のまま使用は不可。</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・「教員の質（能力・専門性）」と「教員の数（配置・業務量）」の問題を区別すること（追加条件）。</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・PISA高順位を「教育の成功」と断定しないこと。「誰がそのコストを払っているか（教員の超長時間労働）」という構造的問題を示す。</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・表3の「公的支出2.9%」と表2の「労働時間54.4時間」を組み合わせて「低投資・高負荷の教育構造」という問題の核心を導出すること。</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・持続可能性という観点から、現状の教員負荷が継続不可能であることを論証することが政策提言の根拠になる。</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複合評価問題の核心は「PISA高順位という成果が教員の超長時間労働という不持続可能なコストの上に成り立っている」という構造分析。英語引用（OECD）の要約：「日本の生徒の学力は高いが、公的教育投資はOECDの同等国に比べて相対的に低い」。追加条件「教員の質と数の区別」：現状の問題は「少ない教員が長時間働いて質の高い教育を実現している」という構造であり、「数を増やす（教員の採用拡大）」か「負荷を減らす（業務改革・タスクシフト）」か「投資を増やす（公的支出拡大）」という三つの方向性がある。政策提言は「教員の業務効率化＋公的支出の拡大（OECD平均の4.1%を目標）＋教員採用の拡充」という三点セットが論理的に整合する。</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・PISA高順位という「成果」と、教員超長時間労働・低公的支出という「コストの非対称性」</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・「教員の質（専門性）」と「教員の数（配置・業務量）」という問題の区別と対応策の違い</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・公的支出2.9%（OECD平均4.1%より低い）という過少投資の構造と改善余地</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・教員の業務改革（非本質的業務の削減・ICT活用・外部人材活用）と教育の質の維持</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英語引用を要約し、「高学力・低公的支出・長時間労働」という三点の矛盾を提示する。本論1：構造的問題の分析——「低公的支出（表3）」と「教員の超長時間労働（表2）」を組み合わせて「教員の犠牲の上に成り立つ教育システム」の不持続可能性を論じる。教員の質と数の問題を区別して分析。本論2：政策提言——①公的教育支出のOECD平均（4.1%）への引き上げ、②教員の業務改革（非本質業務の削減・タスクシフト・ICT活用）、③教員採用の拡充と処遇改善。結論：持続可能な教育への転換という方針を条件付きで提言。</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英語引用の要約：OECDの報告書は「日本の生徒の学業成績は高水準にあるが、OECDの同等国と比較して公的教育投資は相対的に低い」と指摘している。</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構造的問題の核心：公的支出が少ない（表3：2.9%）のに学力が高い（表1）のは、教員が週54.4時間という超長時間労働（表2）でその差を埋めているからだ。この構造は持続不可能だ。</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教員の質と数の区別：「質の問題」：教員養成・研修の質・専門性向上が課題。「数の問題」：採用人数の拡充・1クラスあたりの教員数（少人数化）・業務量の分散が課題。現状は「数が足りないため質（能力）の高い教員が過剰な業務を引き受けている」という複合問題。</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提言：①教育公的支出をGDP比2.9%→4.1%（OECD平均）へ引き上げる。財源：教育国債・消費税の教育目的税化。②教員の業務改革：給食・清掃・部活動指導などの非教育業務を外部人材（地域ボランティア・専門スタッフ）にタスクシフト。③教員採用の拡充と処遇改善（初任給の引き上げ・休憩・休日の保証）。</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条件付き結論：公的支出の段階的引き上げと業務改革・採用拡充を同時に進めることを条件に、日本の教育は「教員の犠牲なしに高学力を維持できる持続可能な構造」に転換できる。</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OECDの報告書（2023年）は「日本の生徒の学業成績は高水準にあるが、OECDの同等国と比較して公的教育投資は相対的に低い」と指摘している。この指摘は、表1〜表3を総合して読むと、重大な構造的問題を浮かび上がらせる。</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表1のPISA2022では日本は読解力3位・科学2位・数学5位と高い学力を示している。しかし、この「成果」を表2・表3と組み合わせると、構造的な問題が見えてくる。表3では日本の教育公的支出はGDP比2.9%で、OECD平均の4.1%を1.2ポイント下回っており、フィンランドの5.5%と比べると大きな差がある。一方、表2では日本の教員（小学校）の週労働時間は54.4時間で参加国最長であり、OECD平均（38.3時間）より16時間以上長い。低い公的投資にもかかわらず高い学力を実現しているのは、教員が超長時間労働でその差を埋めているからだという構造的解釈が成り立つ。</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教員の質」と「教員の数」の問題を区別して分析する。「数の問題」とは、採用人数の不足・クラスサイズの大きさ・業務の集中という問題だ。この問題への対応は教員採用の拡充と業務分散だ。「質の問題」とは、教員の専門性の向上・教育技術の継承・研修体制の充実という問題だ。現状は「数が足りないために、質の高い教員が本来の教育業務以外の業務（給食・清掃・部活動指導・事務等）まで引き受けている」という複合問題になっている。</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持続可能な教育政策の提言として三点を挙げる。第一に、教育公的支出をGDP比2.9%から4.1%（OECD平均）へ段階的に引き上げる。財源として教育目的の国債または消費税収の一部充当が現実的だ。第二に、教員の業務改革として、給食指導・清掃活動・部活動という非教育業務を地域ボランティアや外部専門スタッフに段階的にタスクシフトする。教員が本来の教育活動に集中できる環境を整える。第三に、教員の採用拡充と初任給の引き上げを行い、優秀な人材が教職に集まる条件を整備する。</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現在の「低公的投資・教員の超長時間労働・高学力」という構造は持続不可能だ。公的支出の拡充と業務改革・採用拡充を同時に進めることを条件に、教員の犠牲に依存しない持続可能な高学力教育の実現が可能だと考える。</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英語引用を「OECDの報告書は〜と指摘している」という日本語要約として自然に組み込んでおり、追加条件を満たしている。「低公的支出＋超長時間労働＝高学力」という三表の統合読み取りが論の核心をなしており、PISA高順位を単純に「成功」と評価しない批判的読解が示されている。「教員の質と数の区別」という追加条件については、問題を「数の問題（採用不足・業務集中）」と「質の問題（専門性・研修）」に分けて整理しており、さらに「現状は両者が複合している」という深い分析を示している。政策提言の三点（支出拡充・業務改革・採用拡充）が構造分析と論理的に対応している。</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・英語引用を日本語に要約せず、英語のまま使用する、または「〜というデータがある」という紹介にとどまる。</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・PISA高順位を「日本の教育の成功」と断定し、「誰がそのコストを払っているか」という批判的読解をしていない。</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・「教員の質と数の問題を区別する」という追加条件を満たさず、「教員の問題」を一括りに論じてしまう。</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・政策提言が「教員を増やす・待遇を改善する」という一般論にとどまり、財源・業務改革・採用拡充という三本柱の整合性がない。</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・英語引用を「OECDの報告書（2023年）は〜と指摘している」という形で日本語要約として組み込む（追加条件充足）。</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・表2（教員労働時間）と表3（公的支出）を「低投資＋過剰労働で高学力を実現している不持続可能な構造」として組み合わせて読む。</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・「数の問題（採用・業務量）」と「質の問題（専門性・研修）」を区別し、それぞれへの対応策を示す（追加条件充足）。</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・政策提言に財源（教育国債・消費税目的税化）を加えることで「公的支出拡充」が現実的提言として機能する。</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・OECDの報告書（〜年）は「〜」と指摘している。（英語引用の日本語要約形式）</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・低い公的投資にもかかわらず高い学力を実現しているのは、〜でその差を埋めているからだという構造的解釈が成り立つ。</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・「〜の問題」と「〜の問題」を区別して分析する。</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・現状は「〜が足りないために、〜が〜まで引き受けている」という複合問題になっている。</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・現在の「〜・〜・〜」という構造は持続不可能だ。〜を条件に、〜の実現が可能だと考える。</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・英語引用を日本語で要約して使用できていたか（追加条件）。</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・PISA高順位を批判的に読み取り、「誰がコストを払っているか」という構造問題を示せていたか。</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・「教員の質（専門性）」と「教員の数（業務量）」を区別して論じられていたか（追加条件）。</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1AD">
      <w:pPr>
        <w:pStyle w:val="Heading1"/>
        <w:rPr>
          <w:b w:val="1"/>
          <w:bCs w:val="1"/>
          <w:color w:val="1a3a6b"/>
          <w:sz w:val="28"/>
          <w:szCs w:val="28"/>
        </w:rPr>
      </w:pPr>
      <w:bookmarkStart w:colFirst="0" w:colLast="0" w:name="_xm9dp8mz3p1k" w:id="12"/>
      <w:bookmarkEnd w:id="12"/>
      <w:r w:rsidDel="00000000" w:rsidR="00000000" w:rsidRPr="00000000">
        <w:rPr>
          <w:rFonts w:ascii="Arial Unicode MS" w:cs="Arial Unicode MS" w:eastAsia="Arial Unicode MS" w:hAnsi="Arial Unicode MS"/>
          <w:b w:val="1"/>
          <w:bCs w:val="1"/>
          <w:color w:val="1a3a6b"/>
          <w:sz w:val="28"/>
          <w:szCs w:val="28"/>
          <w:rtl w:val="0"/>
        </w:rPr>
        <w:t xml:space="preserve">【問題 No.06】　画像資料型／政策設計</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【補足データ】日本の高齢化率推移</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1990年：12.0%　2010年：23.0%　2023年：29.1%　2040年（推計）：35.3%</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後期高齢者（75歳以上）比率：2023年 15.2% → 2040年（推計）20.4%</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【引用】令和5年版 高齢社会白書（内閣府）（2023）：「団塊の世代が75歳以上となる2025年以降、医療・介護需要のさらなる増大が見込まれる。」</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資料（補足データ・白書引用）を踏まえ、2040年を見据えた高齢社会対策の優先施策を2案提示し、比較・提言せよ。</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【追加条件】「現役世代の負担」と「高齢者の自立支援」のトレードオフを整理し、コスト試算（概算レベルで可）を含めること。</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【読み取りのヒント】補足データから「変化の速度」と「後期高齢者比率の急増」に注目。白書の引用は「2025年問題」の文脈で使用すること。</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・「後期高齢者比率が2023年の15.2%→2040年の20.4%に急増する」という変化の速度を論の起点にすること。</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・「現役世代の負担」と「高齢者の自立支援」のトレードオフを整理するという追加条件を満たすこと。</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・コスト試算（概算レベルで可）という追加条件を満たすこと。「兆円単位での概算」を示す。</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・2案の比較として、異なるアプローチ（例：給付削減型vs費用効率化型、または現役支援強化vs高齢者自立支援強化）を設定すること。</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・白書の「2025年問題」という文脈を踏まえ、既に始まっている問題として論じること。</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2040年の高齢化率35.3%・後期高齢者20.4%という数値は現役世代への財政的圧力を示す。2案として：案A「予防・自立支援による給付費の伸び抑制」（高齢者が介護・医療を必要とする期間を短縮する健康寿命延伸策）と案B「世代間負担の再配分（高所得高齢者の負担増・現役世代の保険料上限の緩和）」。コスト試算：後期高齢者が1人増えると医療・介護費が年間約200万円程度（概算）かかるとすれば、2040年には現在より5.2%ポイント増（約600万人増）→約12兆円の追加費用が見込まれるという概算が示せる。トレードオフ：高齢者の自立支援は財政的だが「自立させる」という施策が強制的にならないよう尊厳への配慮が必要。現役世代の負担増は当面必要だが、若者の消費意欲・出産意欲を損なうリスクがある。</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・後期高齢者（75歳以上）の急増による医療・介護需要の増大スピード</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・「現役世代の保険料・税負担増」と「高齢者の給付維持・自立支援」のトレードオフ</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・予防・健康寿命延伸という投資型アプローチの費用対効果と時間軸</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・「コスト試算」の現実性：後期高齢者増加に伴う追加給付費の概算</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後期高齢者比率の急増（15.2%→20.4%）と2025年問題（白書引用）を起点に問題の緊急性を示す。本論1：案A（予防・健康寿命延伸型）——内容・費用・効果発現までの時間・トレードオフ。本論2：案B（世代間負担再配分型）——内容・費用・公平性・受益と負担の整理。比較：短期効果（B優位）vs長期的持続可能性（A優位）という軸での比較。コスト試算（追加条件）を両案に盛り込む。結論：段階的組み合わせの提言。</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数値の核心：後期高齢者が2023年の15.2%から2040年の20.4%へ約5.2ポイント増→医療・介護需要の大幅増大。2025年問題（団塊世代が75歳超）は既に始まっている。</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案A（予防・健康寿命延伸）：特定健診・生活習慣病介入・フレイル予防プログラムの強化。要介護・要医療期間を短縮することで長期的な給付費増大を抑制する。コスト：予防プログラムへの追加投資約0.5〜1兆円/年、効果は5〜10年後に発現。</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案B（世代間負担再配分）：高所得高齢者の窓口負担・保険料の引き上げ（所得連動強化）。後期高齢者医療制度の保険料引き上げ。コスト：財政改善効果として年間数兆円規模が見込まれるが、高齢者の受診抑制リスクがある。</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トレードオフ整理：現役世代の負担：短期的には増加が避けられない。高齢者の自立支援：尊厳と自律を守りながら費用効率を高める（押し付けにならない自立支援の設計が必要）。</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概算コスト試算：後期高齢者が約600万人増えると（概算）、一人当たり年間医療・介護費200万円とすれば追加費用は約12兆円。現状の社会保障給付費（132兆円）に対して約9%の追加。</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条件付き結論：短期（〜2030年）は負担再配分（B）で財政安定を確保し、中長期（2030〜2040年）は予防投資（A）の効果が蓄積される段階的組み合わせが最も合理的だ。</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補足データによれば、日本の後期高齢者（75歳以上）比率は2023年の15.2%から2040年には20.4%へと約5.2ポイント増大することが推計されている。白書が指摘するように、団塊世代が75歳以上となる2025年以降、医療・介護需要のさらなる増大が見込まれており、この問題は将来ではなくすでに進行中だ。この構造に対し、2040年を見据えた二つの施策を提示する。</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案Aは「予防・健康寿命延伸型アプローチ」だ。特定健診の受診率向上・生活習慣病の早期介入・フレイル（虚弱）予防プログラムの全国展開により、後期高齢者が要介護・要医療状態になるまでの期間を延ばすことを目指す。概算のコスト試算として、予防プログラムへの追加投資は年間0.5〜1兆円程度が見込まれるが、要介護者1人あたりの年間給付費（介護＋医療で約200万円超）の削減効果が5〜10年後に発現すれば、長期的には費用対効果が高い。</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案Bは「世代間負担の再配分型アプローチ」だ。高所得高齢者の医療窓口負担・後期高齢者保険料を所得連動制で引き上げ、受益と負担の対応を改善する。現役世代の保険料負担の上限設計を見直し、財政の持続可能性を短期的に改善する。高所得高齢者からの追加収入は年間数兆円規模の財政改善効果が見込まれる一方、窓口負担増が低所得高齢者の受診抑制につながるリスクがあり、所得別の細かい設計が不可欠だ。</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現役世代の負担」と「高齢者の自立支援」のトレードオフを整理する。現役世代への負担増は短期的に避けられないが、その増加ペースを抑えるためにこそ、高齢者の自立を支援する予防投資が必要だ。一方、「自立支援」が強制的な削減に変質しないよう、高齢者の尊厳と選択の自律性を守る制度設計が前提条件となる。</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両案を比較すると、案Bは短期的な財政改善効果が明確だが、公平性の設計が難しい。案Aは長期的な持続可能性に優れるが、効果発現まで時間がかかる。したがって、2030年までは案Bを軸に財政の安定を確保しながら、案Aへの投資を同時に進め、2030年代以降に予防効果を活用するという段階的な組み合わせが最も合理的だと考える。</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後期高齢者比率の具体的な数値（15.2%→20.4%）を引用し、問題の緊急性と規模を示している。白書引用は「2025年問題」という文脈で自然に活用されており、「すでに進行中」という現実感を与えている。案A・Bそれぞれにコスト試算（概算）を組み込んでおり、追加条件を具体的に満たしている。トレードオフ整理（追加条件）では「現役世代の負担増の不可避性」と「自立支援が強制にならないための設計」という両面を示している。結論は「短期B・中長期A」という段階的組み合わせとして精密に示されている。</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・「コスト試算」という追加条件を満たさず、「多額のコストがかかる」という抽象的な言及にとどまる。</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・「現役世代の負担」と「高齢者の自立支援」のトレードオフを「どちらも大切だ」という並列論で示し、対立関係を分析していない。</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・2案が実質的に同じ方向性（どちらも「支援を充実させる」等）になっており、比較の意味がない。</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・後期高齢者比率の増大スピード（5.2ポイント増）という数値を論の起点として使っていない。</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・コスト試算として「後期高齢者1人あたり年間200万円×増加数＝追加費用約12兆円」という概算を示すと追加条件を充足できる。</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・案A（予防型）と案B（負担再配分型）という異なる方向性の2案を設定することで、比較の意味が生まれる。</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・トレードオフ整理は「どちらを選んでも何かを犠牲にする」という対立の構造を明示し、その上でどう均衡させるかを論じる。</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・「短期（〜2030年）はBで財政安定、中長期（2030〜2040年）はAの効果を活用」という段階的組み合わせが上位答案の結論になる。</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・〜の急増と〜が指摘するように、この問題は将来ではなくすでに進行中だ。</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・概算のコスト試算として、〜への追加投資は年間〜程度が見込まれるが、〜の効果が〜後に発現すれば費用対効果が高い。</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・「〜の負担」と「〜の自立支援」のトレードオフを整理する。</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・〜が強制的な削減に変質しないよう、〜の設計が前提条件となる。</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・〜を軸に〜を確保しながら、〜への投資を同時に進め、〜に〜効果を活用するという段階的な組み合わせが最も合理的だ。</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・後期高齢者比率の増大スピード（具体的な数値）を論の起点として使えていたか。</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・「現役世代の負担」と「高齢者の自立支援」のトレードオフを整理し、コスト試算を含めていたか（追加条件）。</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・2案が異なるアプローチとして設定され、比較の意味のある対比になっていたか。</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1F7">
      <w:pPr>
        <w:pStyle w:val="Heading1"/>
        <w:rPr>
          <w:b w:val="1"/>
          <w:bCs w:val="1"/>
          <w:color w:val="1a3a6b"/>
          <w:sz w:val="28"/>
          <w:szCs w:val="28"/>
        </w:rPr>
      </w:pPr>
      <w:bookmarkStart w:colFirst="0" w:colLast="0" w:name="_74e3lduatjnq" w:id="13"/>
      <w:bookmarkEnd w:id="13"/>
      <w:r w:rsidDel="00000000" w:rsidR="00000000" w:rsidRPr="00000000">
        <w:rPr>
          <w:rFonts w:ascii="Arial Unicode MS" w:cs="Arial Unicode MS" w:eastAsia="Arial Unicode MS" w:hAnsi="Arial Unicode MS"/>
          <w:b w:val="1"/>
          <w:bCs w:val="1"/>
          <w:color w:val="1a3a6b"/>
          <w:sz w:val="28"/>
          <w:szCs w:val="28"/>
          <w:rtl w:val="0"/>
        </w:rPr>
        <w:t xml:space="preserve">【問題 No.07】　画像資料型／因果分析</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【課題文A】都市への人口集中は経済効率を高める一方、地方の活力を奪う。</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【補足データ】東京圏（1都3県）への転入超過数</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2015年：79,844人　2020年：62,873人（コロナ前後）　2022年：38,023人</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b4f72"/>
          <w:sz w:val="20"/>
          <w:szCs w:val="20"/>
        </w:rPr>
      </w:pPr>
      <w:r w:rsidDel="00000000" w:rsidR="00000000" w:rsidRPr="00000000">
        <w:rPr>
          <w:rFonts w:ascii="Arial Unicode MS" w:cs="Arial Unicode MS" w:eastAsia="Arial Unicode MS" w:hAnsi="Arial Unicode MS"/>
          <w:b w:val="1"/>
          <w:bCs w:val="1"/>
          <w:i w:val="1"/>
          <w:iCs w:val="1"/>
          <w:color w:val="1b4f72"/>
          <w:sz w:val="20"/>
          <w:szCs w:val="20"/>
          <w:rtl w:val="0"/>
        </w:rPr>
        <w:t xml:space="preserve">【引用】令和4年版 国土交通白書（2022）：「テレワークの普及により、東京圏への転入超過は縮小傾向にあるが、若年女性の東京集中は続いている。」</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24"/>
          <w:szCs w:val="24"/>
        </w:rPr>
      </w:pPr>
      <w:r w:rsidDel="00000000" w:rsidR="00000000" w:rsidRPr="00000000">
        <w:rPr>
          <w:rFonts w:ascii="Arial Unicode MS" w:cs="Arial Unicode MS" w:eastAsia="Arial Unicode MS" w:hAnsi="Arial Unicode MS"/>
          <w:b w:val="1"/>
          <w:bCs w:val="1"/>
          <w:i w:val="1"/>
          <w:iCs w:val="1"/>
          <w:color w:val="1b4f72"/>
          <w:sz w:val="24"/>
          <w:szCs w:val="24"/>
          <w:rtl w:val="0"/>
        </w:rPr>
        <w:t xml:space="preserve">資料を踏まえ、地方創生政策として「東京一極集中の是正」に向けた提言を行え。</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【追加条件】「若年女性の東京集中」に特有の要因を分析し、既存政策（地方移住補助等）の限界に触れること。</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Fonts w:ascii="Arial Unicode MS" w:cs="Arial Unicode MS" w:eastAsia="Arial Unicode MS" w:hAnsi="Arial Unicode MS"/>
          <w:b w:val="1"/>
          <w:bCs w:val="1"/>
          <w:i w:val="1"/>
          <w:iCs w:val="1"/>
          <w:color w:val="6c3483"/>
          <w:sz w:val="20"/>
          <w:szCs w:val="20"/>
          <w:rtl w:val="0"/>
        </w:rPr>
        <w:t xml:space="preserve">【読み取りのヒント】転入超過数の減少を「地方創生の成功」と断定しないこと。コロナ特需の可能性と構造的変化の可能性を区別すること。</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・転入超過数の減少（79,844→38,023）を「地方創生の成功」と断定しないこと。コロナの特殊要因と構造的変化を区別すること（readingHints）。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・「若年女性の東京集中」に特有の要因を分析すること（追加条件）。経済的要因（賃金格差）だけでなく、文化・選択肢・安全性という観点も含める。</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・既存政策（地方移住補助）の限界に触れること（追加条件）。補助金だけでは構造的な集中を是正できない理由を示す。</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・課題文の「経済効率向上と地方の活力喪失のトレードオフ」という論点を踏まえた提言にすること。</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白書の核心は「転入超過は縮小しているが若年女性の東京集中は続いている」という非対称性。若年女性の東京集中に特有の要因（追加条件）：①地方の女性に対する雇用の選択肢の少なさ（管理職・専門職・クリエイティブ職が都市集中）、②地方での文化・多様性・匿名性の不足（性別役割規範が強い）、③出産・育児後の再就職機会の格差。既存政策の限界（追加条件）：移住補助金は「経済的インセンティブ」であり、上記の「雇用の選択肢の欠如・文化的多様性の不足」という本質的な原因には対処できない。コロナの特殊要因と構造的変化の区別：2020年の減少はコロナによる移動制限が影響している可能性があり、2022年の38,023人が「構造的な改善」なのか「コロナ後の回復途上」なのかは判断できない。</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・転入超過数の減少が「構造的変化」か「コロナの特殊要因」かの区別（言えること・言えないこと）</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・「若年女性の東京集中」に特有の要因（雇用機会・文化・性別役割規範）</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・既存の移住補助金政策の限界（経済的インセンティブだけでは構造的原因に対処できない）</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・「東京一極集中の是正」と「経済効率（集積効果）の維持」のトレードオフ</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補足データと白書を引用し、転入超過数の減少を慎重に解釈する（コロナ特需の可能性と構造的変化の区別）。本論1：若年女性の東京集中の特有要因の分析（雇用機会の格差・文化的多様性・性別役割）。本論2：既存政策（移住補助）の限界の指摘と、構造的対応策の提言（地方の雇用多様化・テレワーク制度化・地域の文化的魅力向上）。課題文の集積効果への言及。結論：条件付きの地方創生策の提言。</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転入超過数の慎重な解釈：2022年の38,023人（2015年比で約52%減）は注目すべき変化だが、コロナによる移動制限の影響と構造的変化の両方の可能性がある。2025〜2026年のデータで構造的変化かどうかが検証できる。</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若年女性の東京集中の特有要因：①地方の雇用は製造・農業・サービス業中心で、専門職・管理職・クリエイティブ職の機会が少ない。②地方では性別役割規範が強く、都市部のような「匿名性・多様性・個人の選択」が得にくい。③育休取得率・育児後の再就職機会が都市部より少ない。</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既存政策の限界：移住補助金は「引っ越しコストの軽減」であり、「なぜ東京に行くのか」という構造的要因（雇用選択肢・文化的環境）には対処できない。定住率が低く、補助期間終了後に都市に戻るケースが多い。</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構造的な対応策：①地方での専門職・クリエイティブ職の雇用創出（IT産業・コンテンツ産業の地方誘致）。②テレワーク正規雇用の制度化（都市の仕事をしながら地方に住む選択肢の制度的保障）。③地方の文化的多様性の向上（LGBTQ+の受け入れ・外国人コミュニティ・多様な生き方のロールモデル）。</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補足データによれば、東京圏への転入超過数は2015年の79,844人から2022年の38,023人へと約52%減少している。白書はこの変化を指摘しながら、「若年女性の東京集中は続いている」という重要な非対称性を示している。</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まず、転入超過数の減少を「地方創生の成功」と断定することは慎重であるべきだ。2020年の急減（62,873人）はコロナによる移動制限が大きく影響している可能性があり、2022年の数値が構造的な変化を示しているのか、コロナ後の回復途上にあるのかは現時点では判断できない。この問いに答えるには2025〜2026年以降のデータが必要だ。</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の「都市集中は経済効率を高める一方、地方の活力を奪う」という論点を踏まえると、一極集中の是正は経済集積効果とのトレードオフを伴う。しかし、若年女性の流出が続く限り、地方の将来世代の担い手が失われ、出生率の低下という長期的な問題につながる。</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若年女性の東京集中」に特有の要因を分析する。第一に、雇用の選択肢の格差だ。地方の雇用は製造・農業・サービス業中心であり、専門職・管理職・クリエイティブ職の機会が都市部に集中している。高い教育を受けた若い女性が自分の能力を活かせる雇用を求めると、東京に行く選択肢しかない構造になっている。第二に、文化的多様性と性別役割規範の問題だ。地方では都市部より性別役割に関する規範が強く残っており、個人の生き方の選択肢の幅が狭い場合がある。匿名性と多様性という都市の「自由」が、若い女性の東京選好の隠れた要因となっている。</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既存の移住補助金政策の限界も指摘する必要がある。補助金は「引っ越しコストの軽減」という経済的インセンティブであり、上述の「雇用選択肢の欠如」「文化的環境」という本質的な理由には対処できない。定住率が低く、補助期間終了後に都市圏に戻るケースが多いという問題が報告されているのはこのためだ。</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構造的な対応策として三点を提言する。①IT・コンテンツ・クリエイティブ産業の地方誘致と創業支援。②テレワーク正規雇用の制度化——都市企業が地方在住者を正規雇用として採用できる法的・制度的基盤の整備。③地方の文化的多様性の向上——多様な生き方のロールモデルの発信と受容できる地域文化の醸成。補助金ではなく、「地方で生きることの実質的な選択肢の拡大」に投資することが、持続可能な地方創生の条件だと考える。</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転入超過数の減少を「成功」と断定せず、「コロナ特需の可能性と構造的変化の区別が必要」という留保を示している点が超上級らしい批判的読解。白書の「若年女性の集中が続いている」という非対称性を論の核心に据えており、「数字の全体平均と特定層の格差」という問題を浮かび上がらせている。若年女性の集中要因として「雇用の格差（量的側面）」と「文化的多様性・性別役割（質的側面）」の両面を示している点が上位答案の特徴。既存政策（補助金）の限界を「本質的要因への対処ができない」という論拠で示しており、追加条件を満たしている。</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・転入超過数の減少を「地方創生の成功」と断定してしまい、コロナの特殊要因への言及がない。</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・「若年女性の東京集中の特有要因」として「仕事が多いから」という一般論にとどまり、性別役割・文化的多様性という深い要因に踏み込んでいない。</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・既存政策（移住補助）の限界に触れず、「補助金を増やせばよい」という提言になっている。</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・課題文の「経済効率と地方活力のトレードオフ」という論点を踏まえず、一極集中是正のコスト（集積効果の損失）に触れていない。</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・転入超過数の減少に「コロナ特需の可能性があり、構造的変化かどうかは2025〜2026年のデータで確認が必要」という留保を加える。</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・若年女性の集中要因として「雇用選択肢の格差（専門職・管理職の都市集中）」と「文化的多様性・性別役割規範の差」という二軸を示す。</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・既存政策の限界として「補助金は引っ越しコストを下げるが、雇用選択肢と文化的環境という本質的要因には対処できない」という論拠を使う。</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・構造的対応策として「IT産業誘致・テレワーク制度化・文化的多様性の醸成」という三点を示すと提言の具体性が増す。</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・〜という重要な非対称性を示している。</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・〜を「〜の成功」と断定することは慎重であるべきだ。〜の影響が大きく〜している可能性があるためだ。</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・「〜の集中」に特有の要因を分析する。第一に〜、第二に〜。</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・補助金は「〜」という経済的インセンティブであり、〜という本質的な理由には対処できない。</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・補助金ではなく、「〜の実質的な選択肢の拡大」に投資することが、持続可能な〜の条件だ。</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・転入超過数の減少を批判的に読み取り、コロナ特需の可能性と構造的変化を区別できていたか。</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・「若年女性の東京集中」の特有要因（雇用・文化的多様性・性別役割）を分析できていたか（追加条件）。</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・既存政策（移住補助）の限界を「本質的要因への対処不可」という論拠で示せていたか（追加条件）。</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23F">
      <w:pPr>
        <w:pStyle w:val="Heading1"/>
        <w:rPr>
          <w:b w:val="1"/>
          <w:bCs w:val="1"/>
          <w:color w:val="1a3a6b"/>
          <w:sz w:val="28"/>
          <w:szCs w:val="28"/>
        </w:rPr>
      </w:pPr>
      <w:bookmarkStart w:colFirst="0" w:colLast="0" w:name="_4x71rt9cya6v" w:id="14"/>
      <w:bookmarkEnd w:id="14"/>
      <w:r w:rsidDel="00000000" w:rsidR="00000000" w:rsidRPr="00000000">
        <w:rPr>
          <w:rFonts w:ascii="Arial Unicode MS" w:cs="Arial Unicode MS" w:eastAsia="Arial Unicode MS" w:hAnsi="Arial Unicode MS"/>
          <w:b w:val="1"/>
          <w:bCs w:val="1"/>
          <w:color w:val="1a3a6b"/>
          <w:sz w:val="28"/>
          <w:szCs w:val="28"/>
          <w:rtl w:val="0"/>
        </w:rPr>
        <w:t xml:space="preserve">【問題 No.08】　画像資料型／意見対立</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【補足データ】インターネット利用率（2022年）</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全体：84.9%　13〜19歳：98.5%　60〜69歳：76.6%　70〜79歳：59.5%　80歳以上：33.2%</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【引用】令和4年版 情報通信白書（総務省）（2022）：「デジタル化の恩恵を受けられない層が生じることなく、誰もがデジタル化の恩恵を享受できる社会の実現が求められる。」</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行政サービスのデジタル化（オンライン申請・マイナンバー活用等）は全面的に推進すべきか。資料を踏まえ賛否を論じよ。</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【追加条件】「デジタル弱者」への配慮策を具体的に提案し、アナログ窓口の維持コストとのトレードオフを示すこと。</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【読み取りのヒント】80歳以上の利用率33.2%は「3人に1人しか使えない」ことを意味する。全面デジタル化を主張する場合は残りの2人への対策が不可欠。</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・80歳以上の利用率33.2%という数値の意味（3人に2人は使えない）を正確に解釈し、「全面デジタル化への障壁」として論の根拠にすること。</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・「デジタル弱者への配慮策を具体的に提案する」という追加条件を満たすこと。</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・「アナログ窓口の維持コストとのトレードオフを示す」という追加条件を満たすこと。</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・「全面推進」ではなく「段階的推進＋デジタル弱者への補完策」という条件付き賛成が論理的に整合する。</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・白書引用「誰もがデジタル化の恩恵を享受できる社会」という目標を「どうすれば実現できるか」という形で活用すること。</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全面デジタル化への賛否」という問いだが、80歳以上の利用率33.2%という数値が「全面推進の単純賛成を否定する根拠」として機能する。「条件付き賛成（デジタル弱者対策とセット）」が論理的に最も整合する立場。デジタル弱者への配慮策（追加条件）：①スマートフォン操作支援員の配置（高齢者向けデジタル補助員）、②電話・郵便での申請の維持（完全オンラインonly化しない）、③デジタル支援センターの整備（図書館・公民館での端末操作支援）。アナログ窓口とのトレードオフ（追加条件）：窓口の維持コスト（人件費・スペース）vs デジタル支援員・補助的インフラのコストの比較が必要。デジタル化による行政コスト削減効果（推計）から窓口維持コストを差し引いた「純効果」を示すと高水準の答案になる。</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・80歳以上利用率33.2%が示す「デジタルデバイドの深刻さ」と全面デジタル化への障壁</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・デジタル弱者（高齢者・障害者・低所得者・外国人）それぞれへの異なる対策の必要性</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・行政デジタル化のコスト削減効果とアナログ窓口維持コストのトレードオフ試算</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・「デジタル化の恩恵を全員に」という理想と現実のギャップを埋める制度設計</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補足データの数値（80歳以上33.2%）を起点に、「全面デジタル化には重大な前提条件がある」という立場を示す。本論1：デジタル化の便益（行政コスト削減・処理速度・住民利便性）を示しながら、「全面推進」の問題点（デジタル弱者の排除）を指摘。本論2：デジタル弱者への配慮策（スマホ支援員・電話申請維持・デジタル支援センター）とアナログ窓口とのトレードオフ試算。白書引用の活用。結論：「段階的推進＋デジタル弱者補完策をセットにした条件付き賛成」。</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数値の解釈：80歳以上のインターネット利用率33.2%は「3人に1人」ではなく「3人のうち2人は使えない」。介護保険申請・生活保護申請など高齢者が多く使う手続きで全面デジタル化すると、多くの人が使えない制度になる。</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デジタル化の便益：行政コスト削減・処理時間短縮・24時間申請可能・ペーパーレス化。住民の利便性向上（特に若年・中年層）。</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デジタル弱者への配慮策（追加条件）：①スマートフォン操作支援員を図書館・市民センターに配置。②電話・郵便による申請ルートを並存させる（デジタルが唯一の選択肢にしない）。③デジタル支援センターでの代行申請支援（スタッフが一緒に操作する）。</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トレードオフ試算（追加条件）：窓口の維持コスト（人件費：職員1人あたり年間約500〜700万円）を削減できる一方、デジタル支援員・支援センターのコストが発生する。試算として、窓口を1カ所閉鎖することで削減できるコスト（年間数百万円）と、支援員配置コスト（年間数百万円）がほぼ同等という見積もりになる可能性がある。このコスト比較を踏まえた優先順位が必要。</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条件付き結論：デジタル弱者への補完的手段（電話申請・支援員）を整備した上で段階的にデジタル化を推進することが、白書が示す「誰もが恩恵を享受できる社会」の実現に最も近い。</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補足データによれば、80歳以上のインターネット利用率は33.2%にとどまっており、3人のうち2人は現時点でデジタルサービスを利用できない状態にある。介護保険申請・医療機関の受診手続きなど、高齢者が特に多く利用する行政サービスで全面デジタル化を進めれば、これらの人々が行政サービスにアクセスできなくなるリスクがある。この現実を踏まえ、私は「デジタル弱者への補完策を条件に、段階的な推進を支持する」という立場をとる。</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行政デジタル化の便益は明確だ。申請処理時間の短縮・行政コストの削減・24時間申請可能という利便性は、特に若年・中年の現役世代にとって大きなメリットだ。総務省はデジタル化による行政コストの大幅削減を見込んでいる。</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しかし、白書が示す「誰もがデジタル化の恩恵を享受できる社会の実現」という目標に照らせば、デジタルを使えない人々を排除した形でのデジタル化は目標から外れる。デジタル弱者への配慮策として三点を提案する。第一に、スマートフォン操作支援員を図書館・市民センターに配置し、申請手続きを一緒に行う「デジタル同行サービス」を設ける。第二に、電話・郵便による申請ルートを廃止せず、デジタルが「唯一の選択肢」にならないよう制度を設計する。第三に、高齢者・障害者向けのデジタル支援センターを各自治体に整備し、代行申請支援を行う。</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アナログ窓口の維持コストとのトレードオフを整理する。窓口職員1人あたりの人件費は年間500〜700万円程度であり、窓口廃止によるコスト削減は大きい。一方、デジタル支援員の配置コストも同程度が必要になり、純粋なコスト削減効果は試算よりも小さくなる可能性がある。しかし、デジタル化による処理効率化（1件あたりの処理時間の短縮）の効果は職員コスト以外でも生じるため、長期的には削減効果が上回ると見込まれる。この不確実性を踏まえ、段階的な評価と調整が必要だ。</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デジタルを使える人だけが便益を受け、使えない人が取り残される「二層化」を防ぐために、補完策とセットにした段階的推進が最も白書の目標に合致した政策だと考える。</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80歳以上の3人に2人は使えない」という数値の正確な解釈を示し、全面デジタル化の問題点を具体的に提示している。条件付き賛成という立場を早期に明示しており、論の方向性が明確だ。デジタル弱者への配慮策（三点：支援員・電話申請維持・支援センター）という追加条件を具体的に満たしている。アナログ窓口とのトレードオフ試算（追加条件）については「人件費の概算比較＋純効果の不確実性」という形で示しており、コスト感覚を持った政策論になっている。白書引用は結論の近くで「誰もが恩恵を享受できる社会」という目標との対比として活用されている。</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・80歳以上の33.2%を「約3分の1が使える」と読み取り、「大多数が使えるから全面デジタル化でよい」という誤った解釈をしてしまう。</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・「デジタル弱者への配慮策」として「スマホの使い方を教える」という一般論にとどまり、具体的な制度・仕組みを提案できていない。</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・「アナログ窓口の維持コストとのトレードオフ」という追加条件を無視して、純粋なデジタル化推進論になっている。</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・「全面推進に賛成/反対」という二択で答えてしまい、「段階的推進＋補完策」という条件付き立場を示せていない。</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・80歳以上の33.2%を「3人のうち2人は使えない」という形で解釈し、全面デジタル化の問題点の根拠にする。</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・デジタル弱者への配慮策を「支援員配置・電話申請維持・支援センター整備」という三点で具体化する（追加条件充足）。</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・トレードオフ試算として「窓口職員人件費（500〜700万円/人）vs 支援員コスト（同程度）」という概算比較を示す（追加条件充足）。</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・白書引用「誰もが恩恵を享受できる社会」を「どうすれば達成できるか」という問いとして活用する。</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・〜は〜%にとどまっており、〜人のうち〜人は現時点で〜できない状態にある。</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・私は「〜への補完策を条件に、〜を支持する」という立場をとる。</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・〜への配慮策として三点を提案する。第一に〜、第二に〜、第三に〜。</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・〜のトレードオフを整理する。〜の削減コストは〜程度だが、〜のコストも〜必要になり、純粋な〜効果は試算よりも小さくなる可能性がある。</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・〜だけが便益を受け、〜が取り残される「二層化」を防ぐために、〜とセットにした〜が最も〜に合致した政策だ。</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・80歳以上の33.2%を「3人のうち2人が使えない」と正確に解釈し、論の根拠として使えていたか。</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・デジタル弱者への配慮策を具体的な制度・仕組みとして提案できていたか（追加条件）。</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・アナログ窓口の維持コストとのトレードオフを試算（概算）として示せていたか（追加条件）。</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287">
      <w:pPr>
        <w:pStyle w:val="Heading1"/>
        <w:rPr>
          <w:b w:val="1"/>
          <w:bCs w:val="1"/>
          <w:color w:val="1a3a6b"/>
          <w:sz w:val="28"/>
          <w:szCs w:val="28"/>
        </w:rPr>
      </w:pPr>
      <w:bookmarkStart w:colFirst="0" w:colLast="0" w:name="_f8dk1a9q5920" w:id="15"/>
      <w:bookmarkEnd w:id="15"/>
      <w:r w:rsidDel="00000000" w:rsidR="00000000" w:rsidRPr="00000000">
        <w:rPr>
          <w:rFonts w:ascii="Arial Unicode MS" w:cs="Arial Unicode MS" w:eastAsia="Arial Unicode MS" w:hAnsi="Arial Unicode MS"/>
          <w:b w:val="1"/>
          <w:bCs w:val="1"/>
          <w:color w:val="1a3a6b"/>
          <w:sz w:val="28"/>
          <w:szCs w:val="28"/>
          <w:rtl w:val="0"/>
        </w:rPr>
        <w:t xml:space="preserve">【問題 No.09】　画像資料型／問題解決</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【補足データ】日本の食品ロス発生量（万トン）</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2016年：643　2019年：570　2022年：472</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内訳（2022年）：事業系 279万トン / 家庭系 193万トン</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【引用】食品ロスの削減の推進に関する法律（食品ロス削減推進法）（2019）：「国民運動として食品ロスの削減を推進し、環境負荷の低減と食料資源の有効利用を図ることを目的とする。」</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資料が示す食品ロス削減の進捗と課題を分析し、2030年までの削減目標達成に向けた政策パッケージを提言せよ。</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【追加条件】「事業系」と「家庭系」それぞれに異なるアプローチが必要であることを示し、規制と誘導のバランスを論じること。</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【読み取りのヒント】削減量の推移から「削減ペース」を計算し、このペースが2030年目標（489万トン→半減の245万トン）に十分かどうかを検討すること。</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・readingHintsの指示通り「削減ペース」を計算すること。2016〜2022年の6年間で171万トン削減（年平均約28.5万トン）→このペースで2030年目標（245万トン）を達成できるか検討する。</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・「事業系」と「家庭系」それぞれに異なるアプローチが必要という追加条件を満たすこと。</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・「規制と誘導のバランスを論じる」という追加条件を満たすこと。</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・「事業系（279万トン）が家庭系（193万トン）より多い」という内訳から、どちらを優先すべきかの判断を示すこと。</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削減ペースの計算（readingHints）：2016年643万トン→2022年472万トン（171万トン削減、6年間）、年平均約28.5万トン削減。目標は「2030年までに半減」だが何を基準にするか——食品ロス削減推進法の目標は2000年代の水準から半減で約245万トン程度とされる。2022年の472万トンから245万トンへは227万トンの削減が必要。2023〜2030年の8年間で年平均28.3万トンの削減が必要——現在のペース（28.5万トン/年）とほぼ同等だが、削減が進むほど「簡単に削減できる余地」が減るため、ペースが鈍化する可能性がある。事業系vs家庭系の異なるアプローチ（追加条件）：事業系→規制（余剰食品の廃棄報告義務・流通期限の規制緩和）、家庭系→誘導（食育・冷蔵庫管理アプリ・フードシェアリングサービス）。</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・現在の削減ペース（年約28.5万トン）が2030年目標達成に十分かどうかの検証</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・事業系（279万トン）と家庭系（193万トン）の削減アプローチの違い</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・規制（義務的削減）と誘導（インセンティブ・教育）のバランス設計</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・食品ロス削減法という法的基盤の活用と強化の方向性</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補足データから削減ペースを計算し、2030年目標達成の可能性を評価する（ペースは十分だが鈍化リスクがある）。本論1：事業系への政策パッケージ（流通期限ルールの見直し・フードバンクへの食品寄付の義務化・廃棄量の報告制度）——規制寄りのアプローチ。本論2：家庭系への政策パッケージ（食育・フードシェアリングアプリの普及・消費期限理解の改善）——誘導寄りのアプローチ。規制と誘導のバランス（追加条件）。結論：条件付きで目標達成可能とする提言。</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削減ペースの計算：2016年（643万トン）→2022年（472万トン）：6年間で171万トン削減＝年平均28.5万トン。2030年目標（〜245万トン）まで残り227万トン（2022年比）。2023〜2030年の8年間で年28.3万トン削減が必要→現在のペースで数学的には達成可能。ただし削減が進むほどペース鈍化が予測される。</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事業系（279万トン）へのアプローチ：①食品の流通期限ルール（3分の1ルール）の見直し→製造から賞味期限までの期間の半分以上を小売に届ける現行ルールを緩和し、廃棄される食品を減らす。②フードバンクへの余剰食品寄付を一定規模以上の食品事業者に義務化。③廃棄量の定期報告制度の導入（透明性の確保）。</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家庭系（193万トン）へのアプローチ：①消費期限・賞味期限の違いについての教育（賞味期限=食べられる期限ではない）。②フードシェアリングアプリへの補助金（余剰食品のマッチング促進）。③学校・地域での食育プログラムの充実。</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と誘導のバランス（追加条件）：事業系：規制（義務化・報告制度）が有効——事業者は収益性から動くため、コストに罰則が加わる規制が効果的。家庭系：誘導（教育・インセンティブ）が適切——個人の行動は義務化になじまず、意識変化と便利なツールの普及が有効。</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補足データから削減の進捗と今後の見通しを計算する。食品ロスは2016年の643万トンから2022年の472万トンへ、6年間で171万トン削減されており、年平均約28.5万トンの削減ペースだ。2030年目標（国内消費の半分削減、約245万トン程度）まで残り227万トンの削減が必要であり、2023〜2030年の8年間で年平均28.3万トンの削減が必要になる——現在のペースと数学的にはほぼ同等だ。しかし、食品ロスの削減は「簡単に削減できる余地」から先に進むため、残りが少なくなるほどペースが鈍化する可能性がある。</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内訳から、事業系（279万トン）が家庭系（193万トン）より多く、効果の大きい削減策は事業系への対応だ。しかし、両者には異なるアプローチが必要だ。</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事業系への政策パッケージとして、規制主体のアプローチを提案する。第一に、食品流通の「3分の1ルール」の見直しだ。現行ルールでは製造から賞味期限までの期間の最初の3分の1以内に小売に届けなければならないが、この期間を緩和することで廃棄される余剰食品を減らせる。第二に、一定規模以上の食品事業者に余剰食品のフードバンクへの寄付を義務化し、廃棄量の定期報告制度を導入することで透明性を確保する。事業者は収益性から動くため、コスト・罰則を伴う規制が行動変容に有効だ。</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家庭系への政策パッケージとして、誘導主体のアプローチを提案する。家庭での食品廃棄は「賞味期限への過度な信頼」「買いすぎ・作りすぎ」という習慣から生じることが多い。学校・地域での食育プログラムで消費期限と賞味期限の違いを広め、フードシェアリングアプリへの補助金で余剰食品のマッチングを促進する。個人の行動は義務化になじまないため、意識変化と便利なツールの提供が有効だ。</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食品ロス削減推進法の「国民運動として推進する」という理念に照らせば、事業者への規制と家庭への誘導を組み合わせたパッケージが、持続可能な削減のために必要だ。削減ペースの鈍化リスクに備え、2026年時点での中間評価と施策の修正を組み込んだ適応的な政策管理を前提条件として提言する。</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削減ペースを「年平均28.5万トン→目標達成には年28.3万トンが必要」という計算で示しており、readingHintsの指示を正確に実行している。「数学的には達成可能だが鈍化リスクがある」という留保付きの評価が批判的思考を示している。事業系（規制）と家庭系（誘導）という異なるアプローチで追加条件を満たしており、各アプローチの理由（事業者は収益性で動く・個人は義務化になじまない）という論拠が示されている。規制と誘導のバランスについても両者を対比して論じており、追加条件を充足している。</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・「削減ペースを計算する」というreadingHintsの指示を無視し、「順調に削減が進んでいる」という感覚論で論じてしまう。</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・事業系と家庭系を区別せず、「食品ロス全般への対策」という一般論になっている。</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・「規制と誘導のバランス」という追加条件を満たさず、どちらか一方だけを提案している。</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・削減ペースの鈍化リスクという現実的な問題に触れず、「このペースを続ければ達成できる」という楽観論になっている。</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・年平均削減量（28.5万トン）と2030年目標達成に必要な年平均削減量（28.3万トン）を計算で示す（readingHintsの充足）。</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・事業系（規制主体）と家庭系（誘導主体）というアプローチの違いとその理由を示す（追加条件充足）。</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・3分の1ルールの見直し・フードバンク寄付義務化・廃棄量報告制度という具体的な事業系施策を示す。</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・「削減が進むほどペース鈍化が予測される」という限界を示し、中間評価の設定という適応的管理を提案する。</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・〜から〜の進捗と今後の見通しを計算する。〜は〜年で〜万トン削減されており、年平均約〜万トンの削減ペースだ。</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・〜の目標まで残り〜万トンの削減が必要であり、〜年間で年平均〜万トンの削減が必要になる——現在のペースと数学的にはほぼ同等だ。</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・〜が進むほど「〜できる余地」が減るため、ペースが鈍化する可能性がある。</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・〜は〜から動くため、コスト・罰則を伴う〜が行動変容に有効だ。</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・〜での中間評価と施策の修正を組み込んだ適応的な政策管理を前提条件として提言する。</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・削減ペースを計算し、2030年目標達成の可能性を数値で評価できていたか（readingHintsの充足）。</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・事業系と家庭系それぞれに異なるアプローチを示せていたか（追加条件）。</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・規制と誘導のバランスを、各アプローチの理由とともに論じられていたか（追加条件）。</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2CE">
      <w:pPr>
        <w:pStyle w:val="Heading1"/>
        <w:rPr>
          <w:b w:val="1"/>
          <w:bCs w:val="1"/>
          <w:color w:val="1a3a6b"/>
          <w:sz w:val="28"/>
          <w:szCs w:val="28"/>
        </w:rPr>
      </w:pPr>
      <w:bookmarkStart w:colFirst="0" w:colLast="0" w:name="_celdq0q8zghz" w:id="16"/>
      <w:bookmarkEnd w:id="16"/>
      <w:r w:rsidDel="00000000" w:rsidR="00000000" w:rsidRPr="00000000">
        <w:rPr>
          <w:rFonts w:ascii="Arial Unicode MS" w:cs="Arial Unicode MS" w:eastAsia="Arial Unicode MS" w:hAnsi="Arial Unicode MS"/>
          <w:b w:val="1"/>
          <w:bCs w:val="1"/>
          <w:color w:val="1a3a6b"/>
          <w:sz w:val="28"/>
          <w:szCs w:val="28"/>
          <w:rtl w:val="0"/>
        </w:rPr>
        <w:t xml:space="preserve">【問題 No.10】　画像資料型／複合評価</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【補足データ】日本の研究開発費と論文数の推移</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研究開発費（対GDP比）：2010年 3.25% → 2022年 3.59%（世界5位）</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被引用数上位10%論文数順位：2000年代 4位 → 2018〜2020年 12位</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Nature・Scienceへの掲載数：2012年比で2022年は約0.8倍</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【引用】科学技術・イノベーション白書（文部科学省）（2023）：「我が国の研究力の相対的低下が続いており、研究力強化は喫緊の課題である。論文の量・質ともに主要国に後れをとっている。」</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資料が示す「研究費は世界水準なのに論文の質が低下している」という逆説を分析し、日本の研究力再生策を提言せよ。</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【追加条件】「インプット（投資）とアウトプット（論文）のズレ」の構造的原因を3つ以上挙げ、それぞれへの対策を示すこと。</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【読み取りのヒント】研究開発費にはどの費用が含まれるか（企業R&amp;Dが大部分）に注意。論文数と「引用される論文」数の違いも整理すること。</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・readingHintsの指示通り「研究開発費の内訳（企業R&amp;Dが大部分）」に触れること。これが「インプットが多いのにアウトプットが少ない」という逆説の説明の一つになる。</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・「インプット・アウトプットのズレの構造的原因を3つ以上挙げ、それぞれへの対策を示す」という追加条件を完全に満たすこと。</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・「論文数」と「被引用数上位10%論文数」の違いを区別すること——量と質の違いは重要。</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・Nature・Science掲載数が2012年比0.8倍（減少）という点は「質的低下」を示す重要な数値として使うこと。</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研究費は世界水準なのに論文の質が低下」という逆説の構造的原因（追加条件）：①研究開発費の大部分が企業R&amp;D（製品開発・応用研究）であり、基礎研究・論文生産に直結しない。②大学教員の研究時間の減少（教育・管理業務の増大）——論文を書く時間がない。③短期的成果重視の研究評価・競争的資金（3〜5年サイクルのプロジェクト型）が長期の基礎研究を阻害。④ポスドク・若手研究者の不安定な雇用状況（テニュアトラック制度の未発達）——優秀な人材が研究を離れる。各原因への対策を示すことが追加条件。</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・研究開発費の「企業R&amp;D」と「大学・公的研究機関の基礎研究費」の内訳の問題</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・「論文数」vs「被引用数上位10%論文数」という量vs質の区別</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・大学教員の研究時間の減少（教育・事務負担の増大）という構造的問題</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・競争的資金の短期化による基礎研究への悪影響</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補足データの数値（研究費世界5位・被引用上位10%論文が4位→12位）を引用し、「インプット（費用）とアウトプット（質）のズレ」という逆説を提示する。研究開発費の内訳問題にも触れる。本論1：構造的原因の3点分析（企業R&amp;D優位・大学教員の研究時間減少・短期競争的資金の悪影響）と各原因への対策。本論2：（原因3つ目以降・追加の対策）——ポスドク・若手研究者の雇用安定化。結論：「研究者が本来の研究に専念できる環境の再設計」という方針。</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数値の整理：研究開発費対GDP比3.59%は世界5位の水準。しかし被引用数上位10%論文順位が2000年代4位→2018〜2020年12位へと低下。Nature・Science掲載数も2012年比で0.8倍（減少）。量的投資は維持されているが質的アウトプットが低下するという逆説。</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研究開発費の内訳問題（readingHints）：日本の研究開発費の約70%は企業（製造業・電機・自動車等）のR&amp;Dが占める。大学・公的研究機関の基礎研究費は全体の約20%程度。論文（特に被引用数の高い基礎研究論文）は主に大学・研究機関から生まれるため、費用規模と論文アウトプットの不一致が生じる。</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構造的原因①（企業R&amp;D優位）：企業R&amp;Dは製品開発・実用化に向いており、論文生産に直結しない。対策：大学・公的研究機関への基礎研究費の配分拡大。</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構造的原因②（大学教員の研究時間減少）：大学教員1人あたりの授業コマ数・事務業務・学生対応が増加し、研究時間が圧迫されている。対策：ティーチングアシスタント・事務支援スタッフの増員、研究重点教員制度の拡充。</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構造的原因③（短期競争的資金の増大）：5年以下のプロジェクト型競争的資金が研究費の主体となり、長期の基礎研究（10〜20年かかる研究）が進めにくい。対策：基盤的研究費（個人研究費）の増額、長期基礎研究への安定的な資金配分。</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構造的原因④（若手研究者の不安定雇用）：ポスドクが30代後半まで不安定な雇用状況に置かれ、優秀な人材が産業界へ流出する。対策：テニュアトラック制度の拡充・ポスドク後の正規雇用ポストの確保。</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補足データによれば、日本の研究開発費（対GDP比3.59%）は世界5位の水準にある。しかし、被引用数上位10%論文数の国際順位は2000年代の4位から2018〜2020年の12位へと8ランク低下し、Nature・Scienceへの掲載数も2012年比で0.8倍と減少している。白書もこの「研究力の相対的低下」を喫緊の課題として指摘している。</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の「インプット（研究費）は世界水準なのにアウトプット（論文の質）が低下する」という逆説の第一の原因は、研究開発費の大部分が企業のR&amp;Dであることだ。日本の研究開発費の約70%は製造業を中心とした企業の開発費が占めており、これは製品化・実用化に向いている。被引用数の高い基礎研究論文は主に大学・公的研究機関から生まれるが、その基礎研究費は全体の約20%程度にすぎない。費用規模と論文生産力のミスマッチがここにある。対策として、大学・公的研究機関への基礎研究費の配分比率を高めることが必要だ。</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二の原因は、大学教員の研究時間の減少だ。授業コマ数・委員会業務・事務作業・入試業務の増大により、教員が論文執筆に充てる時間が圧迫されている。研究に集中できる時間がなければ、質の高い論文は生まれない。対策として、ティーチングアシスタントの拡充と研究重点教員制度の整備により、研究に専念できる環境を作る。</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三の原因は、短期競争的資金の過剰な比重だ。5年以下のプロジェクト型競争的資金が研究費の主体になることで、成果が出やすい短期研究に誘導され、10〜20年かかる長期の基礎研究が進めにくい構造になっている。対策として、個人研究者が自由に使える基盤的研究費を増額し、長期基礎研究への安定資金を確保する。</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四の原因として、若手研究者（ポスドク）の不安定な雇用がある。30代後半まで不安定なポストに置かれた優秀な人材が産業界へ流出する「研究者の離脱」が、日本の研究力低下を加速させている。テニュアトラック制度の本格的な導入と、ポスドク後の正規雇用ポストの確保が急務だ。</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研究開発費という「インプットの量」は世界水準を維持しながら、その配分の在り方（基礎研究への比率向上）と、研究者が研究に専念できる環境（時間・安定雇用・長期資金）を再設計することが、日本の研究力再生の根本的な条件だと考える。</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研究費世界5位・論文質が4位→12位」という具体的な数値で逆説を提示し、白書引用を問題の深刻さの裏付けとして使っている。研究開発費の内訳問題（企業R&amp;Dが70%）という「readingHintsへの応答」が逆説の説明の核心になっており、超上級らしい深い分析になっている。構造的原因を4点（企業R&amp;D優位・研究時間減少・短期資金・若手雇用不安定）で分析し、各原因への対策を示しており、追加条件（3つ以上）を完全に満たしている。結論は「配分の在り方と研究環境の再設計」という方針として整合している。</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・研究開発費の内訳（企業R&amp;Dが大部分）に触れず、「研究費を増やせばよい」という論になっている（readingHints無視）。</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・「論文数」と「被引用数上位10%論文数」の違いを区別せず、どちらも「論文の量」として扱っている。</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・「構造的原因を3つ以上」という追加条件を満たさず、1〜2点しか挙げていない。</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・各原因への対策が「研究環境を改善する」という一般論にとどまり、具体的な制度・政策を示せていない。</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・「研究開発費の70%が企業R&amp;D→基礎研究論文への貢献が限定的」という内訳分析が逆説の説明の核心になる（readingHints充足）。</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・被引用数上位10%論文（「引用される論文」）とNature・Science掲載数（「質の高い論文」）という二つの「質の指標」を使い分ける。</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・原因①（企業R&amp;D優位）・②（研究時間減少）・③（短期競争的資金）・④（若手不安定雇用）という4点で構造的原因を示す（追加条件充足）。</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・各原因への対策を「基礎研究費配分拡大・TA拡充・基盤的研究費増額・テニュアトラック拡充」という制度的提言として示す。</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・〜は世界〜位の水準にある。しかし〜順位は〜から〜へと〜ランク低下し、〜も〜比で〜と〜している。</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・この「インプット（〜）とアウトプット（〜）のズレ」の第一の原因は〜だ。</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・費用規模と〜のミスマッチがここにある。対策として、〜が必要だ。</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・〜という「〜者の離脱」が、〜の低下を加速させている。</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・〜という「インプットの量」は〜を維持しながら、〜（配分）と〜（環境）を再設計することが〜の根本的な条件だ。</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・研究開発費の内訳（企業R&amp;Dが大部分）に触れ、逆説の説明に使えていたか（readingHints充足）。</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・「インプット・アウトプットのズレの構造的原因を3つ以上」挙げ、各原因への対策を示せていたか（追加条件）。</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・「論文数」と「被引用数上位10%論文数」という量と質の違いを区別して使えていたか。</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319">
      <w:pPr>
        <w:pStyle w:val="Heading1"/>
        <w:rPr>
          <w:b w:val="1"/>
          <w:bCs w:val="1"/>
          <w:color w:val="1a3a6b"/>
          <w:sz w:val="28"/>
          <w:szCs w:val="28"/>
        </w:rPr>
      </w:pPr>
      <w:bookmarkStart w:colFirst="0" w:colLast="0" w:name="_3jwhqa1tmluc" w:id="17"/>
      <w:bookmarkEnd w:id="17"/>
      <w:r w:rsidDel="00000000" w:rsidR="00000000" w:rsidRPr="00000000">
        <w:rPr>
          <w:rFonts w:ascii="Arial Unicode MS" w:cs="Arial Unicode MS" w:eastAsia="Arial Unicode MS" w:hAnsi="Arial Unicode MS"/>
          <w:b w:val="1"/>
          <w:bCs w:val="1"/>
          <w:color w:val="1a3a6b"/>
          <w:sz w:val="28"/>
          <w:szCs w:val="28"/>
          <w:rtl w:val="0"/>
        </w:rPr>
        <w:t xml:space="preserve">【問題 No.11】　引用型／要約＋統合</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【参考データ】非正規雇用比率の推移</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2000年：26.0%　2010年：34.4%　2022年：36.9%</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非正規雇用者の平均年収：約200万円（正規：約500万円）</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【引用】朝日新聞（2023年8月15日）：「非正規労働者の「同一労働同一賃金」実現には、職務内容の明確化が前提となるが、日本型雇用慣行との摩擦が指摘されている。」</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【引用】令和4年版 労働経済白書（厚生労働省）（2022）：「非正規雇用労働者の処遇改善は重要な政策課題であり、正規・非正規間の不合理な待遇差の解消が求められる。」</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2つの引用と参考データを踏まえ、非正規雇用問題の構造的原因を分析し、「同一労働同一賃金」の実現可能性について条件付きで論じよ。</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【追加条件】2つの引用の立場の違い（報道と行政）を明示し、それぞれの「見えていない部分」を指摘すること。引用の出典と信頼性についても1文コメントすること。</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【読み取りのヒント】新聞記事は「問題提起」、白書は「政策の方向性」を示す傾向がある。両者をそのまま使うのではなく、「何を言っていないか」も考察すること。</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・「2つの引用の立場の違い（報道と行政）を明示する」という追加条件を必ず満たすこと。</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・各引用の「見えていない部分（言っていないこと）」を指摘すること（追加条件）。報道は政策手段・財源を言わず、白書は実現の困難さを言わない。</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・引用の出典と信頼性に1文コメントすること（追加条件）——報道と行政文書の性格の違い。</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・参考データから「非正規雇用比率36.9%・平均年収の正規比較（500万vs200万円）」という格差の規模を論の根拠にすること。</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・「同一労働同一賃金の実現可能性を条件付きで論じる」という設問要求——条件（職務内容の明確化・日本型雇用慣行の変革）を明示すること。</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引用型の核心は「2つの引用の立場の違いと見えていない部分の指摘」。報道（朝日新聞）の立場：問題提起・摩擦の指摘・実現の難しさを強調。見えていない部分：具体的な解決策・財源・政策の時間軸。行政文書（労働経済白書）の立場：政策の方向性・「不合理な待遇差の解消」という理念。見えていない部分：実現の困難さ・既得権益（大企業正規雇用者）との利害対立・コスト負担。信頼性の違い（追加条件）：白書は政府の公式文書で「政策の方向性」として信頼性が高いが、「現状の厳しい課題」を率直に述べない傾向がある。報道は問題の実態を伝えるが、情報源・分析の客観性に幅がある。同一労働同一賃金の実現条件：①職務記述書（ジョブ型雇用）への転換、②均等・均衡待遇の法的義務化の強化、③中小企業への財源支援。</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・非正規雇用問題の構造的原因（企業が非正規を選ぶ理由・労働市場の二重構造）</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・「同一労働同一賃金」の実現に必要な条件（職務内容の明確化・法的義務化）と障壁（日本型雇用慣行）</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・2つの引用の立場の違い（報道vs行政）と各々の「見えていない部分」</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・引用の信頼性の評価（報道と政府白書の性格の違い）</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参考データ（非正規比率36.9%・年収格差）と2引用を統合して問題の構造を示す。引用の立場の違いと信頼性への1文コメントを入れる。本論1：非正規雇用問題の構造的原因（企業のコスト削減動機・日本型雇用慣行・産業構造の変化）。本論2：同一労働同一賃金の実現可能性——条件（職務明確化・法的義務化）と障壁（大企業正規雇用者の既得権益・中小企業の負担増）。2引用の「見えていない部分」の指摘（追加条件）。結論：条件付きの実現可能性の評価。</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引用の立場の違い（追加条件）：朝日新聞（報道）：問題提起・摩擦の実態を伝える。白書（行政文書）：政策の方向性・理念を示す。前者は「なぜ難しいか」を示し、後者は「何を目指すか」を示す。両者は「どうすれば実現できるか」という具体的な方法論については沈黙している。</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見えていない部分（追加条件）：報道が見えていないこと：具体的な政策手段・財源・移行期間。白書が見えていないこと：大企業正規雇用者の既得権益との利害対立・中小企業の負担増・実現の困難さ。</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信頼性の1文コメント（追加条件）：白書は政府の公式方針として信頼性が高いが、「達成の困難さ」を率直に述べない傾向がある。報道は問題の実態を伝えるが、分析の客観性や情報源の幅に限界がある。</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構造的原因：①企業の非正規選好（コスト削減・雇用調整の容易さ）。②日本型雇用慣行（メンバーシップ型で職務が曖昧、同一労働を定義しにくい）。③労働市場の規制緩和（1990年代以降の派遣・パート規制緩和が非正規拡大を促進）。</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実現の条件：①職務記述書の整備（ジョブ型雇用への段階的移行）。②均等・均衡待遇の法的義務化の強化と違反への罰則。③中小企業への財源支援（補助金・コンサルティング支援）。</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参考データによれば、非正規雇用比率は2000年の26.0%から2022年の36.9%へと10年で10ポイント以上上昇しており、非正規労働者の平均年収（約200万円）は正規雇用者（約500万円）の40%にとどまっている。この規模の格差が36.9%の就業者に及んでいることは、単に「個人の問題」ではなく、労働市場の構造的な問題として対処が必要だ。</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2つの引用を比較すると、立場の違いが明確だ。朝日新聞（報道）は「同一労働同一賃金の実現には職務内容の明確化が前提となるが、日本型雇用慣行との摩擦がある」と問題の難しさを伝えている。一方、労働経済白書（行政文書）は「不合理な待遇差の解消が求められる」と政策の方向性・理念を示している。報道は「なぜ難しいか」を示し、白書は「何を目指すか」を示しているが、両者とも「どうすれば実現できるか」という具体的な方法論には沈黙している。信頼性の観点では、白書は政府の公式方針として政策の方向性の根拠として使えるが、「達成の困難さ」を率直に述べない傾向がある。報道は問題の実態を伝えるが、情報源の客観性に幅がある。</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非正規雇用問題の構造的原因は三点に整理できる。第一に、企業が非正規を選ぶインセンティブの存在だ。非正規は正規より採用コストが低く、景気変動に応じて雇用調整しやすい。第二に、日本型雇用慣行の問題だ。メンバーシップ型雇用では職務内容が曖昧であり、「同一労働」を定義すること自体が難しい。朝日新聞の引用はこの点を的確に指摘している。第三に、1990年代以降の労働市場規制緩和が非正規雇用の拡大を制度的に許容してきた歴史的経緯がある。</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同一労働同一賃金の実現可能性について、条件付きで論じる。実現には、①職務記述書（ジョブ・ディスクリプション）の整備によるジョブ型雇用への段階的移行、②均等・均衡待遇の法的義務化の強化と違反への実効的な罰則、③中小企業への財源支援（補助金・専門家支援）が条件となる。これらの条件が整えば、同一労働同一賃金は実現に向かうことができる。しかし、大企業の正規雇用者の既得権益（相対的に高い賃金・処遇）との利害対立と、財源確保という問題が依然として障壁となる。</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以上から、同一労働同一賃金は「職務の明確化とジョブ型雇用への移行を前提条件とした段階的実現」という形でのみ現実的に機能し、その過程には相当の時間と政治的合意が必要だ。</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参考データの数値（非正規比率36.9%・年収格差）を具体的に引用し、問題の規模を示している。2引用の立場の違い（報道vs行政）と「見えていない部分」（方法論への沈黙）を明示しており、追加条件を高精度で満たしている。信頼性への1文コメントも「白書は政策方向性の根拠として使えるが困難さを述べない」「報道は情報源の客観性に幅がある」という形で自然に組み込まれている。構造的原因3点（企業インセンティブ・メンバーシップ型雇用・規制緩和の歴史）と実現条件（職務明確化・義務化強化・中小企業支援）が論理的に対応している。</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・「2つの引用の立場の違いを明示する」という追加条件を満たさず、両引用を同じ方向性のものとして使ってしまう。</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・各引用の「見えていない部分」を指摘せず、引用をそのまま論の根拠として使うだけになっている。</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・「引用の信頼性に1文コメントする」という追加条件を忘れる。</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・「同一労働同一賃金の実現可能性を条件付きで論じる」という設問要求に応えず、「実現できる/できない」という断定になっている。</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・2引用の立場の違いを「報道：問題の難しさを示す・行政：政策の方向性を示す」という形で明示的に区別する（追加条件）。</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・「見えていない部分」として「報道：具体的な政策手段への沈黙」「白書：実現の困難さへの沈黙」を指摘する（追加条件）。</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・信頼性への1文コメントとして「白書は政策方向の根拠として使えるが困難さを述べない傾向」「報道は情報源の客観性に幅がある」を加える（追加条件）。</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・実現条件（職務明確化・義務化・中小企業支援）を「条件が整えば実現に向かうが、障壁（既得権益・財源）が残る」という形で条件付きにする。</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・2つの引用を比較すると、立場の違いが明確だ。〜（報道）は〜を伝えている。一方、〜（行政文書）は〜を示している。</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・両者とも「〜」という具体的な方法論には沈黙している。</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・信頼性の観点では、〜は〜として〜できるが、「〜」を率直に述べない傾向がある。</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・〜の実現可能性について、条件付きで論じる。実現には、①〜、②〜、③〜が条件となる。</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・〜は「〜を前提条件とした段階的実現」という形でのみ現実的に機能する。</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・2つの引用の立場の違い（報道vs行政）を明示し、それぞれの「見えていない部分」を指摘できていたか（追加条件）。</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・引用の信頼性に1文コメントできていたか（追加条件）。</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・同一労働同一賃金の実現可能性を「条件付き」で論じられていたか（設問条件）。</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363">
      <w:pPr>
        <w:pStyle w:val="Heading1"/>
        <w:rPr>
          <w:b w:val="1"/>
          <w:bCs w:val="1"/>
          <w:color w:val="1a3a6b"/>
          <w:sz w:val="28"/>
          <w:szCs w:val="28"/>
        </w:rPr>
      </w:pPr>
      <w:bookmarkStart w:colFirst="0" w:colLast="0" w:name="_q6ofgejv2xv2" w:id="18"/>
      <w:bookmarkEnd w:id="18"/>
      <w:r w:rsidDel="00000000" w:rsidR="00000000" w:rsidRPr="00000000">
        <w:rPr>
          <w:rFonts w:ascii="Arial Unicode MS" w:cs="Arial Unicode MS" w:eastAsia="Arial Unicode MS" w:hAnsi="Arial Unicode MS"/>
          <w:b w:val="1"/>
          <w:bCs w:val="1"/>
          <w:color w:val="1a3a6b"/>
          <w:sz w:val="28"/>
          <w:szCs w:val="28"/>
          <w:rtl w:val="0"/>
        </w:rPr>
        <w:t xml:space="preserve">【問題 No.12】　引用型／意見対立</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【引用】日本経済新聞（2024年1月22日）：「ChatGPTなどの生成AIは、知識労働の生産性を飛躍的に向上させる可能性がある一方、著作権侵害や誤情報拡散のリスクも孕んでいる。」</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【引用】AI戦略2022（内閣府）（2022）：「AIの研究開発・社会実装を積極的に推進するとともに、倫理的・法的・社会的課題（ELSI）への対応を両立させることが重要である。」</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【引用】UNESCO Recommendation on the Ethics of AI（2021）：「AI systems should be designed to protect and promote human rights, democratic values, diversity, and the functioning of democratic societies.」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3つの引用（日本語2本・英語1本）を統合し、生成AIに関する規制と活用のバランスについて日本が採るべき政策を提言せよ。</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【追加条件】英語引用は自分で要約して使用すること。3つの出典の「立場の違い」（メディア・国内行政・国際機関）を明示し、それぞれの信頼性と限界を論じること。</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【読み取りのヒント】日経は経済効果を強調、内閣府は国内政策、UNESCOは国際規範。三者の「優先する価値観」の違いを整理してから論じること。</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・英語引用（UNESCO）を日本語に要約して使用すること（追加条件）。直訳・英語のまま使用は不可。</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・3つの出典の立場の違い（メディア・国内行政・国際機関）を明示すること（追加条件）。</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・各出典の信頼性と限界を論じること（追加条件）——メディアは経済効果を誇張しがち、行政は実施可能性を優先、国際機関は普遍的価値を掲げるが拘束力がない。</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・3引用の「優先する価値観の違い（経済効率・実施可能性・人権・民主主義）」を整理してから提言すること（readingHints）。</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引用の統合問題。各引用の立場・価値観・限界の分析が核心。日経（メディア）：生産性向上という経済的便益を強調、リスクも挙げるが経済効果優先の視点。信頼性：現象の報告としては信頼できるが、政策提言の根拠としては中立性に限界。内閣府AI戦略（国内行政）：「積極推進+ELSI対応の両立」という日本政府の方針。信頼性：公式政策文書として政策方向の根拠になるが、経済・安全保障への考慮が人権・民主主義より優先される傾向。UNESCO（国際機関）：人権・民主主義・多様性という普遍的価値。信頼性：国際的な価値規範として権威があるが、拘束力がなく各国の実施に委ねられる。英語要約：「AIシステムは人権・民主主義的価値・多様性・民主的社会の機能を守り促進するよう設計されるべきだ」。3引用の統合：経済効率（日経）×実施可能性（内閣府）×人権・民主主義（UNESCO）という三価値を同時に考慮した日本のAI政策を提言する。</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・3つの引用の立場・価値観・信頼性・限界の分析</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・英語引用（UNESCO）の適切な日本語要約と活用</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・EUのAI規制的アプローチと日本の推進・ELSIバランスアプローチの比較</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・生成AIの規制と活用のバランス——どちらかではなく「どのような条件で・どの範囲を」という設計</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3引用の立場・価値観の違いを整理し、提言の方向性を示す。英語引用の要約を組み込む。信頼性への言及。本論1：生成AIの便益（日経の論点）とリスク（著作権・誤情報・人権への影響）を整理。本論2：日本が採るべき政策——内閣府の「推進+ELSI」の方向を基本に、UNESCOの人権・民主主義の枠組みを上位原則として位置づける。3引用の統合による提言。結論：規制と活用のバランスの条件付き提言。</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英語引用の要約：UNESCOの勧告は「AIシステムは人権・民主主義的価値・多様性・民主的社会の機能を守り促進するよう設計されるべきだ」と主張している。</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引用の立場・価値観の整理：日経（メディア）：経済的便益（生産性向上）を主軸に、リスクを付随的に言及。内閣府（国内行政）：技術推進と倫理課題（ELSI）の両立という実施可能性重視の姿勢。UNESCO（国際機関）：人権・民主主義という普遍的価値を最優先とする規範的立場。</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各引用の信頼性と限界：日経：現象報告として参考になるが、政策根拠としては利害関係のある報道の限界がある。内閣府：政策方向の公式根拠として使えるが、経済・安全保障を人権より優先する傾向がある。UNESCO：国際規範として権威があるが、法的拘束力がなく実施は各国に委ねられる。</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日本の政策提言：①生成AIの活用推進（内閣府AI戦略の方向性を維持）。②著作権法の明確化（学習データの利用条件を透明化）。③誤情報・フェイクニュース対策（プラットフォームへの開示義務・ファクトチェック支援）。④高リスクAI（採用・医療・司法判断を支援するAI）への事前審査制度の導入（UNESCOのEU AI Actに類似したアプローチの選択的採用）。</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条件付き結論：日本は「推進+ELSI対応」という内閣府の方向を基本に、UNESCOの人権・民主主義の枠組みを上位原則として位置づけ、高リスク用途への規制を段階的に導入するアプローチが現時点で最も合理的だ。</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3つの引用の立場と価値観を整理してから論を展開する。日本経済新聞（報道）は生成AIの生産性向上という経済的便益を主軸に、著作権侵害・誤情報というリスクを付随的に挙げる経済優先の視点に立つ。内閣府AI戦略（国内行政）は技術の積極推進と倫理的・法的・社会的課題（ELSI）への対応の両立を掲げており、実施可能性重視の姿勢だ。UNESCO（国際機関）の勧告は「AIシステムは人権・民主主義的価値・多様性・民主的社会の機能を守り促進するよう設計されるべきだ」という普遍的な価値規範を提示している。三者はそれぞれ「経済効率・実施可能性・人権保護」という異なる価値を優先している。</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各引用の信頼性と限界についても述べる。報道は現象の把握として参考になるが、経済効果を誇張する傾向がある点で政策根拠としての限界がある。内閣府文書は政策方向の公式根拠として使えるが、経済・安全保障上の目標が人権より優先される傾向がある。UNESCOの勧告は国際規範として権威があるが、法的拘束力がなく実施は各国に委ねられる。</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生成AIの便益（知識労働の効率化・創造性の補助・教育・医療への活用）は日経の論点を踏まえると明確だ。一方、著作権侵害（学習データの無断使用）・誤情報の大規模拡散・採用・審査場面での差別的バイアスという問題は、UNESCOが指摘する人権・民主主義への脅威となりうる。</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れらを統合した上で、日本が採るべき政策を提言する。基本的な方向性は内閣府AI戦略の「推進+ELSI対応」を維持しながら、UNESCOの人権・民主主義の枠組みを上位原則として位置づける。具体的には、①著作権法の整備による学習データ利用条件の明確化、②誤情報対策としてのプラットフォームへの開示義務化、③採用・医療・司法判断支援などの高リスク用途のAIに対する事前適合性審査制度の段階的導入（EU AI Actに準じたアプローチの選択的採用）が現実的な政策パッケージとなる。</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規制と活用の一律な二択ではなく、用途のリスクレベルに応じた段階的な規制設計——低リスク用途は推進、高リスク用途には事前審査を義務化——が、3つの引用の統合から導かれる最も合理的な日本の政策方向だと考える。</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3引用の立場・価値観の違いを「経済効率・実施可能性・人権保護」という形で整理しており、readingHintsへの応答として機能している。英語引用（UNESCO）を「AIシステムは人権・民主主義的価値…」という日本語要約として組み込んでおり、追加条件を満たしている。各引用の信頼性と限界を「報道の経済効果誇張・行政の人権より経済優先・国際機関の拘束力欠如」という形で具体的に示しており、追加条件を高精度で満たしている。政策提言はEU AI Actへの言及を含む具体的な三点として示されており、3引用の統合から論理的に導出されている。</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・英語引用を日本語要約せず、英語のまま使用する（追加条件違反）。</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・3つの出典の立場の違いを明示せず、引用をすべて同じ方向性のものとして使ってしまう。</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・各引用の信頼性と限界に触れず、「信頼できる出典だから正しい」という前提で使う。</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・「規制か活用か」という二択として論じ、「用途のリスクレベルに応じた段階的設計」という条件付き提言に至らない。</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・UNESCO英語引用を「AIシステムは人権・民主主義的価値・多様性・民主的社会の機能を守り促進するよう設計されるべきだ」という日本語要約として組み込む（追加条件）。</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・3引用の「優先する価値観の違い（経済効率・実施可能性・人権）」を整理することがreadingHintsの実行になる。</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・信頼性と限界として「報道の誇張傾向・行政の政策バイアス・国際機関の拘束力欠如」を示す（追加条件）。</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・「高リスク用途には事前審査、低リスク用途は推進」という用途別のリスクベースアプローチが論理的な政策提言になる。</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・3つの引用の立場と価値観を整理してから論を展開する。〜（報道）は〜、〜（国内行政）は〜、〜（国際機関）は〜。三者はそれぞれ「〜・〜・〜」という異なる価値を優先している。</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・各引用の信頼性と限界についても述べる。〜は〜として参考になるが、〜という点で政策根拠としての限界がある。</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・〜という一律な二択ではなく、用途の〜に応じた段階的な規制設計——〜は推進、〜には〜を義務化——が〜から導かれる最も合理的な〜だ。</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・英語引用を日本語で要約して使用できていたか（追加条件）。</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・3つの出典の立場の違いと各引用の信頼性・限界を論じられていたか（追加条件）。</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・政策提言が「規制か活用か」の二択ではなく用途別の段階的設計になっていたか。</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3A8">
      <w:pPr>
        <w:pStyle w:val="Heading1"/>
        <w:rPr>
          <w:b w:val="1"/>
          <w:bCs w:val="1"/>
          <w:color w:val="1a3a6b"/>
          <w:sz w:val="28"/>
          <w:szCs w:val="28"/>
        </w:rPr>
      </w:pPr>
      <w:bookmarkStart w:colFirst="0" w:colLast="0" w:name="_lh6sc7uwzua4" w:id="19"/>
      <w:bookmarkEnd w:id="19"/>
      <w:r w:rsidDel="00000000" w:rsidR="00000000" w:rsidRPr="00000000">
        <w:rPr>
          <w:rFonts w:ascii="Arial Unicode MS" w:cs="Arial Unicode MS" w:eastAsia="Arial Unicode MS" w:hAnsi="Arial Unicode MS"/>
          <w:b w:val="1"/>
          <w:bCs w:val="1"/>
          <w:color w:val="1a3a6b"/>
          <w:sz w:val="28"/>
          <w:szCs w:val="28"/>
          <w:rtl w:val="0"/>
        </w:rPr>
        <w:t xml:space="preserve">【問題 No.13】　引用型／問題解決</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【参考データ】日本の水道インフラ老朽化状況（2022年）</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管路の法定耐用年数（40年）超過率：20.6%</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水道料金の値上げ予定自治体：今後5年で全体の約40%</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【引用】読売新聞（2023年10月3日）：「水道管の老朽化が深刻で、全国で年間約2万件の漏水・破損事故が発生している。人口減少による料金収入の減少が、更新投資を困難にしている。」</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【引用】水道法改正（広域連携・民間活用）（2018年改正）：「水道事業の基盤強化のため、広域連携の推進、適切な資産管理の推進、官民連携の推進を柱とする改正が行われた。」</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引用と参考データを踏まえ、水道インフラの持続可能な維持管理に向けた政策を提言せよ。</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【追加条件】「公営維持」「広域連携」「民間委託（コンセッション）」の3案を比較し、それぞれの実現可能性とリスクを評価すること。コスト試算の根拠も示すこと。</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【読み取りのヒント】料金値上げは「値上げ幅」だけでなく「誰がどう影響を受けるか」の分配問題でもある。法改正の「民間活用」が何を意味するかを正確に理解すること。</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・「公営維持・広域連携・民間委託（コンセッション）」の3案を比較し、実現可能性とリスクを評価すること（追加条件）。</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・コスト試算の根拠を示すこと（追加条件）——概算レベルでよいが、数字の根拠を示す。</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・法改正（2018年）の「民間活用・広域連携」という方向性を踏まえた上で独自の提言を行うこと。</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・料金値上げの分配問題（readingHints）——「誰が影響を受けるか」という公平性の問題に触れること。</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・参考データ「管路老朽化20.6%・料金値上げ予定自治体40%」という数値を論の起点にすること。</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案の比較（追加条件）：案A（公営維持）：地域住民の監視が届きやすく、公共財としての性格を守れる。しかし老朽化更新の財源確保が困難、人材不足が深刻。案B（広域連携）：複数自治体が統合・共同管理することでスケールメリット（管理コスト削減・技術人材の共有）が生まれる。2018年法改正が推進する方向。しかし自治体間の合意形成に時間がかかり、地域の独自性が失われる可能性。案C（民間委託・コンセッション）：民間の経営効率・技術・資本を活用できる。しかし水道という生活インフラの「公共財」性格から、利益追求が水質・安全・供給義務と対立するリスク。フランス・パリの再公営化事例（民間委託後に料金高騰・品質問題で再度公営化）という国際事例を知っていると論が深まる。コスト試算（追加条件）：全管路更新コスト概算——全国の水道管路総延長約68万km×1km当たり更新費用（材質によるが数千万〜数億円程度）。年間更新コストは数兆円規模が見込まれる。</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・3案（公営維持・広域連携・民間委託）の実現可能性とリスクの比較評価</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・人口減少による料金収入の減少→更新投資困難という財政的悪循環の構造</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・水道料金値上げの分配問題（低所得者・地方住民への影響）</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・民間委託（コンセッション）のリスク（生活インフラとしての公共財性格との矛盾）</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参考データ（老朽化20.6%・値上げ予定40%）と報道引用を起点に問題の規模を示す。法改正の方向性（広域連携・民間活用）にも触れる。本論1：3案の比較（実現可能性とリスク）——公営維持・広域連携・民間委託の対比。コスト試算の概算も提示。本論2：料金値上げの分配問題（公平性）に触れながら、優先案（広域連携+公営維持の組み合わせ）の根拠を示す。結論：条件付きの政策提言。</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数値の起点：管路老朽化超過率20.6%は全国の水道管路の5本に1本が更新時期を超えていることを意味する。年間2万件の漏水・破損（報道引用）という実害につながっている。今後5年で40%の自治体が料金を値上げする見込みは、財政的持続可能性の限界を示す。</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案の比較：公営維持：透明性・公共財性格の維持。課題：財源・技術人材の確保。広域連携：スケールメリット・技術人材共有・コスト削減。課題：自治体間合意形成の時間・地域独自性の喪失リスク。民間委託（コンセッション）：経営効率化・民間資本の活用。課題：生活インフラとして料金高騰・品質低下・再公営化（仏・パリ等の事例）リスク。</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コスト試算（概算）：全国水道管路約68万km。1kmあたりの更新費用を数千万〜1億円程度と仮定すれば、総更新費用は数十兆円規模。年間3%ずつ更新するとして年間数千億〜1兆円程度が必要。この規模の財源を単独自治体で確保することは困難であり、広域連携や料金改定が不可避だ。</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料金値上げの分配問題：水道料金の値上げは、所得に占める割合が高い低所得者・高齢者に影響が大きい。値上げを避けるためのコスト削減（広域連携・民間活用）がどの程度の節約をもたらすかとの比較が必要。</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優先提言：広域連携を基本に、地方自治体が公営での経営権を維持しながら技術・資本の共有を進める「公営+広域連携」モデル。完全な民間委託（コンセッション）は生活インフラの性格から最後の選択肢とし、事業効率化で料金上昇幅を最小化しながら安全な水道の維持を優先する。</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参考データによれば、全国の水道管路のうち法定耐用年数（40年）を超えた管路が20.6%に達しており、5本に1本が更新時期を過ぎている。読売新聞が報じるように年間約2万件の漏水・破損事故が発生しており、今後5年で全体の40%の自治体が料金値上げを予定しているという状況は、水道財政の持続可能性が限界に近づいていることを示している。</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2018年の水道法改正は「広域連携・資産管理・官民連携」の推進を柱としており、政府の方向性として民間活用と広域化が示されている。この方向性を踏まえながら、「公営維持」「広域連携」「民間委託（コンセッション）」の3案を比較し、優先案を提言する。</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公営維持案は、地域住民の監視が届きやすく、水道という生活インフラの公共財的性格を守れるという利点がある。しかし、人口減少による料金収入の減少が更新投資を困難にするという財政的悪循環を断ち切ることができない。広域連携案は、複数自治体が管理を統合することでスケールメリット（技術人材の共有・施設の集約）が生まれ、法改正が推進する方向でもある。自治体間の合意形成に時間がかかるという課題はあるが、公営としての透明性を維持しながら効率化を実現できる。民間委託（コンセッション）案は、民間の経営効率と資本を活用できるが、水道という生活インフラへの民間論理の適用は、フランス・パリで料金高騰・品質問題から再公営化に至った事例が示すように、公益と収益の対立リスクを伴う。</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コスト試算の概算を示す。全国の水道管路総延長は約68万kmとされ、1kmあたりの更新費用を平均的な条件で数千万円と仮定すれば、総更新費用は数十兆円規模となる。年間3〜4%の更新ペースで進めると仮定した場合、年間で数千億〜1兆円規模の更新費用が継続的に必要だ。この規模を単独自治体で賄うことは困難であり、広域連携によるコスト分散か料金改定かの選択が不可避となる。</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料金値上げは所得に占める割合が高い低所得者・高齢者への影響が大きく、単純な値上げではなく低所得者への料金補助制度と組み合わせた設計が必要だ。</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以上から、公営での経営権を自治体が維持しながら技術・施設管理を広域で共有する「公営+広域連携」モデルを優先提言とする。完全な民間委託（コンセッション）は生活インフラの安全性が確保された後の選択肢とし、まず広域連携によるコスト削減で料金上昇幅を最小化することが現時点での最善策だと考える。</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参考データ（老朽化20.6%・年間2万件の事故・40%の自治体が値上げ予定）を体系的に引用し、問題の規模を示している。3案の比較（追加条件）は「公営・広域連携・コンセッション」の実現可能性とリスクを具体的に対比しており、パリの再公営化という国際事例も引用して説得力を高めている。コスト試算（追加条件）は「68万km×数千万円/km→数十兆円」という概算の根拠を示しており、追加条件を具体的に満たしている。料金値上げの分配問題（readingHints）にも触れており、「低所得者への料金補助」という公平性への配慮を示している。</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・「公営維持・広域連携・民間委託（コンセッション）」の3案を比較せず、1案だけを提言してしまう（追加条件未達）。</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・コスト試算の根拠を示さず、「多額のコストがかかる」という抽象的な言及にとどまる。</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・料金値上げの分配問題（低所得者への影響）に触れない。</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・法改正（2018年）の「民間活用・広域連携」という方向性を理解せず、提言が法的背景を無視したものになっている。</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・3案を「実現可能性（高/中/低）×リスク（高/中/低）」という軸で比較すると、追加条件を構造的に満たせる。</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・コンセッションのリスクとして「パリの再公営化事例」を使うと国際的事例の活用として評価が高い。</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・コスト試算として「68万km×数千万円/km→数十兆円規模、年間3〜4%の更新で年間数千億〜1兆円必要」という概算を示す（追加条件）。</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・料金値上げの分配問題として「低所得者への料金補助制度との組み合わせ」を提案することで、公平性への配慮を示す。</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・〜のうち〜年を超えた〜が〜%に達しており、〜本に1本が更新時期を過ぎている。</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・〜案は〜という利点がある。しかし〜という〜を断ち切ることができない。</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・〜案は〜の事例が示すように、〜のリスクを伴う。</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・コスト試算の概算を示す。〜の総延長は約〜kmとされ、〜と仮定すれば、総〜費用は〜規模となる。</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・〜への経営権を〜が維持しながら〜を〜で共有する「〜+〜」モデルを優先提言とする。</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・「公営維持・広域連携・民間委託（コンセッション）」の3案を実現可能性とリスクで比較できていたか（追加条件）。</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・コスト試算の根拠（概算）を示せていたか（追加条件）。</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・料金値上げの分配問題（誰が影響を受けるか）に触れられていたか（readingHintsへの応答）。</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3F3">
      <w:pPr>
        <w:pStyle w:val="Heading1"/>
        <w:rPr>
          <w:b w:val="1"/>
          <w:bCs w:val="1"/>
          <w:color w:val="1a3a6b"/>
          <w:sz w:val="28"/>
          <w:szCs w:val="28"/>
        </w:rPr>
      </w:pPr>
      <w:bookmarkStart w:colFirst="0" w:colLast="0" w:name="_i4bechymqb76" w:id="20"/>
      <w:bookmarkEnd w:id="20"/>
      <w:r w:rsidDel="00000000" w:rsidR="00000000" w:rsidRPr="00000000">
        <w:rPr>
          <w:rFonts w:ascii="Arial Unicode MS" w:cs="Arial Unicode MS" w:eastAsia="Arial Unicode MS" w:hAnsi="Arial Unicode MS"/>
          <w:b w:val="1"/>
          <w:bCs w:val="1"/>
          <w:color w:val="1a3a6b"/>
          <w:sz w:val="28"/>
          <w:szCs w:val="28"/>
          <w:rtl w:val="0"/>
        </w:rPr>
        <w:t xml:space="preserve">【問題 No.14】　引用型／因果分析</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【参考データ】子どもの貧困率の推移</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2009年：15.7%　2015年：13.9%　2018年：13.5%　2021年：11.5%</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OECD平均（2021年）：12.6%</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ひとり親世帯の貧困率（2021年）：44.5%（OECD最高水準）</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【引用】毎日新聞（2023年12月5日）：「こども家庭庁の発足により子ども政策の司令塔が一元化されたが、財源確保と施策の実効性については依然として課題が残る。」</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こども大綱（閣議決定）（2023年）：「全てのこどもが、その権利の擁護が図られ、身体的・精神的・社会的に将来にわたって幸せな状態（ウェルビーイング）で生活を送ることができる社会の実現を目指す。」</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子どもの貧困問題について、引用と参考データの示す「構造」を分析し、ひとり親世帯への支援を中心とした政策提言を行え。</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【追加条件】全体の貧困率が改善している一方でひとり親世帯が依然高止まりしている「構造的非対称性」の原因を論じること。「現金給付」と「現物支給」の長短も比較すること。</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【読み取りのヒント】「平均が改善」しても特定層が改善しない場合、政策の効果がどこに届いているか・いないかを問う問題。貧困率の定義（相対的貧困）も確認すること。</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・「全体貧困率が改善（15.7%→11.5%）している一方でひとり親世帯が依然44.5%という構造的非対称性の原因を論じる」という追加条件を満たすこと。</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・「現金給付と現物支給の長短を比較する」という追加条件を満たすこと。</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・貧困率の定義（相対的貧困＝中央値の半分以下の所得）という前提を踏まえた論述にすること（readingHints）。</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・日本のひとり親世帯貧困率（44.5%）がOECDで最高水準という事実を政策の緊急性の根拠として使うこと。</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・2引用（報道と政府文書）の立場と「見えていない部分」も意識すること（No.11と類似の超上級スキル）。</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構造的非対称性の原因（追加条件）：①ひとり親（特に母子）世帯は「就労と育児の両立困難」という二重の負担がある——フルタイム就労できないため、パート・非正規中心の低賃金雇用に留まる構造。②養育費の不払い問題——離婚後の非同居親からの養育費の受取率が低く（約25%程度）、生活費の大部分を一人で負担する状況。③社会保険のカバレッジの問題——非正規雇用のひとり親は厚生年金・健康保険の適用から漏れるケースがある。現金給付vs現物支給（追加条件）：現金給付の長所（使途の自由・即効性）・短所（用途の不確実性・行政コスト）。現物支給の長所（政策目的への直結・確実な提供）・短所（多様なニーズへの対応困難・供給側の制約）。ひとり親世帯への具体的提言：①養育費確保法制の強化（不払いへの罰則・国の立替払い）、②保育所への優先入所・延長保育の拡充、③児童扶養手当の拡充（現金給付）と就労支援の組み合わせ。</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・全体貧困率改善とひとり親世帯貧困率の高止まりという構造的非対称性の原因分析</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・「現金給付」vs「現物支給」のトレードオフとひとり親世帯への適用の優先</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・養育費不払い問題という独自の構造的要因</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・こども家庭庁設立・こども大綱という政策的背景の活用</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参考データの「全体11.5%・ひとり親44.5%」という数値から構造的非対称性を提示。2引用の統合（報道：財源・実効性の課題。こども大綱：ウェルビーイングの理念）。本論1：構造的非対称性の原因分析（就労・育児の二重負担・養育費不払い・社会保険カバレッジの問題）。本論2：現金給付と現物支給の比較（追加条件）と、ひとり親世帯への優先政策（養育費確保・保育拡充・手当拡充+就労支援）。結論：「理念（大綱）と財源・実効性（報道の懸念）のギャップを埋める政策設計」として条件付き提言。</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構造的非対称性の数値：全体貧困率：15.7%（2009）→11.5%（2021）で4.2ポイント改善。ひとり親世帯：44.5%で依然OECD最高水準。「全体が改善しても特定層に届いていない」という政策の届かない層の問題。</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構造的非対称性の原因（追加条件）：①就労・育児の二重負担——フルタイム就労困難→非正規・低賃金。②養育費不払い（受取率約25%）——もう一方の親からの経済的支援が届かない。③社会保険のカバレッジ——非正規雇用は厚生年金・健康保険から漏れる可能性。</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金給付vs現物支給（追加条件）：現金給付の長：使途の自由・スピード。短：用途の確実性が不明・行政コスト（支給先の確認等）。現物支給の長：政策目的への直結（保育所→就労促進）。短：多様なニーズへの対応困難。ひとり親世帯には「保育サービス（現物）+養育費確保（法制度）+手当（現金）」の複合アプローチが必要。</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提言：①養育費確保法制の強化——不払いへの罰則強化と国の立替払い制度の創設。②保育所へのひとり親世帯優先入所と延長保育の拡充。③児童扶養手当の拡充（現金給付）と就労支援（職業訓練・就職あっせん）の組み合わせ。</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参考データによれば、子どもの貧困率（相対的貧困率）は2009年の15.7%から2021年の11.5%へと4.2ポイント改善し、OECD平均（12.6%）を下回るレベルに達した。しかし、ひとり親世帯の貧困率は44.5%でOECD最高水準のままだ。全体が改善しながら特定層に政策が届いていないという「構造的非対称性」の分析が、今後の政策設計の出発点となる。</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の非対称性の原因を三点に整理する。第一に、就労と育児の二重負担という構造的問題だ。ひとり親（特に母子世帯）はフルタイム就労と保育が両立しにくいため、パート・非正規中心の低賃金雇用に留まらざるを得ない状況が続く。第二に、養育費の不払い問題だ。離婚後の非同居親からの養育費の受取率は約25%程度とされており、本来の生活費の支え手となるべきもう一方の親からの経済的支援が届いていない。第三に、非正規雇用による社会保険のカバレッジの問題だ。非正規雇用者が厚生年金・健康保険から漏れるケースがあり、老後・病気への備えという点でも不安定な状況が続く。</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毎日新聞は「こども家庭庁の発足により子ども政策の司令塔が一元化された」としながら、「財源確保と施策の実効性については依然課題が残る」と指摘している。こども大綱は「全てのこどものウェルビーイング」という崇高な理念を掲げるが、その理念と「財源・実効性」というギャップを埋める具体的な政策設計が求められる。</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現金給付」と「現物支給」を比較する。現金給付（児童扶養手当等）は使途の自由という利点があり、家庭の多様なニーズに応じた活用が可能だ。しかし、政策目的（子どもの貧困解消）への確実な使用を保証しにくい面もある。現物支給（保育所・給食・就学支援）は政策目的への直結という利点があるが、供給側の制約（保育所不足等）や家庭の多様なニーズへの対応が難しい面がある。ひとり親世帯には、どちらか一方ではなく複合的なアプローチが有効だ。</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具体的な政策提言として、①養育費確保法制の強化——不払いへの罰則の実効化と、国が立替払いを行い離婚後の非同居親に求償する「公的立替払い制度」の創設、②保育所・学童保育へのひとり親世帯の優先入所と延長保育の拡充、③児童扶養手当の拡充（現金給付）と就労支援（職業訓練・就職あっせん）の組み合わせを提案する。こども大綱の理念を「財源と実効性のある制度」として具体化することが、超高水準のひとり親世帯貧困率の解消に向けた最優先の課題だと考える。</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全体改善・ひとり親高止まり」という構造的非対称性を数値で提示し、追加条件の起点を明確にしている。構造的非対称性の原因を三点（就労・育児の二重負担・養育費不払い・社会保険カバレッジ）で整理しており、追加条件を具体的に満たしている。2引用（報道と大綱）の「見えていない部分」——報道の「理念と財源のギャップ」への指摘と大綱の「理念のみで実効性の欠如」——を意識した読解がされている。現金給付vs現物支給（追加条件）を長短対比で示し、「複合的アプローチが有効」という結論につなげている。政策提言は「養育費確保制度・保育優先・手当+就労支援」という三点が構造的原因に対応している。</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・「全体貧困率が改善している」という事実を根拠に「政策は成功している」と断定し、ひとり親世帯の高止まりという構造的非対称性に気づかない。</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・「現金給付と現物支給の長短を比較する」という追加条件を満たさず、一方だけを提言している。</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・「構造的非対称性の原因」として「所得が低いから」という同語反復的な説明にとどまり、養育費不払い・社会保険カバレッジという構造的要因に踏み込んでいない。</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・2引用（報道と大綱）をどちらも「支持する内容」としてそのまま使い、立場の違いや「見えていない部分」を意識していない。</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・「全体改善・ひとり親高止まり」という数値の対比を、「政策の届かない層の問題」として論の起点にする。</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・構造的非対称性の原因として「就労・育児の二重負担・養育費不払い・社会保険カバレッジ」の三点を示す（追加条件充足）。</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・現金給付（長：自由・短：確実性）と現物支給（長：目的直結・短：多様性）を対比し、「複合アプローチが必要」という結論につなげる（追加条件充足）。</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・報道の「財源・実効性の課題」という指摘と大綱の「ウェルビーイング理念」の「ギャップを埋める設計」として提言を位置づける。</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・全体が改善しながら特定層に政策が届いていないという「構造的非対称性」の分析が、〜の出発点となる。</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・この非対称性の原因を三点に整理する。第一に〜、第二に〜、第三に〜。</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・〜は〜という利点があるが、〜という面もある。〜には、どちらか一方ではなく複合的なアプローチが有効だ。</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・〜の理念を「財源と実効性のある制度」として具体化することが、〜の最優先の課題だ。</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・全体貧困率改善とひとり親世帯高止まりという「構造的非対称性の原因」を論じられていたか（追加条件）。</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・「現金給付と現物支給の長短を比較」し、ひとり親世帯への適用を論じられていたか（追加条件）。</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・2引用の立場の違い（報道の懸念と大綱の理念のギャップ）を意識した読解ができていたか。</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43C">
      <w:pPr>
        <w:pStyle w:val="Heading1"/>
        <w:rPr>
          <w:b w:val="1"/>
          <w:bCs w:val="1"/>
          <w:color w:val="1a3a6b"/>
          <w:sz w:val="28"/>
          <w:szCs w:val="28"/>
        </w:rPr>
      </w:pPr>
      <w:bookmarkStart w:colFirst="0" w:colLast="0" w:name="_8j9wbjbb600w" w:id="21"/>
      <w:bookmarkEnd w:id="21"/>
      <w:r w:rsidDel="00000000" w:rsidR="00000000" w:rsidRPr="00000000">
        <w:rPr>
          <w:rFonts w:ascii="Arial Unicode MS" w:cs="Arial Unicode MS" w:eastAsia="Arial Unicode MS" w:hAnsi="Arial Unicode MS"/>
          <w:b w:val="1"/>
          <w:bCs w:val="1"/>
          <w:color w:val="1a3a6b"/>
          <w:sz w:val="28"/>
          <w:szCs w:val="28"/>
          <w:rtl w:val="0"/>
        </w:rPr>
        <w:t xml:space="preserve">【問題 No.15】　引用型／複合評価</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【参考データ】訪日外国人旅行者数と消費額</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2019年：3,188万人・4.8兆円　2020年：412万人（コロナ）</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2023年：2,507万人・5.8兆円（人数は回復途上・消費額は過去最高）</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オーバーツーリズム苦情件数：2022年比で2023年は約2.3倍</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【引用】観光庁「観光立国推進基本計画」（2023年）：「2025年までに訪日外国人旅行消費額8兆円、国内旅行消費額22兆円を達成することを目標とする。」</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【引用】京都新聞（2024年3月14日）：「京都市の一部バス路線では観光客による混雑が深刻化しており、市民の日常生活に支障をきたしているとの声が上がっている。」</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資料が示す「消費額過去最高とオーバーツーリズムの同時進行」という状況を分析し、持続可能な観光政策を提言せよ。</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【追加条件】国の目標（観光庁）と地域住民の実態（地方紙報道）の間の「政策と現場のギャップ」を明示し、どのレベル（国・都道府県・市町村）が何をすべきかを整理すること。</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【読み取りのヒント】消費額増加と人数の回復ペースの差から「一人当たり消費単価の変化」を計算してみること。オーバーツーリズムの苦情増加との関係も考察すること。</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・readingHintsの指示通り「一人当たり消費単価の変化」を計算すること——2019年：4.8兆円÷3,188万人≒15万円、2023年：5.8兆円÷2,507万人≒23万円と単価が大幅増。</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・「国の目標（観光庁）と地域住民の実態（地方紙）の政策と現場のギャップを明示する」という追加条件を満たすこと。</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・「国・都道府県・市町村レベルでそれぞれが何をすべきかを整理する」という追加条件を満たすこと。</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・「消費額過去最高」と「オーバーツーリズム苦情2.3倍」という同時進行の構造——多い観光客数ではなく「少ない観光客が高い消費をする」方向への転換が鍵であることを論じること。</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readingHintsの計算：一人当たり消費単価＝2019年約15万円→2023年約23万円と約53%増加。人数が2019年比79%に回復しながら消費額が121%（過去最高）になった理由は単価の増加。これは「より少ない人数でより多く消費する高付加価値旅行客」へのシフトが起きていることを示す。追加条件（政策と現場のギャップ）：観光庁は2025年に消費額8兆円という「量と質の拡大」目標を掲げているが、京都新聞が報じるように地域住民は「生活インフラの混雑・日常生活への支障」という負の外部性を被っている。国・都道府県・市町村の役割分担（追加条件）：国（観光庁）：高付加価値観光への誘導・オーバーツーリズム対策のガイドライン策定・観光税の制度設計。都道府県：地域ごとの受入可能量（キャパシティ）の設定・分散観光の推進。市町村：具体的な混雑対策（バス路線改編・入場制限・時間帯分散）・住民への還元。</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・「消費額過去最高・人数回復途上」から読み取れる一人当たり消費単価の変化とその意味</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・国の数値目標（量・質の拡大）と地域住民の生活影響（オーバーツーリズム）という政策と現場のギャップ</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・高付加価値・少数客という観光モデルへの転換の可能性と課題</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・国・都道府県・市町村の役割分担（観光政策と生活政策の両立）</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一人当たり消費単価の計算（2019年約15万円→2023年約23万円）という具体的な分析から入り、「少ない人数でより高い消費」というトレンドを提示。本論1：国の目標と地域住民の実態のギャップを明示（追加条件）——観光庁の量・質拡大目標 vs 京都の住民生活への影響。本論2：国・都道府県・市町村の役割分担（追加条件）と具体的な政策提言。高付加価値・少数客モデルへの転換。結論：条件付きの持続可能な観光政策。</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一人当たり消費単価の計算（readingHints）：2019年：4.8兆円÷3,188万人≒15万円/人。2023年：5.8兆円÷2,507万人≒23万円/人。単価が約53%増。「少ない人数でより高い消費額」というトレンドが示唆される。これは高付加価値旅行（高額宿泊・体験・食事）へのシフトが起きていることを意味する可能性がある。</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と現場のギャップ（追加条件）：国（観光庁）は消費額8兆円という経済的目標を掲げる。地域（京都市）では住民の日常生活への影響（バス混雑・騒音・マナー問題）が深刻化している。国は経済的便益を前面に出し、生活コストは地域に転嫁している構造がある。</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国・都道府県・市町村の役割分担（追加条件）：国：高付加価値観光への誘導（インバウンド向け高額ビザ・VJT（ビジット・ジャパン）の方針転換）・観光税の制度設計（宿泊税の全国標準化）・オーバーツーリズム対策ガイドライン。都道府県：受入可能量（キャパシティ）の設定・地域内での観光分散（分散観光）の推進・地域観光税の活用。市町村：バス路線の観光客・住民の分離・入場制限（上限入場者数）・住民への観光税収入の還元（生活環境改善）。</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高付加価値・少数客モデルへの転換：「人数を増やして消費額を増やす」モデルから「少ない高質な旅行客で消費額を維持・向上させる」モデルへの転換。これはオーバーツーリズムの緩和と収益の維持を両立する方向性。</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まず、参考データから重要な数値を計算する。2019年の訪日外国人消費額（4.8兆円）を旅行者数（3,188万人）で割ると一人当たり約15万円だ。2023年は消費額5.8兆円を旅行者数2,507万人で割ると約23万円となり、一人当たり消費単価が53%増加していることが分かる。人数が2019年比で79%に回復した段階で消費額が過去最高になった背景には、高級宿泊・体験・食事など高付加価値の旅行にシフトした旅行客が増えているという構造変化が示唆される。</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この状況は、国の政策目標と地域住民の実態の間の「政策と現場のギャップ」を鮮明にしている。観光庁の基本計画は2025年までに訪日外国人消費額8兆円という経済目標を掲げており、観光を国家戦略的な収益源として位置づけている。一方、京都新聞が報じるように、京都市の一部バス路線では観光客による混雑が市民の日常生活に支障をきたしており、オーバーツーリズムの苦情件数は2022年比で2.3倍に達している。国は経済的便益を前面に掲げながら、生活コストと混雑への対応を地域に転嫁しているという構造がある。</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持続可能な観光政策を実現するには、国・都道府県・市町村それぞれの役割を明確にする必要がある。国（観光庁）は、「人数の最大化」から「高付加価値・少数客」への政策転換を主導すべきだ。高額宿泊・体験型観光への誘導策と、宿泊税の全国的な制度設計を推進し、観光収益を観光地のインフラ整備に還元する仕組みを構築する。都道府県は、地域ごとの受入可能量（キャパシティ）を設定し、特定観光地への一極集中を緩和する分散観光（近隣地域・オフシーズン誘導）を推進する。市町村は、観光客と住民のバス路線の分離・観光スポットへの入場者数の上限管理・宿泊税収入の住民の生活環境改善への還元という具体的な混雑対策を担う。</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一人当たり消費単価の増加というトレンドが示すように、「多くの人数」より「質の高い少数客」という方向への転換は既に市場で起きつつある。国の政策目標をこのトレンドと整合させ、「8兆円の消費額目標」を「人数の拡大ではなく単価向上で達成する」という方針へ転換することが、オーバーツーリズムの緩和と経済的目標の両立を可能にする持続可能な観光政策だと考える。</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でreadingHintsの指示を実行し、一人当たり消費単価（2019年約15万円→2023年約23万円、53%増）という計算を示している。この計算が「少数客・高消費というトレンド」の論証となっており、論の軸として機能している。政策と現場のギャップ（追加条件）は「観光庁の経済目標と京都市民の生活影響」という具体的な対比で示されており、「国が便益を掲げ地域がコストを負担する構造」という鋭い分析がある。国・都道府県・市町村の役割分担（追加条件）は三層それぞれの具体的な政策を示しており、追加条件を完全に満たしている。</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・一人当たり消費単価の計算（readingHintsの指示）をせず、「消費額が増えた・人数が回復した」という数値の羅列にとどまる。</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・「政策と現場のギャップ」という追加条件を満たさず、国の目標と地域住民の実態の対比を示していない。</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・「国・都道府県・市町村が何をすべきか」という三層の役割分担という追加条件を満たさず、「政府が対策すべき」という一般論になっている。</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・「消費額過去最高」を単純に「観光政策の成功」として肯定し、オーバーツーリズムという構造的問題を「並行課題」として整理できていない。</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・一人当たり消費単価の計算（2019年15万円→2023年23万円、53%増）を序論に入れ、「少数客・高消費トレンド」の論拠にする（readingHints充足）。</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・「国（経済目標）vs 地域住民（生活影響）」という政策と現場のギャップを対比として明示する（追加条件）。</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・国・都道府県・市町村それぞれの具体的な役割（国：高付加価値誘導・宿泊税設計。都道府県：キャパシティ設定・分散観光。市町村：路線分離・入場制限・税収還元）を示す（追加条件）。</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・政策目標を「人数ではなく単価向上で8兆円を達成する方針へ転換」という具体的な方向性で提言する。</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・まず、参考データから重要な数値を計算する。〜（〜兆円）を〜（〜万人）で割ると一人当たり約〜万円だ。</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・この状況は、〜と〜の間の「政策と現場のギャップ」を鮮明にしている。</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・〜は〜を前面に掲げながら、〜コストを〜に転嫁しているという構造がある。</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・〜を実現するには、〜それぞれの役割を明確にする必要がある。〜（国）は〜。〜（都道府県）は〜。〜（市町村）は〜。</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・「〜より〜」という方向への転換は既に市場で起きつつある。〜目標を〜と整合させ、「〜ではなく〜で達成する」という方針へ転換することが〜だ。</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・一人当たり消費単価を計算し（readingHints充足）、「少数客・高消費トレンド」の論拠として使えていたか。</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・「国の目標（観光庁）と地域住民の実態（地方紙）の政策と現場のギャップ」を明示できていたか（追加条件）。</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・「国・都道府県・市町村」の三層それぞれが何をすべきかを整理できていたか（追加条件）。</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484">
      <w:pPr>
        <w:pStyle w:val="Heading1"/>
        <w:rPr>
          <w:b w:val="1"/>
          <w:bCs w:val="1"/>
          <w:color w:val="1a3a6b"/>
          <w:sz w:val="28"/>
          <w:szCs w:val="28"/>
        </w:rPr>
      </w:pPr>
      <w:bookmarkStart w:colFirst="0" w:colLast="0" w:name="_voga23gkz3le" w:id="22"/>
      <w:bookmarkEnd w:id="22"/>
      <w:r w:rsidDel="00000000" w:rsidR="00000000" w:rsidRPr="00000000">
        <w:rPr>
          <w:rFonts w:ascii="Arial Unicode MS" w:cs="Arial Unicode MS" w:eastAsia="Arial Unicode MS" w:hAnsi="Arial Unicode MS"/>
          <w:b w:val="1"/>
          <w:bCs w:val="1"/>
          <w:color w:val="1a3a6b"/>
          <w:sz w:val="28"/>
          <w:szCs w:val="28"/>
          <w:rtl w:val="0"/>
        </w:rPr>
        <w:t xml:space="preserve">【問題 No.16】　表型／政策設計</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tbl>
      <w:tblPr>
        <w:tblStyle w:val="Table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2"/>
        <w:gridCol w:w="1701.2"/>
        <w:gridCol w:w="1701.2"/>
        <w:gridCol w:w="1701.2"/>
        <w:gridCol w:w="1701.2"/>
        <w:tblGridChange w:id="0">
          <w:tblGrid>
            <w:gridCol w:w="1701.2"/>
            <w:gridCol w:w="1701.2"/>
            <w:gridCol w:w="1701.2"/>
            <w:gridCol w:w="1701.2"/>
            <w:gridCol w:w="1701.2"/>
          </w:tblGrid>
        </w:tblGridChange>
      </w:tblGrid>
      <w:tr>
        <w:trPr>
          <w:cantSplit w:val="0"/>
          <w:tblHeader w:val="0"/>
        </w:trPr>
        <w:tc>
          <w:tcPr>
            <w:shd w:fill="d0d3d4"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指標</w:t>
            </w:r>
          </w:p>
        </w:tc>
        <w:tc>
          <w:tcPr>
            <w:shd w:fill="d0d3d4"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日本</w:t>
            </w:r>
          </w:p>
        </w:tc>
        <w:tc>
          <w:tcPr>
            <w:shd w:fill="d0d3d4"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ドイツ</w:t>
            </w:r>
          </w:p>
        </w:tc>
        <w:tc>
          <w:tcPr>
            <w:shd w:fill="d0d3d4" w:val="clear"/>
            <w:tcMar>
              <w:top w:w="100.0" w:type="dxa"/>
              <w:left w:w="100.0" w:type="dxa"/>
              <w:bottom w:w="100.0" w:type="dxa"/>
              <w:right w:w="100.0" w:type="dxa"/>
            </w:tcMar>
            <w:vAlign w:val="top"/>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フィンランド</w:t>
            </w:r>
          </w:p>
        </w:tc>
        <w:tc>
          <w:tcPr>
            <w:shd w:fill="d0d3d4" w:val="clear"/>
            <w:tcMar>
              <w:top w:w="100.0" w:type="dxa"/>
              <w:left w:w="100.0" w:type="dxa"/>
              <w:bottom w:w="100.0" w:type="dxa"/>
              <w:right w:w="100.0" w:type="dxa"/>
            </w:tcMar>
            <w:vAlign w:val="top"/>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シンガポール</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GDP比教育公的支出（%）</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b w:val="1"/>
                <w:bCs w:val="1"/>
                <w:color w:val="1a3a6b"/>
                <w:sz w:val="18"/>
                <w:szCs w:val="18"/>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b w:val="1"/>
                <w:bCs w:val="1"/>
                <w:color w:val="1a3a6b"/>
                <w:sz w:val="18"/>
                <w:szCs w:val="18"/>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b w:val="1"/>
                <w:bCs w:val="1"/>
                <w:color w:val="1a3a6b"/>
                <w:sz w:val="18"/>
                <w:szCs w:val="18"/>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b w:val="1"/>
                <w:bCs w:val="1"/>
                <w:color w:val="1a3a6b"/>
                <w:sz w:val="18"/>
                <w:szCs w:val="18"/>
                <w:rtl w:val="0"/>
              </w:rPr>
              <w:t xml:space="preserve">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小学校教員1人当たり児童数</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b w:val="1"/>
                <w:bCs w:val="1"/>
                <w:color w:val="1a3a6b"/>
                <w:sz w:val="18"/>
                <w:szCs w:val="18"/>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b w:val="1"/>
                <w:bCs w:val="1"/>
                <w:color w:val="1a3a6b"/>
                <w:sz w:val="18"/>
                <w:szCs w:val="18"/>
                <w:rtl w:val="0"/>
              </w:rPr>
              <w:t xml:space="preserve">14.8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b w:val="1"/>
                <w:bCs w:val="1"/>
                <w:color w:val="1a3a6b"/>
                <w:sz w:val="18"/>
                <w:szCs w:val="18"/>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b w:val="1"/>
                <w:bCs w:val="1"/>
                <w:color w:val="1a3a6b"/>
                <w:sz w:val="18"/>
                <w:szCs w:val="18"/>
                <w:rtl w:val="0"/>
              </w:rPr>
              <w:t xml:space="preserve">17.2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PISA読解力順位（2022年）</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3位</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25位</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8位</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3位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教員の週平均労働時間（小学校）</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54.4時間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40.3時間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33.3時間</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データなし</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15歳時点の学力格差（SES影響度）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中程度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高い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低い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18"/>
                <w:szCs w:val="18"/>
              </w:rPr>
            </w:pPr>
            <w:r w:rsidDel="00000000" w:rsidR="00000000" w:rsidRPr="00000000">
              <w:rPr>
                <w:rFonts w:ascii="Arial Unicode MS" w:cs="Arial Unicode MS" w:eastAsia="Arial Unicode MS" w:hAnsi="Arial Unicode MS"/>
                <w:b w:val="1"/>
                <w:bCs w:val="1"/>
                <w:color w:val="1a3a6b"/>
                <w:sz w:val="18"/>
                <w:szCs w:val="18"/>
                <w:rtl w:val="0"/>
              </w:rPr>
              <w:t xml:space="preserve">低い</w:t>
            </w:r>
          </w:p>
        </w:tc>
      </w:tr>
    </w:tbl>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上記の国際比較表を分析し、日本の教育制度の「強み」と「構造的課題」を整理したうえで、次の10年間の教育改革の優先施策を提言せよ。</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投入（支出・人員）」と「産出（学力・格差）」の関係から、単純な予算増額だけでは解決しない課題を明示すること。フィンランドとシンガポールの成功要因の「日本への移植可能性」も論じること。</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【読み取りのヒント】日本とシンガポールはGDP比支出が同じなのにPISA順位も同じ。しかし労働時間が大きく異なる。「効率性」の観点から何が読み取れるかを考えること。</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日本とシンガポールは「GDP比支出2.9%・PISA3位」と同一だが労働時間が大きく異なる点が分析の核心。日本の教員は54.4時間・シンガポールはデータなしだが欧米比では短いとされる。同じ支出・同じ成果でも「コスト構造（誰が・何を負担しているか）」が異なる。</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・「投入と産出の関係から予算増額だけでは解決しない課題を明示する」という追加条件：日本の問題は支出の「量」ではなく「教員の業務構造（非授業業務の過多）」にある。</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フィンランドとシンガポールの移植可能性」を論じる追加条件：フィンランド型（低格差・高支出・短労働時間）の移植には教員の採用・育成制度の抜本的改革が必要で短期移植は困難。シンガポール型（高競争・低格差・高成果）は文化的背景（権威への従順さ）が異なり直接移植は難しい。</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・「学力格差（SES影響度）」という指標を重視すること：日本は「中程度」でドイツ「高い」より良いがフィンランド「低い」より悪い。これが「教育の公正さ」の問題として重要。</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型・政策設計の問題。表から読み取れる日本の特徴：①PISA学力は高いが②支出が低く③教員労働時間が異常に長い④学力格差は中程度。日本とシンガポールの比較が特に重要で「同支出・同成果なのに労働時間がなぜ違うか」という問いを立てると、制度効率性の問題に行き着く。追加条件の「移植可能性」：フィンランドは20年かけた教員制度改革（大学院修士必須・高給・社会的地位）という長期投資の産物。シンガポールは徹底したエリート教育と国家管理という文化的文脈が背景。どちらも「5年での移植」は不可能で、日本固有の改革方向性が必要。</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・日本・シンガポールの「同支出・同成果・異なる労働時間」というパラドックス</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・「投入（支出）」と「産出（学力・格差）」の非線形な関係</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・フィンランド・シンガポールの成功要因と日本への移植可能性の限界</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・学力格差（SES影響度）改善という「公正さ」の目標への対策</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表を分析し日本の「強み（高い学力成果）」と「構造的課題（高い労働時間・中程度の学力格差・低い支出）」を整理する。本論1：投入と産出の関係分析（追加条件）—日本の問題は支出量ではなく業務構造にある。本論2：フィンランド・シンガポールの移植可能性の分析（追加条件）。優先施策：①教員の非授業業務削減、②支出のGDP比引き上げ（OECD平均への段階的接近）、③低SES層への学習支援強化。</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日本の強み：PISA3位という世界トップレベルの学力成果。</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日本の構造的課題：①教員週54.4時間という参加国最長の労働時間。②GDP比2.9%という低い公的支出。③学力格差がフィンランドより大きい（SES影響度：中程度）。</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日本とシンガポールの比較：同支出（2.9%）・同PISA順位（3位）だが労働時間が大きく異なる。日本54.4時間に対しシンガポールは短いとされる。同じ成果をより少ない教員負担で達成しているシンガポールは「制度効率性」が高い。</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フィンランドの移植可能性：低格差・高教員待遇・短労働時間という成果は20〜30年の制度改革の産物。教員を「修士必須・高給・高社会的地位」に転換した長期投資が背景。短期移植は不可能だが、長期的な方向性として参考になる。</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シンガポールの移植可能性：国家主導の能力別教育・厳しい選別・高い教員待遇という文化的文脈が日本とは異なる。直接移植は困難。ただし「教員の専門性強化と待遇改善」という要素は共通して重要。</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優先施策：①教員の非授業業務削減（部活動の地域移行・事務職員増員）が最優先。②GDP比支出を段階的にOECD平均（4.1%）へ引き上げ。③低SES層への就学前教育の充実（学力格差は就学前から始まる）。</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表を分析すると、日本の教育制度には明確な「強み」と「構造的課題」が共存している。強みはPISA読解力3位・数学5位という世界トップレベルの学力成果だ。課題は三点ある。第一に教員の週54.4時間という参加国最長の労働時間。第二にGDP比2.9%という低い公的支出（OECD平均4.1%を大きく下回る）。第三に学力格差（SES影響度）が「中程度」でフィンランドの「低い」に及ばない点だ。</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特に注目すべきは日本とシンガポールの比較だ。両国はGDP比支出2.9%・PISA3位という数値が同じだが、教員の労働時間が大きく異なる。これは「同じ支出・同じ成果を、日本はより多くの教員負担で達成している」ということを意味する。投入と産出の関係から読み取れることは、日本の問題は支出の「量」ではなく「教員の業務構造（非授業業務への過剰な時間投入）」にある、ということだ。単純に予算を増やしても、教員が授業以外の業務（部活動・保護者対応・事務処理）に費やす時間が変わらなければ、学力成果の質的向上は見込めない。</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フィンランドの成功要因（低格差・短労働時間・低支出比でも高成果）は20〜30年の教員制度改革（大学院修士必須・高給・社会的地位の向上）の産物だ。短期的な移植は不可能だが、「教員の専門性と処遇を長期的に高める」という方向性は日本でも有効だ。シンガポールの成功（低格差・高競争・国家管理）は権威への従順さという文化的背景を持ち、日本への直接移植は困難だ。しかし「教員の選抜基準の引き上げと待遇改善」という要素は日本でも参照できる。</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優先施策として三点を提言する。第一に教員の非授業業務の削減だ。部活動の地域移行・スクールカウンセラーの常勤化・事務職員の増員により、教員が授業と学習支援に集中できる環境を整える。これは予算増なしでも開始できる最優先課題だ。第二にGDP比支出を段階的にOECD平均（4.1%）へ引き上げることで、教員の待遇改善と採用拡大の財源を確保する。第三に低SES層への就学前教育の充実だ。学力格差は就学前（0〜6歳）の段階から始まることが研究で示されており、格差の連鎖を断ち切る最も費用対効果が高い投資地点だ。</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日本とシンガポールの「同支出・同成果・異なる労働時間」というパラドックスを論の核心に据え、「予算増ではなく業務構造の改革が先決」という洞察を導いた点が追加条件を満たしている。フィンランドとシンガポールの移植可能性については「短期移植は不可能」という現実的な評価を示しながら「参照できる要素」を取り出す形で追加条件を満たしている。三点の優先施策が「非授業業務削減→財源確保→就学前教育」という論理的な順序で示されている。</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・「フィンランドの教育を見習うべき」と言うだけで、移植可能性の限界を論じていない（追加条件未達）。</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・「予算を増やせばよい」という単純な結論を出し、「投入と産出の関係から予算増だけでは解決しない課題」という分析をしていない（追加条件未達）。</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・日本とシンガポールの「同支出・同成果・異労働時間」というパラドックスに気づかず、表を独立した数値として読んでいる。</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・日本とシンガポールの比較（同支出・同成果・異労働時間）という「表の読み方の工夫」を示すことで、単なる数値紹介と差別化できる。</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・「フィンランド・シンガポールの移植可能性の限界」を「文化的背景・制度改革の時間」という観点で示すと追加条件が完成する。</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・優先施策の第一に「非授業業務削減（予算なしで開始可能）」を置くことで、「予算だけが解決策ではない」という論点を体現できる。</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・特に注目すべきは〜と〜の比較だ。両国は〜という数値が同じだが、〜が大きく異なる。</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・投入と産出の関係から読み取れることは、〜の問題は〜の「量」ではなく「〜の構造」にある、ということだ。</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・〜の成功は〜年の〜の産物だ。短期的な移植は不可能だが、「〜」という方向性は〜でも有効だ。</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・〜の成功は〜という文化的背景を持ち、〜への直接移植は困難だ。しかし「〜」という要素は〜でも参照できる。</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・「投入と産出の関係から予算増だけでは解決しない課題」を明示できていたか（追加条件）。</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・フィンランドとシンガポールの移植可能性の「限界」を論じられていたか（追加条件）。</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・日本とシンガポールのパラドックス（同支出・同成果・異労働時間）を論の根拠に使えていたか。</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4E4">
      <w:pPr>
        <w:pStyle w:val="Heading1"/>
        <w:rPr>
          <w:b w:val="1"/>
          <w:bCs w:val="1"/>
          <w:color w:val="1a3a6b"/>
          <w:sz w:val="28"/>
          <w:szCs w:val="28"/>
        </w:rPr>
      </w:pPr>
      <w:bookmarkStart w:colFirst="0" w:colLast="0" w:name="_utph3o55ou3r" w:id="23"/>
      <w:bookmarkEnd w:id="23"/>
      <w:r w:rsidDel="00000000" w:rsidR="00000000" w:rsidRPr="00000000">
        <w:rPr>
          <w:rFonts w:ascii="Arial Unicode MS" w:cs="Arial Unicode MS" w:eastAsia="Arial Unicode MS" w:hAnsi="Arial Unicode MS"/>
          <w:b w:val="1"/>
          <w:bCs w:val="1"/>
          <w:color w:val="1a3a6b"/>
          <w:sz w:val="28"/>
          <w:szCs w:val="28"/>
          <w:rtl w:val="0"/>
        </w:rPr>
        <w:t xml:space="preserve">【問題 No.17】　表型／因果分析</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【引用】令和4年版 犯罪白書（法務省）（2022）：「刑法犯認知件数は2002年をピークに減少が続いているが、特殊詐欺やサイバー犯罪など新たな犯罪類型の増加が課題となっている。」</w:t>
      </w:r>
    </w:p>
    <w:tbl>
      <w:tblPr>
        <w:tblStyle w:val="Table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7.6666666666667"/>
        <w:gridCol w:w="1417.6666666666667"/>
        <w:gridCol w:w="1417.6666666666667"/>
        <w:gridCol w:w="1417.6666666666667"/>
        <w:gridCol w:w="1417.6666666666667"/>
        <w:gridCol w:w="1417.6666666666667"/>
        <w:tblGridChange w:id="0">
          <w:tblGrid>
            <w:gridCol w:w="1417.6666666666667"/>
            <w:gridCol w:w="1417.6666666666667"/>
            <w:gridCol w:w="1417.6666666666667"/>
            <w:gridCol w:w="1417.6666666666667"/>
            <w:gridCol w:w="1417.6666666666667"/>
            <w:gridCol w:w="1417.6666666666667"/>
          </w:tblGrid>
        </w:tblGridChange>
      </w:tblGrid>
      <w:tr>
        <w:trPr>
          <w:cantSplit w:val="0"/>
          <w:tblHeader w:val="0"/>
        </w:trPr>
        <w:tc>
          <w:tcPr>
            <w:shd w:fill="d0d3d4"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犯罪種別</w:t>
            </w:r>
          </w:p>
        </w:tc>
        <w:tc>
          <w:tcPr>
            <w:shd w:fill="d0d3d4"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2010年</w:t>
            </w:r>
          </w:p>
        </w:tc>
        <w:tc>
          <w:tcPr>
            <w:shd w:fill="d0d3d4"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2015年</w:t>
            </w:r>
          </w:p>
        </w:tc>
        <w:tc>
          <w:tcPr>
            <w:shd w:fill="d0d3d4"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2020年</w:t>
            </w:r>
          </w:p>
        </w:tc>
        <w:tc>
          <w:tcPr>
            <w:shd w:fill="d0d3d4"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2023年</w:t>
            </w:r>
          </w:p>
        </w:tc>
        <w:tc>
          <w:tcPr>
            <w:shd w:fill="d0d3d4"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前後比</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刑法犯総数（万件）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152.1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特殊詐欺（万件）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0.69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1.37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1.33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サイバー犯罪（万件）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1.49</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検挙率（%）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33.7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43.9</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44.4</w:t>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+13pt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体感治安（悪化と感じる%）</w:t>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−2pt</w:t>
            </w:r>
          </w:p>
        </w:tc>
      </w:tr>
    </w:tbl>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0"/>
          <w:szCs w:val="20"/>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表と引用を踏まえ、犯罪の「量的減少」と「体感治安の悪化・新型犯罪の増加」という逆説を分析し、今後の治安政策を提言せよ。</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【追加条件】「総数の減少」をそのまま「安全になった」と解釈しないこと。特殊詐欺・サイバー犯罪の増加率と検挙率の変化を組み合わせて分析すること。</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【読み取りのヒント】体感治安と実態のズレは「メディア・SNSの影響」「被害の見えにくさ」など複数の要因で生じる。表から「新型犯罪の検挙率」は読み取れないことも指摘すること。</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・「総数−54%」を「安全になった」と断定しないこと（追加条件）：新型犯罪（特殊詐欺+175%・サイバー+140%）は急増しており、犯罪の質的変化が起きている。</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・「新型犯罪の検挙率」は表から読み取れないという資料の限界を指摘すること（readingHints）：全体の検挙率44.4%が上昇しているのは刑法犯総数減少の影響であり、新型犯罪固有の検挙率は不明。</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・特殊詐欺+175%・サイバー+140%という増加率と、絶対数（特殊詐欺1.90万件・サイバー1.49万件）を組み合わせて「規模感」を示すこと。</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体感治安と実態のズレの要因分析：「メディア・SNSによる犯罪報道の増加」「特殊詐欺は自分や家族が被害者になりうるという身近さ」「刑法犯減少は体感に反映されにくい」という多層的な説明が求められる。</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型・因果分析の問題。表から読み取れる複雑な構造：刑法犯総数は大幅減少(-54%)しているが、特殊詐欺(+175%)・サイバー犯罪(+140%)は急増しており、犯罪の「量的減少・質的変化」という構造が見える。体感治安は2015〜2020年に改善していたが2023年に悪化に転じている（55%→上昇）。表の限界：各犯罪種別の検挙率が示されておらず「新型犯罪がどれだけ解決されているか」が不明。引用（犯罪白書）は新型犯罪の増加を「課題」として認識しており、政策の方向性を示す。</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・刑法犯総数減少の「安全になった」という誤解と実態の乖離</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・新型犯罪（特殊詐欺・サイバー）の検挙率が表から不明という資料の限界</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・体感治安悪化の要因：新型犯罪の被害者になりやすい感覚・メディア影響・高齢者の恐怖</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・新型犯罪への対策：技術的対応とリテラシー教育の組み合わせ</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表の数値から「刑法犯減少・新型犯罪急増・体感治安悪化」という三重の逆説を示す。資料の限界（新型犯罪の検挙率が不明）を明示する。本論1：「量的減少が安全を意味しない」理由の分析（追加条件）。本論2：体感治安悪化の要因分析（メディア・SNS・新型犯罪の身近さ）。政策提言：①新型犯罪の捜査体制強化・②高齢者を中心とした特殊詐欺対策・③デジタルリテラシー教育。</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の核心的読み取り：刑法犯総数−54%は「従来型犯罪（窃盗・暴力等）の大幅減少」を反映しているが、特殊詐欺+175%・サイバー犯罪+140%という新型犯罪の急増は「犯罪の構造的変化」を示す。「2010年比で全体は半減したが新型犯罪は2〜3倍」という対比が本質。</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の限界：表は全体の検挙率（44.4%）を示すが、特殊詐欺・サイバー犯罪の検挙率は示されていない。全体の検挙率上昇は「件数が減った刑法犯の解決率上昇」による可能性があり、難解な新型犯罪の解決率は不明。これが資料から断定できない重要な点だ。</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体感治安悪化の要因：①特殊詐欺・サイバー犯罪は「自分や家族が被害者になりうる」という身近な恐怖を生む。②SNS・ニュースアプリが犯罪被害の事例を広く拡散し、犯罪が「見える化」する。③高齢化により特殊詐欺の主要ターゲットとなる高齢者層が増加している。</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提言：①特殊詐欺・サイバー犯罪の専門捜査体制の強化（デジタルフォレンジック・国際協力）。②高齢者向け特殊詐欺防止の多層的対策（家族への啓発・金融機関との連携・フィッシング検知AI）。③学校・地域でのデジタルリテラシー教育の充実。</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表を総合的に分析すると、三重の逆説が見える。第一に刑法犯総数は2010年比で54%減少したが、特殊詐欺（+175%）・サイバー犯罪（+140%）という新型犯罪は急増している。第二に検挙率は44.4%と上昇しているが、これは件数が減少した刑法犯全体の解決率向上を反映しており、特殊詐欺・サイバー犯罪固有の検挙率は表から読み取れないという資料の限界がある。第三に体感治安は2015〜2020年にかけて改善したが、2023年には55%が「悪化した」と感じており悪化傾向に転じている。</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刑法犯総数の減少＝安全になった」という解釈は正確ではない。犯罪の質的変化が起きており、2010年に比べ特殊詐欺は約2.8倍（0.69万→1.90万件）、サイバー犯罪は約2.4倍（0.62万→1.49万件）に達している。これらは「検挙が難しく、被害者が気づきにくく、高齢者が主要ターゲットになる」という特性を持つ犯罪であり、件数の絶対数は刑法犯より少なくても社会的インパクトは大きい。</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体感治安が悪化した要因は複数考えられる。第一に、特殊詐欺・サイバー犯罪は「自分や家族が被害者になりうる」という身近な恐怖を生む。「振り込め詐欺」の被害は数百万円に及ぶことが多く、高齢者にとって現実的な脅威だ。第二に、SNS・ニュースアプリが犯罪被害の事例を広く可視化する。犯罪の「見える化」が体感治安悪化に寄与している可能性がある。</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引用（犯罪白書）が指摘するように、新型犯罪への対応が喫緊の課題だ。政策として三点を提言する。第一に特殊詐欺・サイバー犯罪の専門捜査体制の強化だ。デジタルフォレンジック（電子証拠解析）の専門要員の拡充と、海外の犯罪拠点への国際連携強化が必要だ。第二に高齢者向け多層的防止策だ。家族への啓発・金融機関との連携（高額送金時の確認強化）・フィッシング検知AIの普及を組み合わせる。第三に学校・地域でのデジタルリテラシー教育の充実だ。サイバー犯罪の手口を知ることが最初の防衛線となる。</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三重の逆説（刑法犯減少・新型犯罪急増・体感治安悪化）を表の数値から整理した点が分析の深さを示している。「新型犯罪の検挙率が表から読み取れない」という資料の限界を明示した点が超上級の資料批判として機能している。体感治安悪化の要因として「身近な恐怖・SNSによる可視化」という複数の要因を示した点が追加条件を超えた深みを生んでいる。</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・「刑法犯が54%減少した＝安全になった」という断定をしてしまう（追加条件に反する）。</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・新型犯罪（特殊詐欺・サイバー）の増加に触れず、「刑法犯の減少」だけを分析している。</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・表から「新型犯罪の検挙率」は読み取れないという資料の限界を指摘していない（readingHints未充足）。</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・「刑法犯−54%」と「特殊詐欺+175%・サイバー+140%」を対比することで「犯罪の質的変化」という核心的論点を示せる。</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・「全体検挙率の上昇は刑法犯減少による効果であり、新型犯罪の検挙率は不明」という資料批判を一文入れると精度が上がる。</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・体感治安悪化の要因を「身近な恐怖（家族が被害者になりうる）・SNSによる可視化」という複数の視点で示す。</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・表を総合的に分析すると、三重の逆説が見える。第一に〜。第二に〜。第三に〜。</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・〜という解釈は正確ではない。犯罪の質的変化が起きており〜。</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・〜は表から読み取れないという資料の限界がある。</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・体感治安が悪化した要因は複数考えられる。第一に〜。第二に〜。</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・「総数の減少＝安全になった」という断定を避け、犯罪の質的変化を分析できていたか（追加条件）。</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・「新型犯罪の検挙率は表から読み取れない」という資料の限界を指摘できていたか（readingHints）。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・体感治安悪化の要因を複数（身近な恐怖・SNS可視化）から分析できていたか。</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549">
      <w:pPr>
        <w:pStyle w:val="Heading1"/>
        <w:rPr>
          <w:b w:val="1"/>
          <w:bCs w:val="1"/>
          <w:color w:val="1a3a6b"/>
          <w:sz w:val="28"/>
          <w:szCs w:val="28"/>
        </w:rPr>
      </w:pPr>
      <w:bookmarkStart w:colFirst="0" w:colLast="0" w:name="_te92zi9anf0k" w:id="24"/>
      <w:bookmarkEnd w:id="24"/>
      <w:r w:rsidDel="00000000" w:rsidR="00000000" w:rsidRPr="00000000">
        <w:rPr>
          <w:rFonts w:ascii="Arial Unicode MS" w:cs="Arial Unicode MS" w:eastAsia="Arial Unicode MS" w:hAnsi="Arial Unicode MS"/>
          <w:b w:val="1"/>
          <w:bCs w:val="1"/>
          <w:color w:val="1a3a6b"/>
          <w:sz w:val="28"/>
          <w:szCs w:val="28"/>
          <w:rtl w:val="0"/>
        </w:rPr>
        <w:t xml:space="preserve">【問題 No.18】　表型／意見対立</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【課題文A】核融合発電は夢の技術ではなくなりつつある。実用化されれば化石燃料依存から脱却できる。</w:t>
      </w:r>
    </w:p>
    <w:tbl>
      <w:tblPr>
        <w:tblStyle w:val="Table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2"/>
        <w:gridCol w:w="1701.2"/>
        <w:gridCol w:w="1701.2"/>
        <w:gridCol w:w="1701.2"/>
        <w:gridCol w:w="1701.2"/>
        <w:tblGridChange w:id="0">
          <w:tblGrid>
            <w:gridCol w:w="1701.2"/>
            <w:gridCol w:w="1701.2"/>
            <w:gridCol w:w="1701.2"/>
            <w:gridCol w:w="1701.2"/>
            <w:gridCol w:w="1701.2"/>
          </w:tblGrid>
        </w:tblGridChange>
      </w:tblGrid>
      <w:tr>
        <w:trPr>
          <w:cantSplit w:val="0"/>
          <w:tblHeader w:val="0"/>
        </w:trPr>
        <w:tc>
          <w:tcPr>
            <w:shd w:fill="d0d3d4"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電源種別</w:t>
            </w:r>
          </w:p>
        </w:tc>
        <w:tc>
          <w:tcPr>
            <w:shd w:fill="d0d3d4"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発電コスト（円/kWh）</w:t>
            </w:r>
          </w:p>
        </w:tc>
        <w:tc>
          <w:tcPr>
            <w:shd w:fill="d0d3d4"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CO2排出量（g/kWh）</w:t>
            </w:r>
          </w:p>
        </w:tc>
        <w:tc>
          <w:tcPr>
            <w:shd w:fill="d0d3d4"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設備稼働率（%）</w:t>
            </w:r>
          </w:p>
        </w:tc>
        <w:tc>
          <w:tcPr>
            <w:shd w:fill="d0d3d4"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国内技術自給度</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石炭火力</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13.6〜22.4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b w:val="1"/>
                <w:bCs w:val="1"/>
                <w:i w:val="1"/>
                <w:iCs w:val="1"/>
                <w:color w:val="1a5276"/>
                <w:sz w:val="18"/>
                <w:szCs w:val="18"/>
                <w:rtl w:val="0"/>
              </w:rPr>
              <w:t xml:space="preserve">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70〜80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低（燃料輸入）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LNG火力</w:t>
            </w:r>
          </w:p>
        </w:tc>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10.7〜14.3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b w:val="1"/>
                <w:bCs w:val="1"/>
                <w:i w:val="1"/>
                <w:iCs w:val="1"/>
                <w:color w:val="1a5276"/>
                <w:sz w:val="18"/>
                <w:szCs w:val="18"/>
                <w:rtl w:val="0"/>
              </w:rPr>
              <w:t xml:space="preserve">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60〜70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低（燃料輸入）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原子力</w:t>
            </w:r>
          </w:p>
        </w:tc>
        <w:tc>
          <w:tcPr>
            <w:shd w:fill="auto" w:val="clear"/>
            <w:tcMar>
              <w:top w:w="100.0" w:type="dxa"/>
              <w:left w:w="100.0" w:type="dxa"/>
              <w:bottom w:w="100.0" w:type="dxa"/>
              <w:right w:w="100.0" w:type="dxa"/>
            </w:tcMar>
            <w:vAlign w:val="top"/>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b w:val="1"/>
                <w:bCs w:val="1"/>
                <w:i w:val="1"/>
                <w:iCs w:val="1"/>
                <w:color w:val="1a5276"/>
                <w:sz w:val="18"/>
                <w:szCs w:val="18"/>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70〜80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中（燃料輸入）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太陽光（事業用）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8.5〜11.9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b w:val="1"/>
                <w:bCs w:val="1"/>
                <w:i w:val="1"/>
                <w:iCs w:val="1"/>
                <w:color w:val="1a5276"/>
                <w:sz w:val="18"/>
                <w:szCs w:val="18"/>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12〜17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低（パネル輸入）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陸上風力</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13.2〜21.5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b w:val="1"/>
                <w:bCs w:val="1"/>
                <w:i w:val="1"/>
                <w:iCs w:val="1"/>
                <w:color w:val="1a5276"/>
                <w:sz w:val="18"/>
                <w:szCs w:val="18"/>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中（建設国内）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水力（既設）</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10.9〜11.6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b w:val="1"/>
                <w:bCs w:val="1"/>
                <w:i w:val="1"/>
                <w:iCs w:val="1"/>
                <w:color w:val="1a5276"/>
                <w:sz w:val="18"/>
                <w:szCs w:val="18"/>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45〜50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核融合（試算）</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未確定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ほぼ0</w:t>
            </w:r>
          </w:p>
        </w:tc>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未確定</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18"/>
                <w:szCs w:val="18"/>
              </w:rPr>
            </w:pPr>
            <w:r w:rsidDel="00000000" w:rsidR="00000000" w:rsidRPr="00000000">
              <w:rPr>
                <w:rFonts w:ascii="Arial Unicode MS" w:cs="Arial Unicode MS" w:eastAsia="Arial Unicode MS" w:hAnsi="Arial Unicode MS"/>
                <w:b w:val="1"/>
                <w:bCs w:val="1"/>
                <w:i w:val="1"/>
                <w:iCs w:val="1"/>
                <w:color w:val="1a5276"/>
                <w:sz w:val="18"/>
                <w:szCs w:val="18"/>
                <w:rtl w:val="0"/>
              </w:rPr>
              <w:t xml:space="preserve">高（技術保有）</w:t>
            </w:r>
          </w:p>
        </w:tc>
      </w:tr>
    </w:tbl>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2"/>
          <w:szCs w:val="22"/>
        </w:rPr>
      </w:pPr>
      <w:r w:rsidDel="00000000" w:rsidR="00000000" w:rsidRPr="00000000">
        <w:rPr>
          <w:rtl w:val="0"/>
        </w:rPr>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5276"/>
          <w:sz w:val="24"/>
          <w:szCs w:val="24"/>
        </w:rPr>
      </w:pPr>
      <w:r w:rsidDel="00000000" w:rsidR="00000000" w:rsidRPr="00000000">
        <w:rPr>
          <w:rFonts w:ascii="Arial Unicode MS" w:cs="Arial Unicode MS" w:eastAsia="Arial Unicode MS" w:hAnsi="Arial Unicode MS"/>
          <w:b w:val="1"/>
          <w:bCs w:val="1"/>
          <w:i w:val="1"/>
          <w:iCs w:val="1"/>
          <w:color w:val="1a5276"/>
          <w:sz w:val="24"/>
          <w:szCs w:val="24"/>
          <w:rtl w:val="0"/>
        </w:rPr>
        <w:t xml:space="preserve">表と課題文を踏まえ、日本の電力政策において核融合実用化への投資を優先すべきか、既存再エネの普及を優先すべきかについて賛否を論じよ。</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【追加条件】設備稼働率の違いが「実際の発電量」に与える影響を計算的に示すこと。「技術自給度」の観点からエネルギー安全保障との関連も論じること。</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Fonts w:ascii="Arial Unicode MS" w:cs="Arial Unicode MS" w:eastAsia="Arial Unicode MS" w:hAnsi="Arial Unicode MS"/>
          <w:b w:val="1"/>
          <w:bCs w:val="1"/>
          <w:i w:val="1"/>
          <w:iCs w:val="1"/>
          <w:color w:val="6c3483"/>
          <w:sz w:val="20"/>
          <w:szCs w:val="20"/>
          <w:rtl w:val="0"/>
        </w:rPr>
        <w:t xml:space="preserve">【読み取りのヒント】発電コストの幅（例：8.5〜11.9）は何を反映しているかを考えること。稼働率の低い再エネと高い原子力・火力の「実質的な供給能力の差」を計算すること。</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稼働率を使った「実質的な発電量」の計算（追加条件）：太陽光稼働率12〜17%・原子力70〜80%という差が「100万kWの設備があっても実際に発電できる量」の大きな差を生む。「稼働率12%の再エネは100万kW設備で12万kWhしか供給できないが、稼働率70%の原子力は70万kWh供給できる」という対比。</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・「技術自給度」の観点からエネルギー安全保障を論じること（追加条件）：太陽光パネルは輸入依存（中国製が多数）・LNG石炭は燃料輸入・水力と核融合は技術保有という対比。</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・核融合の「コスト未確定・稼働率未確定」という不確実性を正直に示すこと：課題文は核融合の可能性を強調するが、表では数値が「未確定」。この不確実性を論の前提として示す。</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・「既存再エネ優先 vs 核融合投資優先」というトレードオフ：既存再エネは確実な効果がある（コスト急低下・技術確立済み）一方で稼働率・技術自給の問題がある。核融合は長期的な解決策になりうるが商業化の時期が不確実。</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意見対立型・エネルギー政策問題。表の核心的読み取り：稼働率の差（太陽光12〜17% vs 原子力70〜80%）が「同じ設備容量でも実質供給能力に約4〜6倍の差」を生む。これが「再エネ拡大だけでは電力需要を安定的に満たせない」という課題の定量的根拠になる。核融合：コスト・稼働率が「未確定」という不確実性が論の前提として重要。課題文が「実用化されれば化石燃料依存から脱却できる」と述べているが、「実用化の時期・コスト」は未定。既存再エネ優先の立場：確実性・即効性・コスト低下の加速。核融合優先の立場：長期的な解決・技術自給・ほぼゼロCO2。</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・稼働率の差による実質供給能力の定量的比較</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・「技術自給度」という安全保障の観点からの電源別評価</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・核融合の「未確定」という不確実性と「可能性」の評価</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・「確実性（既存再エネ）」vs「長期的解決（核融合）」のトレードオフ</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核融合の可能性）を受け取りながら、表の「未確定」という不確実性を示す。立場を明示：既存再エネ優先を支持しつつ核融合への長期投資継続を条件付きで肯定。本論1：稼働率の計算（追加条件）—実質供給能力の差を示す。本論2：技術自給度の観点（追加条件）—太陽光パネルの輸入依存問題と核融合・水力の自給性。比較：即効性・確実性vs長期的解決・不確実性。結論：「既存再エネを主軸に、核融合への研究投資を継続する段階的アプローチ」。</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稼働率計算（追加条件）：設備容量100万kW（例）の場合：太陽光（稼働率12〜17%）→実質発電量12〜17万kWh/h相当。原子力（稼働率70〜80%）→70〜80万kWh/h相当。差は約4〜6倍。この差が「再エネだけで安定供給を実現するには設備容量を原子力の4〜6倍用意する必要がある」ことを意味する。</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技術自給度の分析（追加条件）：太陽光パネル：輸入依存（国内製造シェアは低下）→エネルギー安全保障上の脆弱性。LNG・石炭：燃料輸入→価格変動リスク。水力・核融合：技術国内保有→エネルギー安全保障に貢献。</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核融合の位置づけ：表での「未確定」は商業化の不確実性を示す。課題文の「夢の技術ではなくなりつつある」はITERプロジェクト等の進展を指すが、2030年代までの商業化は困難という見方が多い。</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立場：既存再エネ（太陽光・風力）を2030年目標の主軸とし、核融合は長期（2050年以降）の解決策として研究投資を継続する「段階的投資配分」。</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は核融合発電を「夢の技術ではなくなりつつある」と評価するが、表では核融合のコストと稼働率はいずれも「未確定」だ。この不確実性は論の前提として認識しなければならない。この前提のもと、私は既存再エネを主軸としながら核融合への研究投資を継続する段階的アプローチを支持する。</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表の稼働率の差が実際の発電量に与える影響を計算する。同じ設備容量100万kWを想定すると、稼働率12〜17%の太陽光は時間平均12〜17万kWh相当の電力しか供給できないが、稼働率70〜80%の原子力は70〜80万kWh相当を供給できる。この差は約4〜6倍に達する。つまり、再エネだけで安定供給を実現するには、原子力比で4〜6倍の設備容量を整備する必要があり、系統安定化コスト（蓄電・調整電力）も別途必要となる。これが「再エネ拡大の必要性と同時に、安定電源との組み合わせが必要な理由」だ。</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技術自給度の観点からエネルギー安全保障を論じると、太陽光パネルは輸入依存（特に中国製パネルのシェアが高い）という脆弱性を持つ。LNG・石炭は燃料輸入リスクがある。一方、水力（稼働率45〜50%・CO2排出11g・技術自給度高）と核融合（CO2ほぼ0・技術保有）は自給性が高い。エネルギー安全保障を考えると、国内技術保有という観点で核融合への長期投資継続には戦略的意義がある。</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しかし、2030年という中期目標に向けては核融合の不確実性（コスト・稼働率ともに未確定）を踏まえると、確実に効果が出ている太陽光・風力の普及拡大を主軸にすべきだ。コストが急低下している再エネを最大限活用しながら、電力系統の安定化（蓄電・水力・需要側管理）に投資する。その一方で、2050年以降の長期的な解決策として核融合への研究開発投資を継続することで、「確実な短中期・可能性を開く長期」という段階的な配分が最も合理的だ。</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核融合の「未確定」という表の数値を論の前提として示した点が資料批判として機能している。稼働率の計算（太陽光12〜17% vs 原子力70〜80%→4〜6倍の差）という追加条件を定量的に満たしている。技術自給度の観点（太陽光の輸入依存・水力・核融合の自給性）という追加条件も満たしている。「短中期は再エネ・長期は核融合研究継続」という段階的投資という条件付き結論が完成している。</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・核融合の「コスト・稼働率は未確定」という表の数値を無視して、核融合の可能性だけを論じてしまう。</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・稼働率の差が実質供給能力に与える影響を計算せず（追加条件未達）、「再エネは安い」という発電コストだけを比較する。</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・技術自給度の観点（追加条件）を論じず、コストとCO2のみで比較する。</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・「核融合はコスト・稼働率が未確定」という表の数値を論の前提として示すことで、課題文の楽観論への留保を示せる。</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・稼働率×設備容量の計算（太陽光12% vs 原子力70%→約6倍の差）を示すことで「安定供給のための再エネ設備量」の問題が定量的になる。</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・「太陽光パネルの輸入依存」と「核融合・水力の技術保有」という対比で技術自給度の追加条件を満たせる。</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・表では核融合のコストと稼働率はいずれも「未確定」だ。この不確実性は論の前提として認識しなければならない。</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・同じ設備容量〜を想定すると、稼働率〜の〜は〜しか供給できないが、稼働率〜の〜は〜を供給できる。この差は約〜倍だ。</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・技術自給度の観点からエネルギー安全保障を論じると、〜は〜という脆弱性を持つ。一方、〜は〜が高い。</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・「確実な短中期・可能性を開く長期」という段階的な配分が最も合理的だ。</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・核融合の「コスト・稼働率未確定」という資料の限界を示せていたか。</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・稼働率の差が実質供給能力に与える影響を計算できていたか（追加条件）。</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・技術自給度の観点からエネルギー安全保障を論じられていたか（追加条件）。</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5B2">
      <w:pPr>
        <w:pStyle w:val="Heading1"/>
        <w:rPr>
          <w:b w:val="1"/>
          <w:bCs w:val="1"/>
          <w:color w:val="1a3a6b"/>
          <w:sz w:val="28"/>
          <w:szCs w:val="28"/>
        </w:rPr>
      </w:pPr>
      <w:bookmarkStart w:colFirst="0" w:colLast="0" w:name="_m0xrw33u0efi" w:id="25"/>
      <w:bookmarkEnd w:id="25"/>
      <w:r w:rsidDel="00000000" w:rsidR="00000000" w:rsidRPr="00000000">
        <w:rPr>
          <w:rFonts w:ascii="Arial Unicode MS" w:cs="Arial Unicode MS" w:eastAsia="Arial Unicode MS" w:hAnsi="Arial Unicode MS"/>
          <w:b w:val="1"/>
          <w:bCs w:val="1"/>
          <w:color w:val="1a3a6b"/>
          <w:sz w:val="28"/>
          <w:szCs w:val="28"/>
          <w:rtl w:val="0"/>
        </w:rPr>
        <w:t xml:space="preserve">【問題 No.19】　表型／問題解決</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【引用】デジタル庁「デジタル社会の実現に向けた重点計画」（2023年）：「行政手続きのオンライン化100%を目指し、マイナンバーカードを基盤としたデジタルインフラを整備する。」</w:t>
      </w:r>
    </w:p>
    <w:tbl>
      <w:tblPr>
        <w:tblStyle w:val="Table4"/>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2"/>
        <w:gridCol w:w="1701.2"/>
        <w:gridCol w:w="1701.2"/>
        <w:gridCol w:w="1701.2"/>
        <w:gridCol w:w="1701.2"/>
        <w:tblGridChange w:id="0">
          <w:tblGrid>
            <w:gridCol w:w="1701.2"/>
            <w:gridCol w:w="1701.2"/>
            <w:gridCol w:w="1701.2"/>
            <w:gridCol w:w="1701.2"/>
            <w:gridCol w:w="1701.2"/>
          </w:tblGrid>
        </w:tblGridChange>
      </w:tblGrid>
      <w:tr>
        <w:trPr>
          <w:cantSplit w:val="0"/>
          <w:tblHeader w:val="0"/>
        </w:trPr>
        <w:tc>
          <w:tcPr>
            <w:shd w:fill="d0d3d4"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行政手続き</w:t>
            </w:r>
          </w:p>
        </w:tc>
        <w:tc>
          <w:tcPr>
            <w:shd w:fill="d0d3d4" w:val="clear"/>
            <w:tcMar>
              <w:top w:w="100.0" w:type="dxa"/>
              <w:left w:w="100.0" w:type="dxa"/>
              <w:bottom w:w="100.0" w:type="dxa"/>
              <w:right w:w="100.0" w:type="dxa"/>
            </w:tcMar>
            <w:vAlign w:val="top"/>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オンライン化率（2023年）</w:t>
            </w:r>
          </w:p>
        </w:tc>
        <w:tc>
          <w:tcPr>
            <w:shd w:fill="d0d3d4" w:val="clear"/>
            <w:tcMar>
              <w:top w:w="100.0" w:type="dxa"/>
              <w:left w:w="100.0" w:type="dxa"/>
              <w:bottom w:w="100.0" w:type="dxa"/>
              <w:right w:w="10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年間申請件数（万件）</w:t>
            </w:r>
          </w:p>
        </w:tc>
        <w:tc>
          <w:tcPr>
            <w:shd w:fill="d0d3d4" w:val="clear"/>
            <w:tcMar>
              <w:top w:w="100.0" w:type="dxa"/>
              <w:left w:w="100.0" w:type="dxa"/>
              <w:bottom w:w="100.0" w:type="dxa"/>
              <w:right w:w="100.0" w:type="dxa"/>
            </w:tcMar>
            <w:vAlign w:val="top"/>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平均処理時間（窓口）</w:t>
            </w:r>
          </w:p>
        </w:tc>
        <w:tc>
          <w:tcPr>
            <w:shd w:fill="d0d3d4" w:val="clear"/>
            <w:tcMar>
              <w:top w:w="100.0" w:type="dxa"/>
              <w:left w:w="100.0" w:type="dxa"/>
              <w:bottom w:w="100.0" w:type="dxa"/>
              <w:right w:w="100.0" w:type="dxa"/>
            </w:tcMar>
            <w:vAlign w:val="top"/>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課題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確定申告（e-Tax）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67%</w:t>
            </w:r>
          </w:p>
        </w:tc>
        <w:tc>
          <w:tcPr>
            <w:shd w:fill="auto" w:val="clear"/>
            <w:tcMar>
              <w:top w:w="100.0" w:type="dxa"/>
              <w:left w:w="100.0" w:type="dxa"/>
              <w:bottom w:w="100.0" w:type="dxa"/>
              <w:right w:w="100.0" w:type="dxa"/>
            </w:tcMar>
            <w:vAlign w:val="top"/>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2,200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30分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高齢者対応</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住民票交付</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8,500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15分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マイナカード普及率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児童手当申請</w:t>
            </w:r>
          </w:p>
        </w:tc>
        <w:tc>
          <w:tcPr>
            <w:shd w:fill="auto" w:val="clear"/>
            <w:tcMar>
              <w:top w:w="100.0" w:type="dxa"/>
              <w:left w:w="100.0" w:type="dxa"/>
              <w:bottom w:w="100.0" w:type="dxa"/>
              <w:right w:w="100.0" w:type="dxa"/>
            </w:tcMar>
            <w:vAlign w:val="top"/>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320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45分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システム連携</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介護保険申請</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60分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書類複雑・高齢者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パスポート申請</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450</w:t>
            </w:r>
          </w:p>
        </w:tc>
        <w:tc>
          <w:tcPr>
            <w:shd w:fill="auto" w:val="clear"/>
            <w:tcMar>
              <w:top w:w="100.0" w:type="dxa"/>
              <w:left w:w="100.0" w:type="dxa"/>
              <w:bottom w:w="100.0" w:type="dxa"/>
              <w:right w:w="100.0" w:type="dxa"/>
            </w:tcMar>
            <w:vAlign w:val="top"/>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20分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本人確認</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生活保護申請</w:t>
            </w:r>
          </w:p>
        </w:tc>
        <w:tc>
          <w:tcPr>
            <w:shd w:fill="auto" w:val="clear"/>
            <w:tcMar>
              <w:top w:w="100.0" w:type="dxa"/>
              <w:left w:w="100.0" w:type="dxa"/>
              <w:bottom w:w="100.0" w:type="dxa"/>
              <w:right w:w="100.0" w:type="dxa"/>
            </w:tcMar>
            <w:vAlign w:val="top"/>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90分</w:t>
            </w:r>
          </w:p>
        </w:tc>
        <w:tc>
          <w:tcPr>
            <w:shd w:fill="auto" w:val="clear"/>
            <w:tcMar>
              <w:top w:w="100.0" w:type="dxa"/>
              <w:left w:w="100.0" w:type="dxa"/>
              <w:bottom w:w="100.0" w:type="dxa"/>
              <w:right w:w="100.0" w:type="dxa"/>
            </w:tcM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プライバシー・審査</w:t>
            </w:r>
          </w:p>
        </w:tc>
      </w:tr>
    </w:tbl>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0"/>
          <w:szCs w:val="20"/>
        </w:rPr>
      </w:pPr>
      <w:r w:rsidDel="00000000" w:rsidR="00000000" w:rsidRPr="00000000">
        <w:rPr>
          <w:rtl w:val="0"/>
        </w:rPr>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表と引用を踏まえ、行政手続きのデジタル化推進において、どの手続きから優先的にオンライン化を進めるべきか。優先順位と根拠を示し、政策を提言せよ。</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申請件数×現在の窓口処理時間」から「デジタル化による削減効果の試算」を行い、費用対効果を定量的に示すこと。生活保護など「脆弱層が使う手続き」のデジタル化に伴うリスクも論じること。</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【読み取りのヒント】単純にオンライン化率が低い手続きを優先するだけでは不十分。「件数×効果」「難易度」「利用者層の特性」を組み合わせて優先順位を判断すること。</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申請件数×処理時間」の試算（追加条件）：住民票8,500万件×15分＝127,500万分（2,125万時間）。これをオンライン化で80%削減できれば約1,700万時間の効率化。確定申告も2,200万件×30分で大きな効果。この計算で「住民票のデジタル化が最大の費用対効果」という結論が導ける。</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脆弱層が使う手続き（生活保護）のデジタル化リスク」を論じること（追加条件）：生活保護申請はオンライン化率3%で件数も少ないが、申請者は生活困窮・ホームレス・高齢者などデジタルから最も遠い層。オンライン化推進によるアクセス排除リスク。</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・優先順位の軸を明確に示すこと：件数×効果（費用対効果）・利用者層（デジタル対応可能か）・技術的難易度の三軸で整理する。</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・「オンライン化率が低い手続き＝次に対応すべき」という単純な発想を超え、利用者層の特性を考慮することがreadingHintsの核心。</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表型・問題解決の問題。「申請件数×処理時間」の試算が追加条件の核心。住民票8,500万件×15分=127,500万分（約2,125万時間）vs 生活保護25万件×90分=2,250万分（約37.5万時間）という規模の差が「住民票のデジタル化が最も費用対効果が高い」という結論を支える。一方、生活保護のオンライン化率3%は「技術的に難しいから」ではなく「利用者層がデジタル弱者だから」という理由が大きい。生活保護申請をデジタル化すると申請へのアクセスが困難になるリスクがある（追加条件）。</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・件数×処理時間による費用対効果の定量化</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・利用者層の特性（一般市民向けvs脆弱層向け）による優先度の差</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・「オンライン化率が低い＝次に対応すべき」という単純な発想の誤り</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・生活保護申請のデジタル化と脆弱層のアクセス排除リスク</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優先順位の判断軸（件数×効果・利用者層・難易度）を示す。本論1：「申請件数×処理時間」の計算による費用対効果の試算（追加条件）→住民票が最優先。本論2：生活保護など脆弱層が使う手続きのデジタル化リスク（追加条件）。優先順位の提示：住民票→確定申告（既に進捗）→パスポート→児童手当→介護保険→生活保護（デジタル対応が最後）。結論：「費用対効果が高く技術的に容易な手続きから進め、脆弱層が使う手続きは最後」という方針。</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費用対効果の試算（追加条件）：住民票：8,500万件×15分=127,500万分（2,125万時間）。80%削減できれば1,700万時間の効率化。確定申告：2,200万件×30分=66,000万分（1,100万時間）、既に67%オンライン化。介護保険：600万件×60分=36,000万分（600万時間）。件数と処理時間を組み合わせた効果では住民票が最大。</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優先順位（三軸評価）：①費用対効果：住民票（最大）・確定申告（次点）。②利用者層：一般市民（高デジタル対応力）→優先。高齢者・脆弱層→後回し。③難易度：住民票（技術的シンプル）・生活保護（審査・プライバシー複雑）。</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脆弱層リスク（追加条件）：生活保護申請者はホームレス・生活困窮・高齢者など最もデジタルから遠い層。オンライン化を推進すると「申請しにくくなる」という申請抑制効果が生じ、本来受給できるべき人が排除されるリスク。アナログ窓口の維持が必須。</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策提言：第1優先：住民票（高件数・低難易度・一般市民利用）のオンライン化率を12%から50%以上へ（マイナカード活用・コンビニ交付の普及）。第2優先：パスポート・児童手当（中件数・中難易度）。最後：生活保護はアナログ対応を維持しながら「希望者のみオンライン選択可」という慎重なアプローチ。</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行政手続きのデジタル化を推進するにあたり、単純に「オンライン化率が低い手続き」から順に取り組むことは適切ではない。件数×効果（費用対効果）・利用者層の特性・技術的難易度という三軸で優先順位を判断すべきだ。</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申請件数×処理時間」から費用対効果を試算する。住民票交付は年間8,500万件・窓口処理時間15分であり、単純計算で約2,125万時間が窓口対応に費やされている。仮にオンライン化で80%削減できれば、約1,700万時間の効率化が実現する。確定申告は2,200万件×30分で約1,100万時間（既に67%オンライン化が進捗）。介護保険申請は600万件×60分で約600万時間と件数が少ないが処理時間は長い。この計算から、住民票のデジタル化が最も高い費用対効果をもたらすと推計できる。</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住民票は現在オンライン化率12%と低いが、利用者層は一般市民（デジタル対応可能者が多い）であり、手続きの技術的難易度も比較的低い。マイナンバーカードを基盤としたコンビニ交付の普及拡大が最優先の施策となる。次に、パスポート（29%）・児童手当（41%）の推進が費用対効果と利用者層の観点から妥当だ。</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一方で、生活保護申請（オンライン化率3%）のデジタル化には重大なリスクが伴う。生活保護申請者の多くはホームレス・高齢者・生活困窮者など、デジタルアクセスから最も遠い層だ。オンライン化を推進すると「申請の敷居が高くなる」という申請抑制効果が生じ、本来受給できるべき人が支援から排除される恐れがある。生活保護については、アナログ窓口対応を原則維持しながら、希望者がオンラインで申請できる「選択的導入」にとどめるべきだ。介護保険申請も高齢者が主な利用者であることから、同様の慎重なアプローチが必要だ。</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デジタル庁の「オンライン化100%」という目標は、効率化という観点では正当だが、「100%」という数値が脆弱層の排除につながらないよう、アナログ手段の維持と並行して進めることが、真に誰もが利用できるデジタル社会の実現条件だ。</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申請件数×処理時間」という費用対効果の試算（住民票2,125万時間・確定申告1,100万時間）を具体的に計算して追加条件を満たしている。三軸（費用対効果・利用者層・難易度）による優先順位の整理がreadingHintsの「件数×効果・難易度・利用者層の特性の組み合わせ」に直接応答している。生活保護の「申請抑制効果と排除リスク」という追加条件への応答が鋭い。「100%という目標が脆弱層排除につながらないよう」という最後の留保が政策論の完成度を高めている。</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・オンライン化率が低い手続き（生活保護3%・介護保険8%）を「最も優先すべき」と単純に判断し、利用者層の特性を考慮していない（readingHints未充足）。</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・費用対効果の試算（件数×処理時間）を計算せず「件数が多い手続きを優先すべき」という定性的な判断にとどまっている（追加条件未達）。</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・生活保護など脆弱層が使う手続きのデジタル化リスクを論じていない（追加条件未達）。</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・「件数×処理時間」の計算（住民票2,125万時間・介護保険600万時間）を示すことで追加条件を定量的に満たせる。</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・「オンライン化率が低い手続き＝次に対応すべき」という発想の誤りを、「利用者層がデジタル弱者だから低い」という逆の理由で示す。</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・生活保護の「申請抑制効果（デジタル化すると申請しにくくなる）」というリスクを追加条件として具体的に論じる。</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・単純に「オンライン化率が低い手続き」から順に取り組むことは適切ではない。〜・〜・〜という三軸で優先順位を判断すべきだ。</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・「申請件数×処理時間」から費用対効果を試算する。〜は年間〜万件・〜分であり、約〜万時間が窓口対応に費やされている。</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・〜のデジタル化には重大なリスクが伴う。〜という申請抑制効果が生じ、〜が排除される恐れがある。</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・「〜%」という数値目標が〜につながらないよう、〜と並行して進めることが〜の実現条件だ。</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・「申請件数×処理時間」の費用対効果試算を計算できていたか（追加条件）。</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・「オンライン化率が低い＝優先すべき」という誤った前提を批判できていたか（readingHints）。</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・生活保護など脆弱層が使う手続きのデジタル化リスクを論じられていたか（追加条件）。</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617">
      <w:pPr>
        <w:pStyle w:val="Heading1"/>
        <w:rPr>
          <w:b w:val="1"/>
          <w:bCs w:val="1"/>
          <w:color w:val="1a3a6b"/>
          <w:sz w:val="28"/>
          <w:szCs w:val="28"/>
        </w:rPr>
      </w:pPr>
      <w:bookmarkStart w:colFirst="0" w:colLast="0" w:name="_568ndie3ejz6" w:id="26"/>
      <w:bookmarkEnd w:id="26"/>
      <w:r w:rsidDel="00000000" w:rsidR="00000000" w:rsidRPr="00000000">
        <w:rPr>
          <w:rFonts w:ascii="Arial Unicode MS" w:cs="Arial Unicode MS" w:eastAsia="Arial Unicode MS" w:hAnsi="Arial Unicode MS"/>
          <w:b w:val="1"/>
          <w:bCs w:val="1"/>
          <w:color w:val="1a3a6b"/>
          <w:sz w:val="28"/>
          <w:szCs w:val="28"/>
          <w:rtl w:val="0"/>
        </w:rPr>
        <w:t xml:space="preserve">【問題 No.20】　表型／複合評価</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【引用】WHO Global Status Report on Physical Activity（2022）：「Insufficient physical activity costs countries around USD 27 billion annually in healthcare.」</w:t>
      </w:r>
    </w:p>
    <w:tbl>
      <w:tblPr>
        <w:tblStyle w:val="Table5"/>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2"/>
        <w:gridCol w:w="1701.2"/>
        <w:gridCol w:w="1701.2"/>
        <w:gridCol w:w="1701.2"/>
        <w:gridCol w:w="1701.2"/>
        <w:tblGridChange w:id="0">
          <w:tblGrid>
            <w:gridCol w:w="1701.2"/>
            <w:gridCol w:w="1701.2"/>
            <w:gridCol w:w="1701.2"/>
            <w:gridCol w:w="1701.2"/>
            <w:gridCol w:w="1701.2"/>
          </w:tblGrid>
        </w:tblGridChange>
      </w:tblGrid>
      <w:tr>
        <w:trPr>
          <w:cantSplit w:val="0"/>
          <w:tblHeader w:val="0"/>
        </w:trPr>
        <w:tc>
          <w:tcPr>
            <w:shd w:fill="d0d3d4"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指標</w:t>
            </w:r>
          </w:p>
        </w:tc>
        <w:tc>
          <w:tcPr>
            <w:shd w:fill="d0d3d4" w:val="clear"/>
            <w:tcMar>
              <w:top w:w="100.0" w:type="dxa"/>
              <w:left w:w="100.0" w:type="dxa"/>
              <w:bottom w:w="100.0" w:type="dxa"/>
              <w:right w:w="100.0" w:type="dxa"/>
            </w:tcMar>
            <w:vAlign w:val="top"/>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日本</w:t>
            </w:r>
          </w:p>
        </w:tc>
        <w:tc>
          <w:tcPr>
            <w:shd w:fill="d0d3d4"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米国</w:t>
            </w:r>
          </w:p>
        </w:tc>
        <w:tc>
          <w:tcPr>
            <w:shd w:fill="d0d3d4" w:val="clear"/>
            <w:tcMar>
              <w:top w:w="100.0" w:type="dxa"/>
              <w:left w:w="100.0" w:type="dxa"/>
              <w:bottom w:w="100.0" w:type="dxa"/>
              <w:right w:w="100.0" w:type="dxa"/>
            </w:tcMar>
            <w:vAlign w:val="top"/>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デンマーク</w:t>
            </w:r>
          </w:p>
        </w:tc>
        <w:tc>
          <w:tcPr>
            <w:shd w:fill="d0d3d4" w:val="clear"/>
            <w:tcMar>
              <w:top w:w="100.0" w:type="dxa"/>
              <w:left w:w="100.0" w:type="dxa"/>
              <w:bottom w:w="100.0" w:type="dxa"/>
              <w:right w:w="100.0" w:type="dxa"/>
            </w:tcMar>
            <w:vAlign w:val="top"/>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韓国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運動不足人口比率（%）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39.5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35.6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平均寿命（歳）</w:t>
            </w:r>
          </w:p>
        </w:tc>
        <w:tc>
          <w:tcPr>
            <w:shd w:fill="auto" w:val="clear"/>
            <w:tcMar>
              <w:top w:w="100.0" w:type="dxa"/>
              <w:left w:w="100.0" w:type="dxa"/>
              <w:bottom w:w="100.0" w:type="dxa"/>
              <w:right w:w="10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81.6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83.6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医療費GDP比（%）</w:t>
            </w:r>
          </w:p>
        </w:tc>
        <w:tc>
          <w:tcPr>
            <w:shd w:fill="auto" w:val="clear"/>
            <w:tcMar>
              <w:top w:w="100.0" w:type="dxa"/>
              <w:left w:w="100.0" w:type="dxa"/>
              <w:bottom w:w="100.0" w:type="dxa"/>
              <w:right w:w="100.0" w:type="dxa"/>
            </w:tcMar>
            <w:vAlign w:val="top"/>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16.8</w:t>
            </w:r>
          </w:p>
        </w:tc>
        <w:tc>
          <w:tcPr>
            <w:shd w:fill="auto" w:val="clear"/>
            <w:tcMar>
              <w:top w:w="100.0" w:type="dxa"/>
              <w:left w:w="100.0" w:type="dxa"/>
              <w:bottom w:w="100.0" w:type="dxa"/>
              <w:right w:w="100.0" w:type="dxa"/>
            </w:tcMar>
            <w:vAlign w:val="top"/>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10.5</w:t>
            </w:r>
          </w:p>
        </w:tc>
        <w:tc>
          <w:tcPr>
            <w:shd w:fill="auto" w:val="clear"/>
            <w:tcMar>
              <w:top w:w="100.0" w:type="dxa"/>
              <w:left w:w="100.0" w:type="dxa"/>
              <w:bottom w:w="100.0" w:type="dxa"/>
              <w:right w:w="10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肥満率（%）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36.2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20.1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1日の平均歩数（歩）</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6,793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4,774</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8,982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6,827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スポーツ実施率（週1回以上、%）</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51.6</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データなし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67.0</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b w:val="1"/>
                <w:bCs w:val="1"/>
                <w:color w:val="1b4f72"/>
                <w:sz w:val="18"/>
                <w:szCs w:val="18"/>
                <w:rtl w:val="0"/>
              </w:rPr>
              <w:t xml:space="preserve">60.0</w:t>
            </w:r>
          </w:p>
        </w:tc>
      </w:tr>
    </w:tbl>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0"/>
          <w:szCs w:val="20"/>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表とWHO報告書を踏まえ、日本の運動・スポーツ政策について「低コストで高効果な施策」を優先するという観点から提言せよ。</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【追加条件】英語の引用（WHO）を自分で日本語に要約して使用すること。「平均寿命が長いのに運動不足率が高い」という日本の逆説的データをどう解釈するかを論じること。</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【読み取りのヒント】「寿命が長い＝健康政策が成功」とは限らない。医療費の大きさも考慮に入れること。デンマークの歩数・スポーツ実施率と医療費の関係も分析すること。</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・WHO英語引用の日本語要約（追加条件）：「WHOの報告書によれば、運動不足は世界の医療費に年間約270億ドルのコストをもたらしている」。</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平均寿命が長いのに運動不足率が高い」という逆説的データの解釈（追加条件）：①日本の長寿は運動より食事・医療アクセスによる可能性。②運動不足でも長寿なのは「他の要因（食習慣・社会的絆）が補っている」から。③長寿が維持できているうちに運動不足対策をしなければ将来の医療費が増大するという「予防原則」の観点。</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・デンマークとの比較が鍵：歩数8,982歩（日本6,793歩）・スポーツ実施率67%（日本51.6%）・医療費GDP比10.5%（日本10.9%）。より運動している国が医療費も低いという傾向を示す。</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・「低コストで高効果な施策」という観点（追加条件）：インフラ整備（遊歩道・自転車道）・歩数計アプリのポイント制度・通勤での歩行促進などが低コストで効果が期待できる。</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複合評価型・運動政策問題。英語引用の要約（追加条件）と逆説的データの解釈（追加条件）が核心。表から読み取れること：①日本は平均寿命84.3歳（最長）なのに運動不足率35.5%（韓国35.6%と同水準・デンマーク22%より高い）。②デンマークは運動不足率22%・歩数8,982・スポーツ実施率67%・医療費GDP比10.5%（日本10.9%より低い）という「よく運動する→医療費が低い」という関連を示している。逆説の解釈：日本の長寿は「食習慣・医療アクセス・社会的絆」という運動以外の要因が補完している可能性が高い。</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・WHO英語引用の日本語要約</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・「長寿なのに運動不足率が高い」という逆説の構造的解釈</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・デンマークの「高運動・低医療費」モデルの日本への示唆</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・「低コストで高効果」な施策の設計（インフラ・アプリ・行動変容）</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WHO英語引用を要約して使い（追加条件）、運動不足の経済的コストという問題を設定する。本論1：逆説の解釈（追加条件）—日本の長寿の要因分析と「運動不足が将来の医療費増大を招くリスク」。本論2：デンマークとの比較から示唆される方向性。「低コストで高効果」な施策の提言。結論：「長寿を維持しながら医療費を抑制するための予防的運動促進策」という方針。</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WHO引用の日本語要約：WHOの2022年報告書によれば、運動不足は世界の医療費に年間約270億ドルのコストをもたらしているという。この数値は「運動促進への投資が医療費削減という形で回収される」という費用対効果の根拠になる。</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逆説の解釈：日本が「運動不足率35.5%なのに世界最長寿（84.3歳）」である理由：①和食（塩分過多の問題はあるが野菜・魚中心）という食習慣。②医療アクセスが良好（国民皆保険）。③社会的絆（地域コミュニティの維持）というソーシャルキャピタル。これらが運動不足を補完している可能性がある。ただし肥満率4.3%という低さも長寿に貢献している。</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デンマークの示唆：デンマークは歩数8,982（日本より2,000歩多い）・スポーツ実施率67%（日本51.6%）・医療費GDP比10.5%（日本10.9%より低い）。「よく運動する国は医療費が低い」という関連を示唆しているが、これも相関であり因果断定はできない（生活様式全体の違いがある）。</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低コスト高効果な施策：①歩数計アプリ×ポイント制度（通勤・日常の歩行を可視化し、健康保険の自己負担軽減と連動）。②会社・学校での「歩いて通勤」促進（自転車・徒歩通勤への通勤費補助）。③遊歩道・サイクリングロードの整備（既存インフラの改修で比較的低コスト）。</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WHOの2022年報告書によれば、運動不足は世界の医療費に年間約270億ドルものコストをもたらしているという。この数値は「運動促進への投資が医療費削減という形で回収される」という費用対効果の論拠になる。</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表を分析すると、日本の逆説的なデータが目を引く。日本は平均寿命84.3歳と国際比較で最長なのに、運動不足人口比率は35.5%とデンマーク（22.0%）より大幅に高い。「長寿なのに運動不足」というこの逆説をどう解釈するか。日本の長寿の要因は運動だけでなく、魚・野菜中心の食習慣・国民皆保険による医療アクセスの良さ・地域コミュニティというソーシャルキャピタルによって補完されている可能性が高い。また肥満率4.3%という低さも長寿に貢献している。この解釈が正しいとすれば、「現在は長寿でも、これらの補完要因が弱まれば（食の欧米化・コミュニティの崩壊）運動不足が将来の医療費増大を招くリスクがある」という予防原則の観点が重要になる。</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デンマークとの比較から示唆を得る。デンマークは1日平均歩数8,982歩（日本6,793歩より2,200歩多い）・スポーツ実施率67%（日本51.6%より高い）・医療費GDP比10.5%（日本10.9%より低い）という数値を示している。「よく運動する国が医療費も低い」という関連は示唆的だが、生活様式全体の違いがあるため因果断定はできない。しかし「運動促進が医療費抑制と関連しうる」という方向性を支持する傍証として活用できる。</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低コストで高効果な施策」として三点を提言する。第一に、スマートフォン歩数計×健康ポイント制度だ。歩数目標の達成者に健康保険の自己負担を軽減するポイントを付与する仕組みは、アプリ活用という低コストな手段で行動変容を促せる。第二に、自転車・徒歩通勤への通勤費補助の拡充だ。現行の通勤費は公共交通や自動車中心だが、自転車・徒歩通勤への補助を加えることで日常の身体活動を増やせる。第三に、既存インフラを活用した歩行空間・サイクリングロードの整備だ。新規投資より既存道路の改修によって低コストで実現できる。</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日本の現在の長寿という「成功体験」に甘えずに、将来の医療費増大を予防的に抑制する運動促進策への投資は、「今は安くても将来高コストになる」という問題への先手対応として合理的だ。</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WHO英語引用の日本語要約が序論で自然に機能し、追加条件を満たしている。逆説的データ（長寿なのに運動不足）について「食習慣・医療アクセス・ソーシャルキャピタルが補完している可能性」という構造的解釈と「将来リスク（補完要因の弱体化）」という予防原則の観点を示した点が追加条件を高精度で満たしている。デンマークとの比較を「相関だが因果断定は不可」という留保をつけて活用した点が資料批判として機能している。</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・WHO英語引用を日本語要約せず英語のまま使うか、全く使わない（追加条件未達）。</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・「平均寿命が長いのに運動不足率が高い」という逆説を分析せず、「日本人は健康だ」という単純な評価をしてしまう（追加条件未達）。</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・「低コストで高効果」という観点を示さず、高コストの施策（新しい施設建設等）を提案してしまう。</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・WHO引用を「〜によれば、運動不足は年間約270億ドルの医療費コストをもたらす」という形で要約して使う（追加条件充足）。</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・逆説の解釈として「食習慣・医療アクセス・ソーシャルキャピタルが補完」と「将来リスク（予防原則）」という二側面を示す（追加条件充足）。</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・施策を「スマホ歩数計×ポイント制度・自転車通勤補助・既存インフラ改修」という低コスト三点で示す。</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・〜の報告書によれば、〜は〜に年間約〜ドルのコストをもたらしているという。</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・「〜なのに〜」というこの逆説をどう解釈するか。〜の要因は〜だけでなく、〜・〜・〜によって補完されている可能性が高い。</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・「〜する国が〜も低い」という関連は示唆的だが、〜があるため因果断定はできない。しかし〜という方向性を支持する傍証として活用できる。</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・「今は〜でも、〜が弱まれば〜を招くリスクがある」という予防原則の観点が重要になる。</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・WHO英語引用を自分で日本語要約して使えていたか（追加条件）。</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・「長寿なのに運動不足率が高い」という逆説を構造的に解釈できていたか（追加条件）。</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・「低コストで高効果」という観点から施策を提言できていたか。</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67C">
      <w:pPr>
        <w:pStyle w:val="Heading1"/>
        <w:rPr>
          <w:b w:val="1"/>
          <w:bCs w:val="1"/>
          <w:color w:val="1a3a6b"/>
          <w:sz w:val="28"/>
          <w:szCs w:val="28"/>
        </w:rPr>
      </w:pPr>
      <w:bookmarkStart w:colFirst="0" w:colLast="0" w:name="_brgqxhf46rgi" w:id="27"/>
      <w:bookmarkEnd w:id="27"/>
      <w:r w:rsidDel="00000000" w:rsidR="00000000" w:rsidRPr="00000000">
        <w:rPr>
          <w:rFonts w:ascii="Arial Unicode MS" w:cs="Arial Unicode MS" w:eastAsia="Arial Unicode MS" w:hAnsi="Arial Unicode MS"/>
          <w:b w:val="1"/>
          <w:bCs w:val="1"/>
          <w:color w:val="1a3a6b"/>
          <w:sz w:val="28"/>
          <w:szCs w:val="28"/>
          <w:rtl w:val="0"/>
        </w:rPr>
        <w:t xml:space="preserve">【問題 No.21】　複合型／政策設計</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【課題文A】格差社会は機会の不平等を生み、民主主義の根幹を脅かす。</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【補足データ】日本の所得・資産格差：上位1%の所得シェア（2019年）11.1%（米国19.0%・フランス11.6%）</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金融資産保有額の中央値：814万円・平均値：1,901万円（乖離が大きい）</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b4f72"/>
          <w:sz w:val="20"/>
          <w:szCs w:val="20"/>
        </w:rPr>
      </w:pPr>
      <w:r w:rsidDel="00000000" w:rsidR="00000000" w:rsidRPr="00000000">
        <w:rPr>
          <w:rFonts w:ascii="Arial Unicode MS" w:cs="Arial Unicode MS" w:eastAsia="Arial Unicode MS" w:hAnsi="Arial Unicode MS"/>
          <w:b w:val="1"/>
          <w:bCs w:val="1"/>
          <w:i w:val="1"/>
          <w:iCs w:val="1"/>
          <w:color w:val="1b4f72"/>
          <w:sz w:val="20"/>
          <w:szCs w:val="20"/>
          <w:rtl w:val="0"/>
        </w:rPr>
        <w:t xml:space="preserve">【引用】令和5年版 経済財政白書（2023）：「所得格差の固定化、特に親の所得が子どもの教育機会・所得に影響する「格差の世代間連鎖」が課題となっている。」</w:t>
      </w:r>
    </w:p>
    <w:tbl>
      <w:tblPr>
        <w:tblStyle w:val="Table6"/>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5"/>
        <w:gridCol w:w="2126.5"/>
        <w:gridCol w:w="2126.5"/>
        <w:gridCol w:w="2126.5"/>
        <w:tblGridChange w:id="0">
          <w:tblGrid>
            <w:gridCol w:w="2126.5"/>
            <w:gridCol w:w="2126.5"/>
            <w:gridCol w:w="2126.5"/>
            <w:gridCol w:w="2126.5"/>
          </w:tblGrid>
        </w:tblGridChange>
      </w:tblGrid>
      <w:tr>
        <w:trPr>
          <w:cantSplit w:val="0"/>
          <w:tblHeader w:val="0"/>
        </w:trPr>
        <w:tc>
          <w:tcPr>
            <w:shd w:fill="d0d3d4" w:val="clear"/>
            <w:tcMar>
              <w:top w:w="100.0" w:type="dxa"/>
              <w:left w:w="100.0" w:type="dxa"/>
              <w:bottom w:w="100.0" w:type="dxa"/>
              <w:right w:w="100.0" w:type="dxa"/>
            </w:tcMar>
            <w:vAlign w:val="top"/>
          </w:tcPr>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世帯年収別</w:t>
            </w:r>
          </w:p>
        </w:tc>
        <w:tc>
          <w:tcPr>
            <w:shd w:fill="d0d3d4"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大学進学率（%）</w:t>
            </w:r>
          </w:p>
        </w:tc>
        <w:tc>
          <w:tcPr>
            <w:shd w:fill="d0d3d4"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塾・習い事支出（万/年）</w:t>
            </w:r>
          </w:p>
        </w:tc>
        <w:tc>
          <w:tcPr>
            <w:shd w:fill="d0d3d4" w:val="clear"/>
            <w:tcMar>
              <w:top w:w="100.0" w:type="dxa"/>
              <w:left w:w="100.0" w:type="dxa"/>
              <w:bottom w:w="100.0" w:type="dxa"/>
              <w:right w:w="100.0" w:type="dxa"/>
            </w:tcMar>
            <w:vAlign w:val="top"/>
          </w:tcPr>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奨学金借用率（%）</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〜300万円</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27.3</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62.1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300〜600万円</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51.8</w:t>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45.3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600〜900万円</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44.7</w:t>
            </w:r>
          </w:p>
        </w:tc>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28.9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900万円〜</w:t>
            </w:r>
          </w:p>
        </w:tc>
        <w:tc>
          <w:tcPr>
            <w:shd w:fill="auto" w:val="clear"/>
            <w:tcMar>
              <w:top w:w="100.0" w:type="dxa"/>
              <w:left w:w="100.0" w:type="dxa"/>
              <w:bottom w:w="100.0" w:type="dxa"/>
              <w:right w:w="100.0" w:type="dxa"/>
            </w:tcMar>
            <w:vAlign w:val="top"/>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12.4</w:t>
            </w:r>
          </w:p>
        </w:tc>
      </w:tr>
    </w:tbl>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20"/>
          <w:szCs w:val="20"/>
        </w:rPr>
      </w:pPr>
      <w:r w:rsidDel="00000000" w:rsidR="00000000" w:rsidRPr="00000000">
        <w:rPr>
          <w:rtl w:val="0"/>
        </w:rPr>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24"/>
          <w:szCs w:val="24"/>
        </w:rPr>
      </w:pPr>
      <w:r w:rsidDel="00000000" w:rsidR="00000000" w:rsidRPr="00000000">
        <w:rPr>
          <w:rFonts w:ascii="Arial Unicode MS" w:cs="Arial Unicode MS" w:eastAsia="Arial Unicode MS" w:hAnsi="Arial Unicode MS"/>
          <w:b w:val="1"/>
          <w:bCs w:val="1"/>
          <w:i w:val="1"/>
          <w:iCs w:val="1"/>
          <w:color w:val="1b4f72"/>
          <w:sz w:val="24"/>
          <w:szCs w:val="24"/>
          <w:rtl w:val="0"/>
        </w:rPr>
        <w:t xml:space="preserve">複数の資料を統合し、教育を通じた「格差の世代間連鎖」の構造を分析し、教育機会の平等化に向けた政策パッケージを提言せよ。</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【追加条件】「大学無償化」「給付型奨学金の拡充」「就学前教育の充実」の3施策を比較し、費用対効果と対象層の観点から優先順位を示すこと。複数資料間の矛盾・補完関係も指摘すること。</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Fonts w:ascii="Arial Unicode MS" w:cs="Arial Unicode MS" w:eastAsia="Arial Unicode MS" w:hAnsi="Arial Unicode MS"/>
          <w:b w:val="1"/>
          <w:bCs w:val="1"/>
          <w:i w:val="1"/>
          <w:iCs w:val="1"/>
          <w:color w:val="6c3483"/>
          <w:sz w:val="20"/>
          <w:szCs w:val="20"/>
          <w:rtl w:val="0"/>
        </w:rPr>
        <w:t xml:space="preserve">【読み取りのヒント】平均値と中央値の乖離は「分布の偏り」を示す。表の大学進学率の傾きから「年収ごとの格差の大きさ」を定量的に読み取ること。</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・平均値（1,901万円）と中央値（814万円）の乖離（約2.3倍）の意味：高資産層が平均を大きく引き上げており、「多くの世帯は中央値以下」という分布の偏りを示す。</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・表の定量的読み取り：大学進学率が「〜300万円世帯：27.3%」から「900万円〜世帯：82.1%」まで約3倍の差がある。塾支出も「11.2万円→68.3万円」と約6倍の差。これが「格差の世代間連鎖の数値的証拠」。</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3施策の比較（追加条件）：①大学無償化（高コスト・対象は高学年→格差連鎖への介入が遅い）。②給付型奨学金拡充（中コスト・即効性あり・就学前より費用対効果が低い）。③就学前教育充実（低コストで格差連鎖を最上流で断ち切る・費用対効果が最も高い）。</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複数資料間の補完関係と矛盾の指摘（追加条件）：白書（格差の世代間連鎖）と表（年収別教育格差）は補完し合っている。補足データ（平均vs中央値の乖離）は「格差が上位層に集中している」という白書の文脈を数量的に裏付ける。矛盾：白書は「課題がある」と指摘するが解決策の詳細はなく、表のデータが示す格差の深刻さとのギャップがある。</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複合型・政策設計問題。複数資料（補足データ・白書引用・表データ）の統合が求められる。表から読み取れる格差の構造：大学進学率が年収〜300万円の27.3%から900万円以上の82.1%まで約3倍の差→「年収によって大学進学の可能性が3倍変わる」という衝撃的な不平等。3施策の費用対効果比較（追加条件）：就学前教育は0〜6歳への投資で「格差連鎖の最上流介入」→格差が形成される前に介入できる・費用対効果が最も高い（ノーベル経済学賞ヘックマン教授の研究参照）。大学無償化は「大学進学段階での介入」→すでに格差が固定化した後への対応で、根本的解決にはならない。</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・平均と中央値の乖離が示す「偏った分布」の意味</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・表の大学進学率格差（3倍）・塾支出格差（6倍）という格差の定量化</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・3施策の費用対効果比較（就学前&gt;給付型奨学金&gt;大学無償化）</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・複数資料の補完関係と「白書の記述 vs 表の深刻さのギャップ」という矛盾</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補足データ（平均vs中央値の乖離）と表の大学進学率格差（3倍）を数値で示し、格差の深刻さを確立する。白書引用で「世代間連鎖」という政策フレームを設定。本論1：格差の世代間連鎖の構造分析（資料統合）。本論2：3施策の費用対効果・対象層による優先順位（追加条件）。資料間の補完・矛盾の指摘（追加条件）。結論：就学前教育充実を最優先とした政策パッケージ。</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資料の統合：補足データ（平均値vs中央値乖離）→上位層への資産集中を示す。表（大学進学率格差）→年収によって大学進学の可能性が3倍変わる現実。白書（格差の世代間連鎖）→これが親→子へと連鎖する構造。三者が統合されて「格差が自己強化的に継続する」という構造が示される。</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補完関係と矛盾：補完：白書の「格差の世代間連鎖」という概念を、表の数値（進学率3倍差）が具体的に裏付けている。矛盾：白書は課題を指摘するが解決策の強度と表が示す格差の深刻さにギャップがある。「課題がある」と「抜本的な介入が必要」の間の落差。</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3施策の優先順位：最優先：就学前教育（0〜6歳）の充実。理由：格差が形成される最上流への介入・費用対効果が最も高い（ヘックマン研究：就学前1ドルの投資は将来7〜12ドルのリターン）・低SES層の子どもの認知・非認知能力の発達を支援。第2優先：給付型奨学金の拡充（中学〜大学段階での経済的バリアの撤去）。最後：大学無償化（格差が固定化した後の段階への介入・高コスト・高所得層にも恩恵）。</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補足データによれば、日本の金融資産保有額の平均値（1,901万円）と中央値（814万円）の乖離は約2.3倍に達しており、資産が上位層に偏って分布していることを示している。さらに表から読み取れる教育格差は深刻だ。大学進学率は年収〜300万円世帯の27.3%から年収900万円以上世帯の82.1%まで約3倍の差があり、塾・習い事支出も11.2万円から68.3万円と約6倍の差がある。白書が指摘する「格差の世代間連鎖」の構造が、これらの数値によって具体的に裏付けられる。</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資料間の関係を整理すると、白書（格差の世代間連鎖という概念）と表（年収別教育格差の数値）は互いを補完している。しかし、白書が「課題がある」という記述にとどまるのに対し、表が示す格差の深刻さ（進学率3倍・塾支出6倍）との間には「課題認識の深度と対策の強度のギャップ」という矛盾がある。</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3施策を費用対効果と対象層の観点から比較する。最優先とすべきは「就学前教育（0〜6歳）の充実」だ。格差は就学前から形成されており、早期介入が最も費用対効果が高い。ヘックマン教授の研究によれば就学前への1ドルの投資は将来7〜12ドルのリターンをもたらすとされる。低SES層の子どもの認知・非認知能力の発達を支援することで、格差の連鎖を最上流で断ち切れる。</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第2優先は「給付型奨学金の拡充」だ。中学・高校・大学段階での経済的バリアを取り除くことで、就学前教育で育てた可能性を実現させる「第2の防衛線」として機能する。進学率62.1%が奨学金に依存している年収〜300万円世帯への給付型拡大は、借金を背負わせずに教育機会を保障する。</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大学無償化」は最後の優先度とする。大学段階は格差がすでに固定化した後への介入であり、根本的な格差解消にはつながりにくい。また高所得層の子どもも対象になるという所得再分配上の問題があり、費用に対する格差縮小効果が限られる。</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が指摘する「民主主義の根幹を脅かす格差」に対処するには、就学前教育充実を最優先にした上で奨学金拡充・選択的大学無償化を組み合わせる政策パッケージが、現時点で最も費用対効果の高いアプローチだ。</w:t>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補足データの「平均vs中央値の乖離（2.3倍）」という読み取りが「上位層への資産集中」という重要な論点を示している。表から「大学進学率3倍・塾支出6倍」という定量的な格差の証拠を示した点が資料批判として機能している。3施策の優先順位（就学前&gt;奨学金&gt;大学無償化）の根拠として「費用対効果（ヘックマン研究）」と「格差連鎖への介入タイミング（最上流）」という二軸を使っている。複数資料の補完関係と矛盾（白書の課題認識と対策の強度のギャップ）の指摘が追加条件を満たしている。</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・3施策を比較せず「すべてを実施すべき」という非優先順位的な提言になっている（追加条件未達）。</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・複数資料間の補完関係や矛盾を指摘せず、各資料を独立して使っている（追加条件未達）。</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・「就学前教育が最も費用対効果が高い」という理由（ヘックマン研究・最上流介入）を示せていない。</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・3施策の優先順位を「費用対効果（ヘックマン研究）×介入タイミング（最上流）」という論拠で示すと追加条件が完成する。</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・「白書の課題認識と表の格差の深刻さのギャップ」という矛盾を示すと複数資料統合の精度が上がる。</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・大学進学率の3倍差・塾支出の6倍差を具体的な数値で示すことで「格差の世代間連鎖」の現実的な規模感が伝わる。</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・〜の平均値（〜万円）と中央値（〜万円）の乖離は約〜倍に達しており、〜が上位層に偏って分布していることを示している。</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・資料間の関係を整理すると、〜と〜は互いを補完している。しかし〜との間には「〜のギャップ」という矛盾がある。</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・最優先とすべきは〜だ。〜が最上流への介入であり、費用対効果が最も高いからだ。</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・〜段階は格差がすでに固定化した後への介入であり、根本的な格差解消にはつながりにくい。</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・3施策を費用対効果と対象層の観点から比較し、優先順位を示せていたか（追加条件）。</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・複数資料間の補完関係と矛盾を指摘できていたか（追加条件）。</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・就学前教育を最優先とする根拠（ヘックマン研究・最上流介入）を示せていたか。</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6D5">
      <w:pPr>
        <w:pStyle w:val="Heading1"/>
        <w:rPr>
          <w:b w:val="1"/>
          <w:bCs w:val="1"/>
          <w:color w:val="1a3a6b"/>
          <w:sz w:val="28"/>
          <w:szCs w:val="28"/>
        </w:rPr>
      </w:pPr>
      <w:bookmarkStart w:colFirst="0" w:colLast="0" w:name="_1d9qw625jofn" w:id="28"/>
      <w:bookmarkEnd w:id="28"/>
      <w:r w:rsidDel="00000000" w:rsidR="00000000" w:rsidRPr="00000000">
        <w:rPr>
          <w:rFonts w:ascii="Arial Unicode MS" w:cs="Arial Unicode MS" w:eastAsia="Arial Unicode MS" w:hAnsi="Arial Unicode MS"/>
          <w:b w:val="1"/>
          <w:bCs w:val="1"/>
          <w:color w:val="1a3a6b"/>
          <w:sz w:val="28"/>
          <w:szCs w:val="28"/>
          <w:rtl w:val="0"/>
        </w:rPr>
        <w:t xml:space="preserve">【問題 No.22】　複合型／因果分析</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精神疾患患者数：2002年258万人→2020年614万人（2.4倍）</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自殺者数（2022年）：21,881人（うち30歳未満3,159人）</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職場のメンタル不調による休職者：2022年度6.6万人（過去最高）</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【引用】日本経済新聞（2023年9月10日）：「10代・20代の自殺増加が深刻で、SNSの影響やコロナ後の孤立感との関連が指摘されているが、直接の因果関係の証明は難しい。」</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【引用】自殺総合対策大綱（閣議決定）（2022年）：「誰も自殺に追い込まれることのない社会の実現を目指し、自殺対策を社会全体の課題として総合的かつ効果的に推進する。」</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複数の資料を統合し、若者のメンタルヘルス悪化の構造的原因を分析し、学校・職場・地域社会それぞれの役割を示した総合対策を提言せよ。</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患者数増加」が「実態の悪化」か「診断・受診率の向上」かを区別して論じること。「自殺とSNSの関係」について、日経の報道が「因果関係の証明は難しい」と述べている点を踏まえ、慎重に分析すること。</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【読み取りのヒント】2.4倍という数字は「病気が増えた」のか「病院に行くようになった」のかの区別が重要。記事が「因果関係の証明は難しい」と断っていることに注目すること。</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患者数増加が実態の悪化か診断率向上か」を区別する（追加条件）：両者が混在している可能性が高い。「病院に行くことへのスティグマ低下・認知度向上→受診率向上」という要因と「実際のストレス・社会的孤立の増加」という要因を分けて論じる。</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自殺とSNSの因果関係は証明が難しい」という引用の慎重な扱い（追加条件）：相関の可能性は認めながら、因果断定を避ける。「SNSが一因になりうる」という仮説と「SNSを通じた支援接続の可能性」という両面を示す。</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学校・職場・地域社会それぞれの役割という三層の整理（追加条件）：学校（早期発見・相談窓口）・職場（ストレスチェック・EAP）・地域（孤立対策・アウトリーチ）という異なる機能を持つ主体の役割分担。</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・自殺者の中の30歳未満3,159人（全体の14.4%）という若年層の高い比率を論の根拠として使うこと。</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複合型・因果分析の問題。患者数2.4倍の解釈（追加条件）：①実態の悪化（社会的孤立・長時間労働・コロナ後遺症）と②診断率の向上（スティグマ低下・啓発活動・医療アクセス改善）が両方寄与している可能性が高い。日経の「因果関係の証明は難しい」という注記（追加条件）は、SNSと自殺の相関を認めながら因果断定を慎重にするという資料批判の好例。三層の役割分担（追加条件）：学校（スクールカウンセラー常勤化・SOSの出し方教育）・職場（産業医強化・残業規制）・地域（よりそいホットライン・アウトリーチ訪問）。</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・患者数増加の「実態悪化 vs 診断率向上」という区別</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・自殺とSNSの「相関の可能性」と「因果断定の困難さ」の扱い</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・学校・職場・地域社会それぞれの機能の違いと役割分担</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・若年層（30歳未満）の自殺という特有の問題への対応</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データの「患者数2.4倍」の解釈を二分して提示し（追加条件）、問題の複雑さを示す。本論1：若者のメンタルヘルス悪化の構造的原因の分析（社会的孤立・コロナ後・長時間労働・SNSとの相関—日経引用の慎重な扱いを含む）。本論2：学校・職場・地域の三層の役割と具体的対策（追加条件）。自殺総合対策大綱の引用を政策の方向性として活用。結論：多主体連携の総合対策という方針。</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患者数2.4倍の解釈（追加条件）：実態悪化要因：コロナ禍の孤立・長時間労働・若者の経済不安・SNS依存。診断率向上要因：精神疾患へのスティグマの低下・メンタルヘルスへの社会的認知向上・医療アクセスの改善。両者が混在しており、どちらが主因かを断定するには追加のデータが必要。</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SNSと自殺の慎重な扱い（追加条件）：日経が「直接の因果関係の証明は難しい」と断っている。これは「相関の可能性を否定しない」という意味。SNSが孤立した若者の自殺念慮の増幅に関与しうるという仮説は成立するが、「SNSを規制すれば自殺が減る」という断定はできない。一方、SNSは支援接続の手段にもなりうる（いのちの電話のSNS版・ゲートキーパー育成のSNS活用）。</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三層の役割分担（追加条件）：学校：SOSの出し方教育・スクールカウンセラーの常勤化・担任教員のメンタルヘルス研修。職場：ストレスチェック義務の強化・産業医の機能強化・残業規制の実効性強化・EAP（従業員支援プログラム）の普及。地域：孤立した若者へのアウトリーチ（訪問支援）・よりそいホットライン等の相談窓口の認知向上・ピアサポートの育成。</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補足データによれば、精神疾患患者数は2002年の258万人から2020年の614万人へと2.4倍に増加した。しかし、この数値を「メンタルヘルスの実態が2.4倍悪化した」と単純に解釈することは誤りだ。実態の悪化（社会的孤立の深刻化・コロナ禍の影響・若者の経済不安）と診断率の向上（精神疾患へのスティグマ低下・医療アクセスの改善・社会的認知の向上）が混在している可能性が高い。どちらが主因かを断定するには別途の調査が必要だ。</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10代・20代の自殺とSNSの関係」について、日経の報道は「因果関係の証明は難しい」と慎重に記述している。この姿勢は重要だ。相関の可能性（孤立した若者がSNSに時間を費やし、自殺念慮が増幅されうる）は否定しない。しかし「SNSが自殺の原因」という因果断定は証拠不十分だ。一方、SNSは支援接続の手段にもなりうるため（若者向け相談窓口のSNS版・ゲートキーパーのSNS活用）、「規制」より「活用しながら支援を届ける」という方向性が合理的だ。</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若者のメンタルヘルス悪化の構造的原因として、学業・就職プレッシャーの高まり・コロナ後の社会的孤立の長期化・社会経済的不安（非正規雇用・将来の年金不安）・睡眠不足という多層的な要因が絡んでいる。2022年の自殺者21,881人のうち30歳未満が3,159人（14.4%）という比率は、若年層への重点的な対策の必要性を示す。</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総合対策として、学校・職場・地域社会それぞれの役割を示す。学校では「SOSの出し方教育」の全校実施・スクールカウンセラーの常勤化・担任教員への初期対応研修が必要だ。職場ではストレスチェック義務の強化と産業医の機能拡充・EAP（従業員支援プログラム）の普及が求められる。地域社会では、孤立した若者へのアウトリーチ訪問支援・相談窓口（よりそいホットライン等）のSNSを通じた認知向上・同じ経験を持つ仲間によるピアサポートの育成が有効だ。</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自殺総合対策大綱が示す「誰も自殺に追い込まれることのない社会」の実現には、単一機関の努力では不可能で、学校・職場・地域・医療が連携した多主体の総合対策が必要だ。</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患者数2.4倍の「実態悪化 vs 診断率向上」という二分した解釈が追加条件を正確に満たしている。日経引用の「因果関係の証明は難しい」という注記を「相関の可能性は認めるが断定はしない」という形で慎重に扱い、「規制より活用」という政策方向性につなげた点が追加条件の高精度な充足。三層（学校・職場・地域）それぞれに具体的な施策を示した点が追加条件を完全に満たしている。</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・患者数2.4倍を「メンタルヘルスが2.4倍悪化した」と断定し、診断率向上という可能性を区別していない（追加条件未達）。</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・「自殺とSNSの関係」を断定し、日経の「因果関係の証明は難しい」という注記を無視している（追加条件未達）。</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・学校・職場・地域の三層に分けず「支援を充実させる」という一般論になっている（追加条件未達）。</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・「患者数増加＝実態悪化」と断定せず「実態悪化+診断率向上の混在」という解釈を示すことで追加条件を満たせる。</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・「日経が因果断定を慎重にしている」という引用の使い方を「相関の可能性を認めながら断定を避ける」という形で示す。</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・三層（学校・職場・地域）それぞれに「異なる機能の具体的施策（SOSの出し方教育・EAP・アウトリーチ）」を示すと追加条件が完成する。</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・この数値を〜が〜倍悪化したと単純に解釈することは誤りだ。〜と〜が混在している可能性が高い。</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・〜は「因果関係の証明は難しい」と慎重に記述している。この姿勢は重要だ。〜の可能性は否定しない。しかし〜という断定は証拠不十分だ。</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・総合対策として、〜・〜・〜それぞれの役割を示す。〜では〜が必要だ。〜では〜が求められる。〜では〜が有効だ。</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・患者数増加が「実態悪化か診断率向上か」を区別して論じられていたか（追加条件）。</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・「自殺とSNSの因果関係は証明困難」という引用の慎重な扱いができていたか（追加条件）。</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・学校・職場・地域それぞれの具体的役割を示せていたか（追加条件）。</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718">
      <w:pPr>
        <w:pStyle w:val="Heading1"/>
        <w:rPr>
          <w:b w:val="1"/>
          <w:bCs w:val="1"/>
          <w:color w:val="1a3a6b"/>
          <w:sz w:val="28"/>
          <w:szCs w:val="28"/>
        </w:rPr>
      </w:pPr>
      <w:bookmarkStart w:colFirst="0" w:colLast="0" w:name="_ws5halq77jr7" w:id="29"/>
      <w:bookmarkEnd w:id="29"/>
      <w:r w:rsidDel="00000000" w:rsidR="00000000" w:rsidRPr="00000000">
        <w:rPr>
          <w:rFonts w:ascii="Arial Unicode MS" w:cs="Arial Unicode MS" w:eastAsia="Arial Unicode MS" w:hAnsi="Arial Unicode MS"/>
          <w:b w:val="1"/>
          <w:bCs w:val="1"/>
          <w:color w:val="1a3a6b"/>
          <w:sz w:val="28"/>
          <w:szCs w:val="28"/>
          <w:rtl w:val="0"/>
        </w:rPr>
        <w:t xml:space="preserve">【問題 No.23】　複合型／意見対立</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【課題文A】人工知能は人間の仕事を奪うのではなく、人間がより創造的な仕事に集中できる環境を作る。</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【補足データ】AIによる職業代替可能性（野村総研推計）：代替可能性高（確率66%以上）の職業＝国内就業者の49%</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代替困難職業例：医師・教師・カウンセラー・芸術家・研究者</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高代替リスク職業例：一般事務・製造現場作業・配送・電話オペレーター</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b4f72"/>
          <w:sz w:val="20"/>
          <w:szCs w:val="20"/>
        </w:rPr>
      </w:pPr>
      <w:r w:rsidDel="00000000" w:rsidR="00000000" w:rsidRPr="00000000">
        <w:rPr>
          <w:rFonts w:ascii="Arial Unicode MS" w:cs="Arial Unicode MS" w:eastAsia="Arial Unicode MS" w:hAnsi="Arial Unicode MS"/>
          <w:b w:val="1"/>
          <w:bCs w:val="1"/>
          <w:i w:val="1"/>
          <w:iCs w:val="1"/>
          <w:color w:val="1b4f72"/>
          <w:sz w:val="20"/>
          <w:szCs w:val="20"/>
          <w:rtl w:val="0"/>
        </w:rPr>
        <w:t xml:space="preserve">【引用】OECD Employment Outlook（2023）：「While AI and automation create new jobs, the transition may disproportionately affect low-skilled workers, exacerbating inequality if not managed well.」</w:t>
      </w:r>
    </w:p>
    <w:tbl>
      <w:tblPr>
        <w:tblStyle w:val="Table7"/>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5"/>
        <w:gridCol w:w="2126.5"/>
        <w:gridCol w:w="2126.5"/>
        <w:gridCol w:w="2126.5"/>
        <w:tblGridChange w:id="0">
          <w:tblGrid>
            <w:gridCol w:w="2126.5"/>
            <w:gridCol w:w="2126.5"/>
            <w:gridCol w:w="2126.5"/>
            <w:gridCol w:w="2126.5"/>
          </w:tblGrid>
        </w:tblGridChange>
      </w:tblGrid>
      <w:tr>
        <w:trPr>
          <w:cantSplit w:val="0"/>
          <w:tblHeader w:val="0"/>
        </w:trPr>
        <w:tc>
          <w:tcPr>
            <w:shd w:fill="d0d3d4" w:val="clear"/>
            <w:tcMar>
              <w:top w:w="100.0" w:type="dxa"/>
              <w:left w:w="100.0" w:type="dxa"/>
              <w:bottom w:w="100.0" w:type="dxa"/>
              <w:right w:w="100.0" w:type="dxa"/>
            </w:tcMar>
            <w:vAlign w:val="top"/>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産業別</w:t>
            </w:r>
          </w:p>
        </w:tc>
        <w:tc>
          <w:tcPr>
            <w:shd w:fill="d0d3d4" w:val="clear"/>
            <w:tcMar>
              <w:top w:w="100.0" w:type="dxa"/>
              <w:left w:w="100.0" w:type="dxa"/>
              <w:bottom w:w="100.0" w:type="dxa"/>
              <w:right w:w="100.0" w:type="dxa"/>
            </w:tcMar>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AI代替リスク（%）</w:t>
            </w:r>
          </w:p>
        </w:tc>
        <w:tc>
          <w:tcPr>
            <w:shd w:fill="d0d3d4" w:val="clear"/>
            <w:tcMar>
              <w:top w:w="100.0" w:type="dxa"/>
              <w:left w:w="100.0" w:type="dxa"/>
              <w:bottom w:w="100.0" w:type="dxa"/>
              <w:right w:w="100.0" w:type="dxa"/>
            </w:tcMar>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現在の就業者数（万人）</w:t>
            </w:r>
          </w:p>
        </w:tc>
        <w:tc>
          <w:tcPr>
            <w:shd w:fill="d0d3d4" w:val="clear"/>
            <w:tcMar>
              <w:top w:w="100.0" w:type="dxa"/>
              <w:left w:w="100.0" w:type="dxa"/>
              <w:bottom w:w="100.0" w:type="dxa"/>
              <w:right w:w="100.0" w:type="dxa"/>
            </w:tcMar>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平均賃金（万円/年）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製造業</w:t>
            </w:r>
          </w:p>
        </w:tc>
        <w:tc>
          <w:tcPr>
            <w:shd w:fill="auto" w:val="clear"/>
            <w:tcMar>
              <w:top w:w="100.0" w:type="dxa"/>
              <w:left w:w="100.0" w:type="dxa"/>
              <w:bottom w:w="100.0" w:type="dxa"/>
              <w:right w:w="100.0" w:type="dxa"/>
            </w:tcMar>
            <w:vAlign w:val="top"/>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1,043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425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卸売・小売業</w:t>
            </w:r>
          </w:p>
        </w:tc>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1,017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347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金融・保険業</w:t>
            </w:r>
          </w:p>
        </w:tc>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163</w:t>
            </w:r>
          </w:p>
        </w:tc>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674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医療・福祉</w:t>
            </w:r>
          </w:p>
        </w:tc>
        <w:tc>
          <w:tcPr>
            <w:shd w:fill="auto" w:val="clear"/>
            <w:tcMar>
              <w:top w:w="100.0" w:type="dxa"/>
              <w:left w:w="100.0" w:type="dxa"/>
              <w:bottom w:w="100.0" w:type="dxa"/>
              <w:right w:w="100.0" w:type="dxa"/>
            </w:tcMar>
            <w:vAlign w:val="top"/>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382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情報通信業</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612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教育・学習支援</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335</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b w:val="1"/>
                <w:bCs w:val="1"/>
                <w:i w:val="1"/>
                <w:iCs w:val="1"/>
                <w:color w:val="1b4f72"/>
                <w:sz w:val="18"/>
                <w:szCs w:val="18"/>
                <w:rtl w:val="0"/>
              </w:rPr>
              <w:t xml:space="preserve">448</w:t>
            </w:r>
          </w:p>
        </w:tc>
      </w:tr>
    </w:tbl>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20"/>
          <w:szCs w:val="20"/>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24"/>
          <w:szCs w:val="24"/>
        </w:rPr>
      </w:pPr>
      <w:r w:rsidDel="00000000" w:rsidR="00000000" w:rsidRPr="00000000">
        <w:rPr>
          <w:rFonts w:ascii="Arial Unicode MS" w:cs="Arial Unicode MS" w:eastAsia="Arial Unicode MS" w:hAnsi="Arial Unicode MS"/>
          <w:b w:val="1"/>
          <w:bCs w:val="1"/>
          <w:i w:val="1"/>
          <w:iCs w:val="1"/>
          <w:color w:val="1b4f72"/>
          <w:sz w:val="24"/>
          <w:szCs w:val="24"/>
          <w:rtl w:val="0"/>
        </w:rPr>
        <w:t xml:space="preserve">複数の資料を統合し、AIによる雇用変容が「格差拡大」につながるかどうかについて賛否を示し、社会的影響の緩和策を提言せよ。</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【追加条件】英語の引用（OECD）を自分で要約して使用すること。表の「代替リスク×賃金×就業者数」を組み合わせ、どの層が最も影響を受けるかを定量的に示すこと。</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Fonts w:ascii="Arial Unicode MS" w:cs="Arial Unicode MS" w:eastAsia="Arial Unicode MS" w:hAnsi="Arial Unicode MS"/>
          <w:b w:val="1"/>
          <w:bCs w:val="1"/>
          <w:i w:val="1"/>
          <w:iCs w:val="1"/>
          <w:color w:val="6c3483"/>
          <w:sz w:val="20"/>
          <w:szCs w:val="20"/>
          <w:rtl w:val="0"/>
        </w:rPr>
        <w:t xml:space="preserve">【読み取りのヒント】「49%が代替可能」は「49%が失業する」ではない。代替可能な「タスク」と「職業全体」の代替は異なる。OECDの警告が指す「inequality」とは何かを整理すること。</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OECD英語引用の要約（追加条件）：「OECDは、AIと自動化は新しい雇用を生み出す一方、移行過程が低スキル労働者に不均衡な影響を与え、適切に管理されなければ格差を悪化させる可能性があると指摘している」。</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代替リスク×賃金×就業者数」の定量的組み合わせ（追加条件）：卸売・小売業は代替リスク62%×就業者1,017万人×平均賃金347万円→高代替リスク・高就業者数・低賃金という「最も社会的インパクトが大きい層」。</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・「49%が代替可能＝49%が失業」という誤読を避けること（readingHints）：職業全体でなくタスクの代替。一部タスクが代替されても職業は存在し続けることが多い。</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・課題文（AIは創造的仕事に集中できる環境を作る）の楽観論と、OECDの警告・表のデータを統合して「格差拡大リスクはあるが管理可能」という条件付き賛否を示すこと。</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意見対立型・AIと雇用問題。英語引用要約と定量的組み合わせが追加条件の核心。表の分析：代替リスク×賃金×就業者数の三次元で「最も社会的インパクトが大きい層」を特定できる。卸売・小売業（代替62%・1,017万人・347万円）と製造業（55%・1,043万人・425万円）が特に影響が大きい層。金融・保険は代替リスク71%と最高だが就業者163万人と少ない。緩和策として：職業訓練・リスキリング（製造・小売からデジタル・医療・介護への移行）・社会保険の強化（移行期のセーフティネット）・教育システムの変革（AI活用能力の育成）。</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・OECD英語引用の日本語要約</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・代替リスク×賃金×就業者数の定量的組み合わせによる「最も影響を受ける層」の特定</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・「49%代替可能＝49%失業」という誤読の回避</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・「格差拡大」への賛否と緩和策の提言</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OECD英語引用の要約を使い（追加条件）、「格差拡大リスクはあるが管理可能」という立場を示す。本論1：表の定量的分析（追加条件）—代替リスク×賃金×就業者数で最も影響が大きい層を特定。本論2：「49%失業」という誤読の回避と格差拡大の構造的説明。緩和策：リスキリング・セーフティネット・教育変革。結論：AIによる格差拡大は「自動的に起きる」のではなく「管理しなければ起きる」という条件付き賛否。</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OECD引用の要約：OECDは、AIと自動化は新しい雇用を創出する一方、移行過程が低スキル労働者に不均衡な影響を与え、適切に管理されなければ格差を悪化させるリスクがあると警告している。</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定量的組み合わせ（追加条件）：卸売・小売業：代替リスク62%×就業者1,017万人＝約630万人が代替可能なタスクに就いている。平均賃金347万円という低賃金層が多い。製造業：55%×1,043万人＝約570万人・425万円。この2業種で合計約1,200万人が高代替リスクの低〜中賃金層。金融・保険は代替71%と最高だが就業者163万人と少なく社会的インパクトは限定的。</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格差拡大の構造：課題文の楽観論（AIが創造的仕事に集中できる環境を作る）は「スキルを持つ高賃金労働者」には当てはまる。しかし卸売・小売・製造業の低スキル・低賃金労働者は「創造的な仕事に移行できるスキル・資源」を持っていないケースが多く、移行期に失業・低所得化するリスクが大きい。これが格差拡大のメカニズム。</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緩和策：①リスキリング：医療・介護・情報通信業への転職支援（代替リスクが低く就業者需要が高い業種）。②移行期のセーフティネット強化（雇用保険の適用拡大・生活保護の申請簡易化）。③教育システムの変革（AIリテラシー教育・非認知能力の育成）。</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OECDは、AIと自動化は新しい雇用を創出する可能性がある一方、移行過程が低スキル労働者に不均衡な影響を与え、適切に管理されなければ格差を悪化させるリスクがあると警告している。補足データによれば国内就業者の49%が代替可能性の高い職業に就いているが、これは「49%が失業する」を意味しない。代替可能なのは職業全体ではなく、その職業の中の特定タスクであり、タスクの代替が起きても職業そのものが消滅するわけではない。</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表の「代替リスク×就業者数×賃金」を組み合わせて、最も社会的インパクトが大きい層を特定する。卸売・小売業は代替リスク62%・就業者1,017万人・平均賃金347万円という組み合わせで、約630万人が代替可能なタスクに就きながら低賃金という状況にある。製造業は55%・1,043万人・425万円で約570万人。この2業種で合計約1,200万人が高代替リスクの低〜中賃金層であり、最も格差拡大の影響を受けやすい層だ。金融・保険は代替リスク71%と最高だが就業者163万人と少なく、社会的インパクトは限定的だ。</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は「AIが人間をより創造的な仕事に集中させる」と楽観的に描くが、これは「スキルを持ち移行できる高賃金労働者」には当てはまる。しかし、卸売・小売・製造業の低スキル・低賃金労働者には「創造的な仕事への移行に必要なスキルと資源」が不足しているケースが多く、移行期に失業・低所得化するリスクが格段に大きい。この非対称性がOECDの警告する「格差悪化」のメカニズムだ。</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格差拡大は「自動的に起きる」のではなく「適切に管理されなければ起きる」という条件付きの問題だ。緩和策として三点を提言する。第一に、リスキリング支援だ。代替リスクが低く就業者需要が高い医療・福祉・情報通信への転職支援プログラムを拡充する。第二に、移行期のセーフティネットの強化だ。雇用保険の適用拡大と、転職・学び直しの期間における所得補償を充実させる。第三に、教育システムの変革だ。AIリテラシーと創造的・対人的スキルの育成を、初等教育段階から組み込む。</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OECD英語引用の要約が序論で自然に機能し追加条件を満たしている。「代替リスク×就業者数×賃金」の三次元分析で「卸売・小売業が最大の社会的インパクト層（約630万人）」という定量的特定が追加条件の高精度な充足になっている。「49%失業」という誤読の修正（readingHints）が的確に行われている。「格差拡大は自動的ではなく管理次第」という条件付き賛否が課題文の楽観論とOECDの警告を統合した答えになっている。</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・OECD英語引用を要約せず英語のまま使うか全く使わない（追加条件未達）。</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・表の「代替リスク×賃金×就業者数」を組み合わせず、単純に代替リスク%だけで分析している（追加条件未達）。</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・「49%が代替可能＝49%が失業」という誤読をそのまま使い、readingHintsを無視している。</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・OECD引用を「〜は〜と警告している」という形で要約して使う（追加条件充足）。</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・「代替リスク%×就業者数=代替可能な就業者数の推計」という計算を示すことで定量的な特定が実現する。</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・「卸売・小売業が最大インパクト層（代替62%×1,017万人×低賃金347万円）」という具体的な結論を導く。</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・〜（国際機関）は、〜が〜を創出する一方、〜が〜に不均衡な影響を与え、適切に管理されなければ〜を悪化させると警告している。</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・「〜%が代替可能」は「〜%が失業する」を意味しない。〜の代替は〜全体ではなく特定の〜であり〜。</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・表の「代替リスク×就業者数×賃金」を組み合わせて、最も社会的インパクトが大きい層を特定する。</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・〜は「自動的に起きる」のではなく「適切に管理されなければ起きる」という条件付きの問題だ。</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・OECD英語引用を自分の言葉で要約して使えていたか（追加条件）。</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・「代替リスク×賃金×就業者数」の定量的組み合わせで最も影響を受ける層を特定できていたか（追加条件）。</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・「49%代替可能≠49%失業」という正確な解釈を示せていたか（readingHints）。</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779">
      <w:pPr>
        <w:pStyle w:val="Heading1"/>
        <w:rPr>
          <w:b w:val="1"/>
          <w:bCs w:val="1"/>
          <w:color w:val="1a3a6b"/>
          <w:sz w:val="28"/>
          <w:szCs w:val="28"/>
        </w:rPr>
      </w:pPr>
      <w:bookmarkStart w:colFirst="0" w:colLast="0" w:name="_1x25wnp4t2ws" w:id="30"/>
      <w:bookmarkEnd w:id="30"/>
      <w:r w:rsidDel="00000000" w:rsidR="00000000" w:rsidRPr="00000000">
        <w:rPr>
          <w:rFonts w:ascii="Arial Unicode MS" w:cs="Arial Unicode MS" w:eastAsia="Arial Unicode MS" w:hAnsi="Arial Unicode MS"/>
          <w:b w:val="1"/>
          <w:bCs w:val="1"/>
          <w:color w:val="1a3a6b"/>
          <w:sz w:val="28"/>
          <w:szCs w:val="28"/>
          <w:rtl w:val="0"/>
        </w:rPr>
        <w:t xml:space="preserve">【問題 No.24】　複合型／問題解決</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農業就業人口：175万人（2010年比−39%）</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農業就業者の平均年齢：68.4歳</w:t>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耕作放棄地面積：42.3万ha（10年で約2万ha増加）</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食料自給率（カロリーベース）：38%（先進国最低水準）</w:t>
      </w:r>
    </w:p>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【引用】農業新聞（2023年6月20日）：「スマート農業（ドローン・AIを活用した精密農業）の普及により、少人数での大規模営農が可能になりつつあるが、初期投資の高さが参入障壁となっている。」</w:t>
      </w:r>
    </w:p>
    <w:tbl>
      <w:tblPr>
        <w:tblStyle w:val="Table8"/>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2"/>
        <w:gridCol w:w="1701.2"/>
        <w:gridCol w:w="1701.2"/>
        <w:gridCol w:w="1701.2"/>
        <w:gridCol w:w="1701.2"/>
        <w:tblGridChange w:id="0">
          <w:tblGrid>
            <w:gridCol w:w="1701.2"/>
            <w:gridCol w:w="1701.2"/>
            <w:gridCol w:w="1701.2"/>
            <w:gridCol w:w="1701.2"/>
            <w:gridCol w:w="1701.2"/>
          </w:tblGrid>
        </w:tblGridChange>
      </w:tblGrid>
      <w:tr>
        <w:trPr>
          <w:cantSplit w:val="0"/>
          <w:tblHeader w:val="0"/>
        </w:trPr>
        <w:tc>
          <w:tcPr>
            <w:shd w:fill="d0d3d4"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施策</w:t>
            </w:r>
          </w:p>
        </w:tc>
        <w:tc>
          <w:tcPr>
            <w:shd w:fill="d0d3d4"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導入コスト</w:t>
            </w:r>
          </w:p>
        </w:tc>
        <w:tc>
          <w:tcPr>
            <w:shd w:fill="d0d3d4"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効果発現まで</w:t>
            </w:r>
          </w:p>
        </w:tc>
        <w:tc>
          <w:tcPr>
            <w:shd w:fill="d0d3d4"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対象</w:t>
            </w:r>
          </w:p>
        </w:tc>
        <w:tc>
          <w:tcPr>
            <w:shd w:fill="d0d3d4"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リスク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スマート農業補助金</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大（1件あたり数百万）</w:t>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3〜5年</w:t>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中規模以上農家</w:t>
            </w:r>
          </w:p>
        </w:tc>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技術格差拡大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農地集積・法人化推進</w:t>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5〜10年</w:t>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引退農家</w:t>
            </w:r>
          </w:p>
        </w:tc>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地域コミュニティ崩壊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新規就農者支援（給付金）</w:t>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3〜5年</w:t>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若者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定着率が低い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輸出拡大（高付加価値化）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大</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5〜10年</w:t>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大規模農家</w:t>
            </w:r>
          </w:p>
        </w:tc>
        <w:tc>
          <w:tcPr>
            <w:shd w:fill="auto" w:val="clear"/>
            <w:tcMar>
              <w:top w:w="100.0" w:type="dxa"/>
              <w:left w:w="100.0" w:type="dxa"/>
              <w:bottom w:w="100.0" w:type="dxa"/>
              <w:right w:w="100.0" w:type="dxa"/>
            </w:tcMar>
            <w:vAlign w:val="top"/>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為替リスク</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耕作放棄地の太陽光転用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小（農家視点）</w:t>
            </w:r>
          </w:p>
        </w:tc>
        <w:tc>
          <w:tcPr>
            <w:shd w:fill="auto" w:val="clear"/>
            <w:tcMar>
              <w:top w:w="100.0" w:type="dxa"/>
              <w:left w:w="100.0" w:type="dxa"/>
              <w:bottom w:w="100.0" w:type="dxa"/>
              <w:right w:w="100.0" w:type="dxa"/>
            </w:tcMar>
            <w:vAlign w:val="top"/>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即時</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零細農家</w:t>
            </w:r>
          </w:p>
        </w:tc>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食料安保の悪化</w:t>
            </w:r>
          </w:p>
        </w:tc>
      </w:tr>
    </w:tbl>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0"/>
          <w:szCs w:val="20"/>
        </w:rPr>
      </w:pPr>
      <w:r w:rsidDel="00000000" w:rsidR="00000000" w:rsidRPr="00000000">
        <w:rPr>
          <w:rtl w:val="0"/>
        </w:rPr>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複数の資料を統合し、日本農業の「高齢化・縮小」という構造問題に対し、2030年を目標年とした農業政策パッケージを提言せよ。</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【追加条件】表の5施策を「短期vs長期」「対象層」「リスク」の観点から評価し、組み合わせ戦略（パッケージ）を示すこと。「食料安全保障」と「市場原理」のトレードオフを明示すること。</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就業人口の減少と平均年齢は「10年後の急変」を示唆する。耕作放棄地の太陽光転用は農家の「合理的選択」だが、国家視点では問題がある。この「個人合理性vs社会合理性」の矛盾を論じること。</w:t>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・5施策を「短期vs長期」「対象層」「リスク」の三軸で評価して組み合わせ戦略を示す（追加条件）。</w:t>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・「食料安全保障」と「市場原理」のトレードオフを明示する（追加条件）。市場原理に任せれば農家は太陽光転用を選ぶが、食料安保上は問題。</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・「個人合理性vs社会合理性」の矛盾（readingHints）：農家個人にとって太陽光転用は合理的だが、国家の食料自給率という観点では問題。この矛盾への対処が政策設計の核心。</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・平均年齢68.4歳という数値の意味：10年後に就業者の多くが引退するという「タイムボム」的な構造。「今動かなければ手遅れになる」という政策の緊急性の根拠。</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農業政策の複合型問題。5施策の評価と組み合わせが核心。短期効果：太陽光転用（即時・ただし食料安保上問題）・スマート農業補助（3〜5年）。長期効果：農地集積（5〜10年）・輸出拡大（5〜10年）。個人合理性vs社会合理性という矛盾（readingHints）：農家が耕作放棄地を太陽光に転用するのは経済合理的（安定収入）。しかし自給率38%という低水準にある日本では農地確保が国家的課題。この矛盾を解決するには「農業継続の方が経済的に合理的になるインセンティブ設計」が必要。</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・農業就業者の高齢化（平均年齢68.4歳）が生む「10年後の急変リスク」</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・耕作放棄地太陽光転用という「個人合理性vs社会合理性の矛盾」</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・5施策の短期vs長期・対象層・リスクによる評価と組み合わせ</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・「食料安全保障（国家の農地確保）」vs「市場原理（農家の自由な選択）」のトレードオフ</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補足データ（平均年齢68.4歳・自給率38%）から「タイムボム」的構造の緊急性を示す。「個人合理性vs社会合理性の矛盾（太陽光転用）」を問題の核心として提示（readingHints）。本論1：5施策の三軸評価（追加条件）。本論2：食料安全保障vs市場原理のトレードオフ（追加条件）。組み合わせ戦略（パッケージ）の提示。結論：2030年目標の農業政策パッケージ。</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5施策の三軸評価（追加条件）：短期・中規模農家：スマート農業補助金（リスク：技術格差拡大）。中長期・引退農家：農地集積・法人化（リスク：コミュニティ崩壊）。中長期・若者：新規就農者支援（リスク：定着率低い）。長期・大規模農家：輸出拡大（リスク：為替）。要注意：耕作放棄地の太陽光転用（即効・農家視点で合理的だが食料安保上問題）。</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食料安全保障vs市場原理（追加条件）：市場原理に任せれば：農地の太陽光転用・農業からの撤退が続き自給率がさらに低下。食料安全保障を優先すれば：農業継続を国家がインセンティブで支援する必要があるが、「農家への補助金が非効率」という批判がある。このトレードオフに対する私の立場：食料安保上の「最低限の農地確保」は国家の責任として市場介入を正当化する。ただし全農家を等しく保護するのではなく、対象を絞った効率的な支援が必要。</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組み合わせ戦略（パッケージ）：短期（〜2025年）：スマート農業補助金で現役農家の生産性向上、太陽光転用への条件付き規制（農業ゾーンの設定）。中期（2025〜2028年）：農地集積・法人化推進で規模拡大・若手就農者支援の定着率改善。長期（2028〜2030年）：輸出拡大・高付加価値化で農業の収益性向上。</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補足データが示す農業就業者の平均年齢68.4歳・就業人口の2010年比39%減少・耕作放棄地42.3万haという数値は、「10年後に就業者の大多数が引退する」という構造的タイムボムを意味する。食料自給率38%という先進国最低水準と合わせると、今動かなければ対処不能になる段階が近づいている。</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問題の核心は「個人合理性と社会合理性の矛盾」にある。農家個人にとって、耕作放棄地を太陽光発電に転用することは安定した収入を生む経済的に合理的な選択だ。しかし国家の食料安全保障という観点では農地の喪失は重大な問題だ。この矛盾を放置したまま市場原理に任せれば、自給率はさらに低下する。</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5施策を三軸（短期vs長期・対象層・リスク）で評価し、組み合わせ戦略を示す。短期（〜2025年）の優先策はスマート農業補助金だ。現役農家（中規模以上）の生産性を向上させることで、就業者数減少を技術で補完する。リスクの技術格差拡大には、補助金を小規模農家にも適用できる共同利用型で対処する。同時に、耕作放棄地の太陽光転用を無制限に認めないための農業保全ゾーンの設定が必要だ。中期（2025〜2028年）は農地集積・法人化と新規就農者支援だ。引退する農家の農地を意欲ある農業法人・若手農家に集積させることで規模拡大と担い手確保を実現する。新規就農者の定着率の低さという課題には、5年間の継続支援と経営相談体制の充実で対処する。長期（2028〜2030年）は輸出拡大・高付加価値化だ。</w:t>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食料安全保障と市場原理のトレードオフについて、最低限の農地確保と担い手育成という「食料安保上の要請」は、国家が市場介入を正当化する根拠になる。ただし全農家を一律に保護するのではなく、規模・効率性・地域の農業維持という観点から対象を絞った支援が、財政的にも効率的だ。</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補足データから「タイムボム的構造の緊急性」を導き、問題の核心として「個人合理性vs社会合理性の矛盾（太陽光転用）」を示した点がreadingHintsに正確に応答している。5施策の三軸評価（短期vs長期・対象層・リスク）が追加条件を満たしており、組み合わせ戦略（短期・中期・長期のロードマップ）として完成している。食料安保vs市場原理のトレードオフを明示し「最低限の農地確保は市場介入を正当化」という条件付き結論が追加条件を完全に充足している。</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・5施策を列挙するだけで、「短期vs長期・対象層・リスク」という三軸評価と組み合わせ戦略を示していない（追加条件未達）。</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・「食料安全保障と市場原理のトレードオフ」を明示せず「農業を守ろう」という一般論になっている（追加条件未達）。</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・太陽光転用を「悪い選択」と断定し、農家個人の「合理的選択」という視点を無視している（readingHints未充足）。</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・「個人合理性（太陽光転用は経済的に合理的）vs社会合理性（農地確保が国家的課題）」という矛盾を示すことが問題の核心への応答になる。</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・5施策の三軸評価を「短期/中期/長期のロードマップ」として整理するとパッケージ戦略として完成する。</w:t>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・「最低限の農地確保は市場介入を正当化する根拠になる」という条件付き立場を示すと食料安保vsト市場原理の追加条件が完成する。</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・〜という数値は、「〜後に〜の大多数が引退する」という構造的タイムボムを意味する。</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・問題の核心は「〜と〜の矛盾」にある。〜にとって〜は経済的に合理的な選択だ。しかし〜という観点では〜は重大な問題だ。</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・5施策を三軸（〜・〜・〜）で評価し、組み合わせ戦略を示す。</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・最低限の〜確保という「〜上の要請」は、国家が市場介入を正当化する根拠になる。</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・5施策を「短期vs長期・対象層・リスク」の三軸で評価し、組み合わせ戦略を示せていたか（追加条件）。</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・「食料安全保障と市場原理のトレードオフ」を明示できていたか（追加条件）。</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・太陽光転用を「個人合理性vs社会合理性の矛盾」として論じられていたか（readingHints）。</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7DB">
      <w:pPr>
        <w:pStyle w:val="Heading1"/>
        <w:rPr>
          <w:b w:val="1"/>
          <w:bCs w:val="1"/>
          <w:color w:val="1a3a6b"/>
          <w:sz w:val="28"/>
          <w:szCs w:val="28"/>
        </w:rPr>
      </w:pPr>
      <w:bookmarkStart w:colFirst="0" w:colLast="0" w:name="_l3zapc2wi0kb" w:id="31"/>
      <w:bookmarkEnd w:id="31"/>
      <w:r w:rsidDel="00000000" w:rsidR="00000000" w:rsidRPr="00000000">
        <w:rPr>
          <w:rFonts w:ascii="Arial Unicode MS" w:cs="Arial Unicode MS" w:eastAsia="Arial Unicode MS" w:hAnsi="Arial Unicode MS"/>
          <w:b w:val="1"/>
          <w:bCs w:val="1"/>
          <w:color w:val="1a3a6b"/>
          <w:sz w:val="28"/>
          <w:szCs w:val="28"/>
          <w:rtl w:val="0"/>
        </w:rPr>
        <w:t xml:space="preserve">【問題 No.25】　複合型／複合評価</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【課題文A】外国人労働者の受け入れは、単なる労働力不足の解消策ではなく、社会全体の多様性と活力を高める戦略的投資である。</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在留外国人数：307万人（2022年末、過去最高）</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外国人労働者数：182万人（2022年、過去最高）</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技能実習制度廃止・育成就労制度創設（2024年法改正）</w:t>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b4f72"/>
          <w:sz w:val="20"/>
          <w:szCs w:val="20"/>
        </w:rPr>
      </w:pPr>
      <w:r w:rsidDel="00000000" w:rsidR="00000000" w:rsidRPr="00000000">
        <w:rPr>
          <w:rFonts w:ascii="Arial Unicode MS" w:cs="Arial Unicode MS" w:eastAsia="Arial Unicode MS" w:hAnsi="Arial Unicode MS"/>
          <w:b w:val="1"/>
          <w:bCs w:val="1"/>
          <w:i w:val="1"/>
          <w:iCs w:val="1"/>
          <w:color w:val="1b4f72"/>
          <w:sz w:val="20"/>
          <w:szCs w:val="20"/>
          <w:rtl w:val="0"/>
        </w:rPr>
        <w:t xml:space="preserve">【引用】出入国在留管理庁「外国人との共生社会の実現に向けたロードマップ」（2022年）：「全ての人が安全・安心に暮らせる社会、多様性を尊重した活力ある社会を目指し、外国人との共生社会の実現に取り組む。」</w:t>
      </w:r>
    </w:p>
    <w:tbl>
      <w:tblPr>
        <w:tblStyle w:val="Table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5"/>
        <w:gridCol w:w="2126.5"/>
        <w:gridCol w:w="2126.5"/>
        <w:gridCol w:w="2126.5"/>
        <w:tblGridChange w:id="0">
          <w:tblGrid>
            <w:gridCol w:w="2126.5"/>
            <w:gridCol w:w="2126.5"/>
            <w:gridCol w:w="2126.5"/>
            <w:gridCol w:w="2126.5"/>
          </w:tblGrid>
        </w:tblGridChange>
      </w:tblGrid>
      <w:tr>
        <w:trPr>
          <w:cantSplit w:val="0"/>
          <w:tblHeader w:val="0"/>
        </w:trPr>
        <w:tc>
          <w:tcPr>
            <w:shd w:fill="d0d3d4" w:val="clear"/>
            <w:tcMar>
              <w:top w:w="100.0" w:type="dxa"/>
              <w:left w:w="100.0" w:type="dxa"/>
              <w:bottom w:w="100.0" w:type="dxa"/>
              <w:right w:w="100.0" w:type="dxa"/>
            </w:tcMar>
            <w:vAlign w:val="top"/>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観点</w:t>
            </w:r>
          </w:p>
        </w:tc>
        <w:tc>
          <w:tcPr>
            <w:shd w:fill="d0d3d4" w:val="clear"/>
            <w:tcMar>
              <w:top w:w="100.0" w:type="dxa"/>
              <w:left w:w="100.0" w:type="dxa"/>
              <w:bottom w:w="100.0" w:type="dxa"/>
              <w:right w:w="100.0" w:type="dxa"/>
            </w:tcMar>
            <w:vAlign w:val="top"/>
          </w:tcPr>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現状の課題</w:t>
            </w:r>
          </w:p>
        </w:tc>
        <w:tc>
          <w:tcPr>
            <w:shd w:fill="d0d3d4"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短期目標（3年）</w:t>
            </w:r>
          </w:p>
        </w:tc>
        <w:tc>
          <w:tcPr>
            <w:shd w:fill="d0d3d4" w:val="clear"/>
            <w:tcMar>
              <w:top w:w="100.0" w:type="dxa"/>
              <w:left w:w="100.0" w:type="dxa"/>
              <w:bottom w:w="100.0" w:type="dxa"/>
              <w:right w:w="100.0" w:type="dxa"/>
            </w:tcMar>
            <w:vAlign w:val="top"/>
          </w:tcPr>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中期目標（10年）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労働・産業</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特定業種への偏在・低賃金</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技能実習→育成就労の移行支援</w:t>
            </w:r>
          </w:p>
        </w:tc>
        <w:tc>
          <w:tcPr>
            <w:shd w:fill="auto" w:val="clear"/>
            <w:tcMar>
              <w:top w:w="100.0" w:type="dxa"/>
              <w:left w:w="100.0" w:type="dxa"/>
              <w:bottom w:w="100.0" w:type="dxa"/>
              <w:right w:w="100.0" w:type="dxa"/>
            </w:tcMar>
            <w:vAlign w:val="top"/>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多様な産業への就労拡大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教育・言語</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日本語教育の不足・学校不適応</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日本語教師の増員・ICT活用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多言語対応の学校環境整備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社会保障</w:t>
            </w:r>
          </w:p>
        </w:tc>
        <w:tc>
          <w:tcPr>
            <w:shd w:fill="auto" w:val="clear"/>
            <w:tcMar>
              <w:top w:w="100.0" w:type="dxa"/>
              <w:left w:w="100.0" w:type="dxa"/>
              <w:bottom w:w="100.0" w:type="dxa"/>
              <w:right w:w="100.0" w:type="dxa"/>
            </w:tcMar>
            <w:vAlign w:val="top"/>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未加入・未納問題</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加入手続きのデジタル化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制度の持続可能性確保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地域社会</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住宅・医療でのトラブル</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多文化共生センターの拡充</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地域住民との相互理解促進</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出身国送出し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送出し機関の不正</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二国間協定の強化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WIN-WINの労働移動実現</w:t>
            </w:r>
          </w:p>
        </w:tc>
      </w:tr>
    </w:tbl>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20"/>
          <w:szCs w:val="20"/>
        </w:rPr>
      </w:pPr>
      <w:r w:rsidDel="00000000" w:rsidR="00000000" w:rsidRPr="00000000">
        <w:rPr>
          <w:rtl w:val="0"/>
        </w:rPr>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24"/>
          <w:szCs w:val="24"/>
        </w:rPr>
      </w:pPr>
      <w:r w:rsidDel="00000000" w:rsidR="00000000" w:rsidRPr="00000000">
        <w:rPr>
          <w:rFonts w:ascii="Arial Unicode MS" w:cs="Arial Unicode MS" w:eastAsia="Arial Unicode MS" w:hAnsi="Arial Unicode MS"/>
          <w:b w:val="1"/>
          <w:bCs w:val="1"/>
          <w:i w:val="1"/>
          <w:iCs w:val="1"/>
          <w:color w:val="1b4f72"/>
          <w:sz w:val="24"/>
          <w:szCs w:val="24"/>
          <w:rtl w:val="0"/>
        </w:rPr>
        <w:t xml:space="preserve">複数の資料を統合し、新しい育成就労制度のもとで外国人労働者・外国人住民と共生する社会を実現するための政策提言を行え。</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【追加条件】表の5つの観点を「優先順位」付きで論じること。課題文の「戦略的投資」という観点から、「受け入れ側の負担」と「中長期的な社会的便益」のトレードオフを定量的に示すこと。</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Fonts w:ascii="Arial Unicode MS" w:cs="Arial Unicode MS" w:eastAsia="Arial Unicode MS" w:hAnsi="Arial Unicode MS"/>
          <w:b w:val="1"/>
          <w:bCs w:val="1"/>
          <w:i w:val="1"/>
          <w:iCs w:val="1"/>
          <w:color w:val="6c3483"/>
          <w:sz w:val="20"/>
          <w:szCs w:val="20"/>
          <w:rtl w:val="0"/>
        </w:rPr>
        <w:t xml:space="preserve">【読み取りのヒント】技能実習制度の「廃止」の背景（人権問題）を理解すること。表の「短期目標→中期目標」の流れが論理的につながっているかを確認し、矛盾があれば指摘すること。</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・表の5観点の優先順位付き評価（追加条件）：社会保障の未加入・未納問題は「制度の持続可能性」に直結するため緊急性が最高。労働・教育は中期的に取り組むべき構造問題。</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受け入れ側の負担と中長期的便益のトレードオフを定量的に示す（追加条件）：短期コスト（日本語教育・多文化共生センター・社会保障対応費）vs中長期便益（労働力確保・税収・消費拡大・少子化補完）。</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・技能実習制度廃止の背景（人権問題）を理解すること（readingHints）：技能実習制度は「人身売買」「強制労働」との批判があり廃止に至った。育成就労制度との違いを示す（転職の自由・労働権の保障）。</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・表の「短期→中期目標の論理的連続性」の確認（readingHints）：社会保障「加入手続きのデジタル化→制度の持続可能性確保」は論理的につながっている。</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複合評価型・外国人共生政策問題。5観点の優先順位付け（追加条件）と定量的トレードオフ（追加条件）が核心。優先順位：社会保障（未加入問題→制度崩壊リスク・最緊急）→教育・言語（次世代の統合・長期的重要）→労働（既存制度の移行・中期）→地域社会（コミュニティ摩擦・中期）→送出し国（二国間関係・長期）。定量的トレードオフ：日本語教師増員・多文化共生センター拡充・社会保障対応のコスト（数千億円規模）vs 外国人労働者の税収・社会保険料・消費（年間数兆円規模）という比較。</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・5観点の優先順位付け（緊急性・影響の大きさ）</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・受け入れコスト（短期負担）と社会的便益（中長期）の定量的トレードオフ</w:t>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・技能実習制度廃止と育成就労制度の違い（転職の自由・人権保障）</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・「外国人が日本社会に適応する」という一方的な統合から「相互理解・多文化共生」への転換</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戦略的投資」という概念を使い、外国人受け入れを「コスト」ではなく「投資」として論じる立場を示す。技能実習廃止という制度変化の文脈を示す（readingHints）。本論1：5観点の優先順位（追加条件）—社会保障が最緊急・理由を示す。本論2：受け入れ側コストと中長期便益の定量的比較（追加条件）。提言：優先順位に基づいた政策パッケージ。結論：「戦略的投資として管理する共生社会設計」。</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5観点の優先順位（追加条件）：第1位：社会保障の未加入・未納（制度崩壊リスク・緊急）。第2位：教育・言語（次世代の統合・長期重要）。第3位：労働・産業（育成就労移行の現実的な短期課題）。第4位：地域社会（コミュニティ摩擦・中期）。第5位：送出し国（二国間関係・外交問題・長期）。</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トレードオフの定量化（追加条件）：短期コスト：日本語教師5,000人増員（概算100〜200億円/年）・多文化共生センター全都道府県整備（数十億円）・社会保障加入手続きデジタル化（数十〜数百億円のシステム投資）。中長期便益：外国人労働者182万人の年間税収・社会保険料・消費額は数兆円規模。人口減少が続く中での労働力維持という便益は計り知れない。「コスト数千億円 vs 便益数兆円規模」という試算で「投資として合理的」という論拠になる。</w:t>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技能実習廃止の背景：技能実習制度は名目上「技能移転」だが実態は「安価な労働力確保」として機能し、強制労働・賃金未払い・転職制限という人権問題が国際的に批判された。育成就労制度は「就労目的を明確化・一定期間後の転職を認める」という人権保障の強化。</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技能実習制度は、名目上の「技能移転」が実態として機能せず、強制労働・転職禁止という人権問題として国際的に批判されてきた。2024年の法改正による育成就労制度への移行は、就労目的の明確化と一定期間後の転職を認めるという人権保障の強化として、共生社会実現の新たな出発点となる。</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表の5観点を優先順位付きで論じる。最緊急の課題は「社会保障の未加入・未納問題」だ。外国人労働者の社会保険未加入は、制度の財政基盤を損ない、将来の無保険・生活困窮リスクを生む。加入手続きのデジタル化と多言語対応の整備を最優先で進めることで、持続可能な社会保障制度の維持につながる。第2位は「教育・言語」だ。日本語教育の不足は次世代（外国にルーツを持つ子ども）の学校不適応・将来の社会統合困難につながる長期的な課題だ。第3位は「労働・産業」として育成就労制度への円滑な移行支援。地域社会と送出し国対応は中長期的な取り組みとする。</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は外国人受け入れを「戦略的投資」と表現しているが、受け入れ側の負担と中長期便益のトレードオフを定量的に示す。短期コストとして、日本語教師の増員（数千人規模で年間100〜200億円）・多文化共生センターの整備（数十億円）・社会保障システム整備が必要だ。これに対し中長期的便益として、外国人労働者182万人の税収・社会保険料・消費活動は年間数兆円規模に達するとされる。人口減少が続く中での労働力維持という便益は計り知れない。「数千億円の投資で数兆円の便益を生む」という費用対効果で、「戦略的投資」という表現は正当化できる。</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ただし、課題文の楽観論には注意が必要だ。多様性が「自動的に活力を生む」のではなく、相互理解の仕組み（多文化共生センター・地域プログラム）というインフラなしには「摩擦とコスト」にもなりうる。投資として管理するということは、短期的な制度整備と長期的な共生文化の醸成を並行して行うことを意味する。</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技能実習廃止の背景（人権問題）という文脈を序論で示した点がreadingHintsに正確に応答している。5観点の優先順位を「社会保障&gt;教育・言語&gt;労働&gt;地域&gt;送出し国」として理由（制度崩壊リスク・次世代統合・緊急度）とともに示し追加条件を満たしている。定量的トレードオフ（数千億円コスト vs 数兆円便益）という追加条件が概算として示されている。課題文の楽観論への留保（多様性は自動的に活力を生まない）という批判的統合が超上級らしい。</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・5観点を並列に列挙するだけで優先順位を示せていない（追加条件未達）。</w:t>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・受け入れコストと中長期便益のトレードオフを定量的に示さず「メリットとデメリットがある」という一般論にとどまっている（追加条件未達）。</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・技能実習制度廃止の背景（人権問題）を理解せず「制度が変わった」と表面的に説明している（readingHints未充足）。</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・社会保障の未加入問題を「制度崩壊リスクという最緊急課題」として最優先にする論理を示すと優先順位が完成する。</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・「数千億円コスト vs 数兆円便益」という概算比較を示すことで定量的トレードオフの追加条件が完成する。</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・「多様性は自動的に活力を生まない—インフラが必要」という課題文への批判的統合が超上級らしさを生む。</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・〜の5観点を優先順位付きで論じる。最緊急の課題は「〜」だ。〜という理由から。第2位は「〜」。</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・短期コストとして〜（概算〜億円）・〜（〜）が必要だ。これに対し中長期的便益として〜は〜に達するとされる。</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・「〜（数千億円）の投資で〜（数兆円）の便益を生む」という費用対効果で〜は正当化できる。</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・課題文の楽観論には注意が必要だ。〜が「自動的に〜を生む」のではなく、〜というインフラなしには〜にもなりうる。</w:t>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・5観点を優先順位付きで論じ、最優先の理由（制度崩壊リスク）を示せていたか（追加条件）。</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・受け入れコストと中長期便益を定量的に示せていたか（追加条件）。</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・技能実習廃止の背景（人権問題）を理解した論述ができていたか（readingHints）。</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837">
      <w:pPr>
        <w:pStyle w:val="Heading1"/>
        <w:rPr>
          <w:b w:val="1"/>
          <w:bCs w:val="1"/>
          <w:color w:val="1a3a6b"/>
          <w:sz w:val="28"/>
          <w:szCs w:val="28"/>
        </w:rPr>
      </w:pPr>
      <w:bookmarkStart w:colFirst="0" w:colLast="0" w:name="_daweqfbqhvgo" w:id="32"/>
      <w:bookmarkEnd w:id="32"/>
      <w:r w:rsidDel="00000000" w:rsidR="00000000" w:rsidRPr="00000000">
        <w:rPr>
          <w:rFonts w:ascii="Arial Unicode MS" w:cs="Arial Unicode MS" w:eastAsia="Arial Unicode MS" w:hAnsi="Arial Unicode MS"/>
          <w:b w:val="1"/>
          <w:bCs w:val="1"/>
          <w:color w:val="1a3a6b"/>
          <w:sz w:val="28"/>
          <w:szCs w:val="28"/>
          <w:rtl w:val="0"/>
        </w:rPr>
        <w:t xml:space="preserve">【問題 No.26】　複合型／政策設計</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宇宙関連市場規模：世界47兆円（2022年）→推計100兆円（2040年）</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日本の宇宙産業規模：約1.2兆円（世界シェア約2.5%）</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JAXA予算：約1,700億円（NASA：約3兆円、ESA：約1兆円）</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【引用】宇宙基本計画（内閣府）（2023年）：「2030年代早期に宇宙関連産業を現在の2倍超の約4兆円規模に拡大することを目指す。官民連携による宇宙活用・産業育成を推進する。」</w:t>
      </w:r>
    </w:p>
    <w:tbl>
      <w:tblPr>
        <w:tblStyle w:val="Table10"/>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6.5"/>
        <w:gridCol w:w="2126.5"/>
        <w:gridCol w:w="2126.5"/>
        <w:gridCol w:w="2126.5"/>
        <w:tblGridChange w:id="0">
          <w:tblGrid>
            <w:gridCol w:w="2126.5"/>
            <w:gridCol w:w="2126.5"/>
            <w:gridCol w:w="2126.5"/>
            <w:gridCol w:w="2126.5"/>
          </w:tblGrid>
        </w:tblGridChange>
      </w:tblGrid>
      <w:tr>
        <w:trPr>
          <w:cantSplit w:val="0"/>
          <w:tblHeader w:val="0"/>
        </w:trPr>
        <w:tc>
          <w:tcPr>
            <w:shd w:fill="d0d3d4" w:val="clear"/>
            <w:tcMar>
              <w:top w:w="100.0" w:type="dxa"/>
              <w:left w:w="100.0" w:type="dxa"/>
              <w:bottom w:w="100.0" w:type="dxa"/>
              <w:right w:w="100.0" w:type="dxa"/>
            </w:tcMar>
            <w:vAlign w:val="top"/>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評価軸</w:t>
            </w:r>
          </w:p>
        </w:tc>
        <w:tc>
          <w:tcPr>
            <w:shd w:fill="d0d3d4" w:val="clear"/>
            <w:tcMar>
              <w:top w:w="100.0" w:type="dxa"/>
              <w:left w:w="100.0" w:type="dxa"/>
              <w:bottom w:w="100.0" w:type="dxa"/>
              <w:right w:w="10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JAXA公共投資型</w:t>
            </w:r>
          </w:p>
        </w:tc>
        <w:tc>
          <w:tcPr>
            <w:shd w:fill="d0d3d4" w:val="clear"/>
            <w:tcMar>
              <w:top w:w="100.0" w:type="dxa"/>
              <w:left w:w="100.0" w:type="dxa"/>
              <w:bottom w:w="100.0" w:type="dxa"/>
              <w:right w:w="100.0" w:type="dxa"/>
            </w:tcMar>
            <w:vAlign w:val="top"/>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官民連携型（スタートアップ支援）</w:t>
            </w:r>
          </w:p>
        </w:tc>
        <w:tc>
          <w:tcPr>
            <w:shd w:fill="d0d3d4" w:val="clear"/>
            <w:tcMar>
              <w:top w:w="100.0" w:type="dxa"/>
              <w:left w:w="100.0" w:type="dxa"/>
              <w:bottom w:w="100.0" w:type="dxa"/>
              <w:right w:w="100.0" w:type="dxa"/>
            </w:tcMar>
            <w:vAlign w:val="top"/>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国際連携型（NASA/ESA協調）</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初期コスト</w:t>
            </w:r>
          </w:p>
        </w:tc>
        <w:tc>
          <w:tcPr>
            <w:shd w:fill="auto" w:val="clear"/>
            <w:tcMar>
              <w:top w:w="100.0" w:type="dxa"/>
              <w:left w:w="100.0" w:type="dxa"/>
              <w:bottom w:w="100.0" w:type="dxa"/>
              <w:right w:w="10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低〜中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技術独立性</w:t>
            </w:r>
          </w:p>
        </w:tc>
        <w:tc>
          <w:tcPr>
            <w:shd w:fill="auto" w:val="clear"/>
            <w:tcMar>
              <w:top w:w="100.0" w:type="dxa"/>
              <w:left w:w="100.0" w:type="dxa"/>
              <w:bottom w:w="100.0" w:type="dxa"/>
              <w:right w:w="100.0" w:type="dxa"/>
            </w:tcMar>
            <w:vAlign w:val="top"/>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民間活力の活用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低</w:t>
            </w:r>
          </w:p>
        </w:tc>
        <w:tc>
          <w:tcPr>
            <w:shd w:fill="auto" w:val="clear"/>
            <w:tcMar>
              <w:top w:w="100.0" w:type="dxa"/>
              <w:left w:w="100.0" w:type="dxa"/>
              <w:bottom w:w="100.0" w:type="dxa"/>
              <w:right w:w="100.0" w:type="dxa"/>
            </w:tcMar>
            <w:vAlign w:val="top"/>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成果発現スパン</w:t>
            </w:r>
          </w:p>
        </w:tc>
        <w:tc>
          <w:tcPr>
            <w:shd w:fill="auto" w:val="clear"/>
            <w:tcMar>
              <w:top w:w="100.0" w:type="dxa"/>
              <w:left w:w="100.0" w:type="dxa"/>
              <w:bottom w:w="100.0" w:type="dxa"/>
              <w:right w:w="100.0" w:type="dxa"/>
            </w:tcMar>
            <w:vAlign w:val="top"/>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長期</w:t>
            </w:r>
          </w:p>
        </w:tc>
        <w:tc>
          <w:tcPr>
            <w:shd w:fill="auto" w:val="clear"/>
            <w:tcMar>
              <w:top w:w="100.0" w:type="dxa"/>
              <w:left w:w="100.0" w:type="dxa"/>
              <w:bottom w:w="100.0" w:type="dxa"/>
              <w:right w:w="100.0" w:type="dxa"/>
            </w:tcMar>
            <w:vAlign w:val="top"/>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中期</w:t>
            </w:r>
          </w:p>
        </w:tc>
        <w:tc>
          <w:tcPr>
            <w:shd w:fill="auto" w:val="clear"/>
            <w:tcMar>
              <w:top w:w="100.0" w:type="dxa"/>
              <w:left w:w="100.0" w:type="dxa"/>
              <w:bottom w:w="100.0" w:type="dxa"/>
              <w:right w:w="100.0" w:type="dxa"/>
            </w:tcMar>
            <w:vAlign w:val="top"/>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中期</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リスク分散</w:t>
            </w:r>
          </w:p>
        </w:tc>
        <w:tc>
          <w:tcPr>
            <w:shd w:fill="auto" w:val="clear"/>
            <w:tcMar>
              <w:top w:w="100.0" w:type="dxa"/>
              <w:left w:w="100.0" w:type="dxa"/>
              <w:bottom w:w="100.0" w:type="dxa"/>
              <w:right w:w="100.0" w:type="dxa"/>
            </w:tcMar>
            <w:vAlign w:val="top"/>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低</w:t>
            </w:r>
          </w:p>
        </w:tc>
        <w:tc>
          <w:tcPr>
            <w:shd w:fill="auto" w:val="clear"/>
            <w:tcMar>
              <w:top w:w="100.0" w:type="dxa"/>
              <w:left w:w="100.0" w:type="dxa"/>
              <w:bottom w:w="100.0" w:type="dxa"/>
              <w:right w:w="100.0" w:type="dxa"/>
            </w:tcMar>
            <w:vAlign w:val="top"/>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国際競争力</w:t>
            </w:r>
          </w:p>
        </w:tc>
        <w:tc>
          <w:tcPr>
            <w:shd w:fill="auto" w:val="clear"/>
            <w:tcMar>
              <w:top w:w="100.0" w:type="dxa"/>
              <w:left w:w="100.0" w:type="dxa"/>
              <w:bottom w:w="100.0" w:type="dxa"/>
              <w:right w:w="100.0" w:type="dxa"/>
            </w:tcMar>
            <w:vAlign w:val="top"/>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高（将来）</w:t>
            </w:r>
          </w:p>
        </w:tc>
        <w:tc>
          <w:tcPr>
            <w:shd w:fill="auto" w:val="clear"/>
            <w:tcMar>
              <w:top w:w="100.0" w:type="dxa"/>
              <w:left w:w="100.0" w:type="dxa"/>
              <w:bottom w:w="100.0" w:type="dxa"/>
              <w:right w:w="100.0" w:type="dxa"/>
            </w:tcMar>
            <w:vAlign w:val="top"/>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中〜高</w:t>
            </w:r>
          </w:p>
        </w:tc>
      </w:tr>
    </w:tbl>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0"/>
          <w:szCs w:val="20"/>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資料を踏まえ、日本の宇宙産業を2040年までに世界シェア5%以上に引き上げるための投資戦略を、表の3案を比較して提言せよ。</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【追加条件】「技術独立性」と「国際競争力」のトレードオフを中心に論じること。予算制約（JAXA予算とNASAの差）を踏まえた現実的なコスト試算を含めること。</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シェア2.5%→5%は規模でいくら必要かを逆算すること。表の3案はそれぞれ「価値観の違い」（国家主導vs市場vs協調）を反映している。単純に「いいとこ取り」はできない理由も論じること。</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・シェア2.5%→5%に必要な規模を逆算する（readingHints）：2040年世界市場100兆円×5%＝5兆円。現在1.2兆円から5兆円にするには約4.2兆円の増加が必要。これが政策目標の規模感。</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技術独立性と国際競争力のトレードオフ」（追加条件）：JAXA公共投資型は技術独立性が高いが国際競争力は中程度。国際連携型は競争力が中〜高だが技術独立性が低い。どちらを優先するかは安全保障観に依存する。</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・JAXA予算とNASAの差（1,700億円 vs 3兆円≈18倍）というコスト試算（追加条件）：日本単独でNASA級の開発は不可能。この制約が「単独のJAXA公共投資型だけでは限界がある」という結論の数値的根拠。</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・「いいとこ取りはできない」理由（readingHints）：3案は「国家主導（独立）vs 市場（民間効率）vs 協調（リスク分散）」という根本的に異なる価値観を持つ。組み合わせると制度設計の整合性が失われる可能性がある。</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複合型・政策設計問題。逆算計算（シェア5%→5兆円・現在1.2兆円→4.2兆円の増加必要）とNASAとの予算差（18倍）という定量的な現実制約が論の根拠。3案の比較：JAXA型は技術独立性は高いが初期コストも高くNASA比1/18の予算では限界がある。官民連携型は民間活力を活用でき中期成果も期待できるが技術独立性は中程度。国際連携型はコストを分散できるが技術情報の共有によって独立性が下がる。追加条件「技術独立性と国際競争力のトレードオフ」が提言の軸になる。</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・シェア2.5%→5%のための規模試算（2040年5兆円必要）</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・JAXA予算制約（1,700億円 vs NASA3兆円）の現実的認識</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・技術独立性（国家安全保障）vs 国際競争力（市場シェア）のトレードオフ</w:t>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・3案の「価値観の違い」と「いいとこ取り」が困難な理由</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序論：シェア5%目標の規模試算（5兆円・現在1.2兆円）とJAXA予算制約（1,700億円 vs NASA3兆円）を示し、「単独のJAXA型では目標達成は困難」という現実を設定する。本論1：3案の比較評価—技術独立性と国際競争力のトレードオフを中心に（追加条件）。本論2：「いいとこ取りが困難な理由」と現実的な組み合わせ方。提言：官民連携型を主軸に国際連携を戦略的に組み合わせる「ハイブリッド型」。結論：予算制約下での条件付き提言。</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規模試算：2040年世界市場100兆円×5%＝5兆円が目標。現在1.2兆円から5兆円へは4.2兆円の増加が必要。年平均で約2,300億円の増加が必要で、JAXA予算1,700億円と比べると「JAXAだけでは届かない」ことが明確。</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技術独立性vs国際競争力（追加条件）：技術独立性が高いと安全保障・軍民両用技術の秘匿という観点で有利だが、研究開発コストが全額自国負担になる。国際競争力を上げるには市場参入・スケールメリットが必要で国際連携が有効だが、核心技術の共有リスクがある。日本の場合、宇宙安全保障（偵察・通信衛星等）という観点では一定の独立性が必要だが、商業宇宙（打ち上げサービス・衛星データ）では競争力優先が合理的。</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提言（ハイブリッド型）：主軸：官民連携型——JAXAの技術基盤を基に、スタートアップ（宇宙ベンチャー）への投資促進・民間の打ち上げサービス参入を促進。補完：国際連携型——商業宇宙・衛星データ利用ではNASA/ESAとの連携でコストとリスクを分散。核心技術（安全保障に関わる軍民両用）はJAXA型で独立維持。</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まず目標達成に必要な規模を逆算する。2040年の世界宇宙市場推計100兆円の5%は5兆円だ。現在の日本の宇宙産業規模1.2兆円から5兆円への増加には約4.2兆円、つまり年平均約2,300億円の産業拡大が必要となる。JAXA予算が1,700億円でNASAの3兆円の約18分の1である現実を踏まえると、「JAXAへの公共投資のみで目標を達成する」ことは数値的に困難だ。</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表の3案を「技術独立性と国際競争力のトレードオフ」を中心に比較する。JAXA公共投資型は技術独立性が高く安全保障上の核心技術を守れるが、初期コストが高く単独では予算制約に阻まれる。官民連携型（スタートアップ支援）は民間活力を活用し中期的な国際競争力向上が期待できるが技術独立性は中程度になる。国際連携型はNASA・ESAとのコスト・リスク分散が可能で国際競争力も中〜高だが、核心技術の共有によって技術独立性が低下するリスクがある。</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いいとこ取り」が困難な理由も示す。3案はそれぞれ「国家主導・独立（JAXA型）」「市場・民間効率（官民連携型）」「国際協調・リスク分散（国際連携型）」という根本的に異なる価値観を反映している。これらを無原則に混在させると、例えば安全保障上の機密技術をスタートアップに開放することになり整合性が崩れる。</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提言として、領域別の使い分けを軸にしたハイブリッド型を提案する。宇宙安全保障に関わる核心技術（偵察衛星・通信衛星の暗号技術等）はJAXA公共投資型で独立性を確保する。商業宇宙（打ち上げサービス・衛星データ利用）では官民連携型を主軸にスタートアップへの投資促進と民間参入の促進を行い、NASA・ESAとの商業分野での国際連携でコストとリスクを分散する。この「安全保障はJAXA型・商業はハイブリッド」という領域別設計が、予算制約下で5%という目標に最も近づく現実的な戦略だ。</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シェア5%→5兆円・年2,300億円の増加必要・JAXA予算1,700億円では不足」という逆算計算でReadingHints充足と追加条件の定量的根拠を示している。3案比較を「技術独立性vs国際競争力のトレードオフ」という追加条件の軸で整理した点が論の核心になっている。「いいとこ取りが困難な理由（価値観の違いによる整合性崩壊）」というReadingHintsへの応答が上級らしい。「安全保障はJAXA型・商業はハイブリッド」という領域別設計の提言が現実的な政策論として完成している。</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・「シェア2.5%→5%」の目標達成に必要な規模を逆算せず、定量的な現実性を示していない（readingHints未充足）。</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・「技術独立性と国際競争力のトレードオフ」を明示せず、3案の「どれが優れているか」という単純な評価にとどまっている（追加条件未達）。</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・「いいとこ取りが困難な理由」を論じず、3案の無原則な組み合わせを提言してしまう（readingHints未充足）。</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・「100兆円×5%=5兆円・現在1.2兆円→4.2兆円増加必要・年2,300億円」という逆算計算を示すことで政策目標の規模感が伝わる。</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・「安全保障技術はJAXA型・商業宇宙はハイブリッド」という領域別設計を示すと「いいとこ取り不可」という制約を超えた提言になる。</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・JAXA予算1,700億円 vs NASA3兆円という18倍の差を「単独JAXA型の限界」の数値的根拠として使う。</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・まず目標達成に必要な規模を逆算する。〜の〜%は〜だ。現在の〜から〜への増加には〜、つまり年平均〜の〜が必要となる。</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・表の3案を「〜と〜のトレードオフ」を中心に比較する。</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・「いいとこ取り」が困難な理由も示す。3案はそれぞれ「〜」「〜」「〜」という根本的に異なる価値観を反映している。</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・〜に関わる〜は〜型で独立性を確保する。〜では〜型を主軸に〜でコストとリスクを分散する。</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・シェア5%目標の達成に必要な規模を逆算し、予算制約と合わせて現実性を評価できていたか（readingHints）。</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・「技術独立性と国際競争力のトレードオフ」を中心に3案を比較できていたか（追加条件）。</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・「いいとこ取りが困難な理由（価値観の違い）」を論じられていたか（readingHints）。</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896">
      <w:pPr>
        <w:pStyle w:val="Heading1"/>
        <w:rPr>
          <w:b w:val="1"/>
          <w:bCs w:val="1"/>
          <w:color w:val="1a3a6b"/>
          <w:sz w:val="28"/>
          <w:szCs w:val="28"/>
        </w:rPr>
      </w:pPr>
      <w:bookmarkStart w:colFirst="0" w:colLast="0" w:name="_6r0e39qftmvr" w:id="33"/>
      <w:bookmarkEnd w:id="33"/>
      <w:r w:rsidDel="00000000" w:rsidR="00000000" w:rsidRPr="00000000">
        <w:rPr>
          <w:rFonts w:ascii="Arial Unicode MS" w:cs="Arial Unicode MS" w:eastAsia="Arial Unicode MS" w:hAnsi="Arial Unicode MS"/>
          <w:b w:val="1"/>
          <w:bCs w:val="1"/>
          <w:color w:val="1a3a6b"/>
          <w:sz w:val="28"/>
          <w:szCs w:val="28"/>
          <w:rtl w:val="0"/>
        </w:rPr>
        <w:t xml:space="preserve">【問題 No.27】　複合型／研究提案</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睡眠不足による日本の経済損失：約15兆円/年（ランド研究所推計）</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日本人の平均睡眠時間：7時間22分（OECD最短）</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「睡眠負債」を自覚している日本人：約40%</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健康づくりのための睡眠ガイド2023（厚生労働省）（2023年）：「成人は6時間以上を目安に睡眠時間を確保することが推奨される。睡眠不足・睡眠障害は生活習慣病・メンタルヘルスとの関連が示されている。」</w:t>
      </w:r>
    </w:p>
    <w:tbl>
      <w:tblPr>
        <w:tblStyle w:val="Table11"/>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2"/>
        <w:gridCol w:w="1701.2"/>
        <w:gridCol w:w="1701.2"/>
        <w:gridCol w:w="1701.2"/>
        <w:gridCol w:w="1701.2"/>
        <w:tblGridChange w:id="0">
          <w:tblGrid>
            <w:gridCol w:w="1701.2"/>
            <w:gridCol w:w="1701.2"/>
            <w:gridCol w:w="1701.2"/>
            <w:gridCol w:w="1701.2"/>
            <w:gridCol w:w="1701.2"/>
          </w:tblGrid>
        </w:tblGridChange>
      </w:tblGrid>
      <w:tr>
        <w:trPr>
          <w:cantSplit w:val="0"/>
          <w:tblHeader w:val="0"/>
        </w:trPr>
        <w:tc>
          <w:tcPr>
            <w:shd w:fill="d0d3d4" w:val="clear"/>
            <w:tcMar>
              <w:top w:w="100.0" w:type="dxa"/>
              <w:left w:w="100.0" w:type="dxa"/>
              <w:bottom w:w="100.0" w:type="dxa"/>
              <w:right w:w="100.0" w:type="dxa"/>
            </w:tcMar>
            <w:vAlign w:val="top"/>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介入方法</w:t>
            </w:r>
          </w:p>
        </w:tc>
        <w:tc>
          <w:tcPr>
            <w:shd w:fill="d0d3d4" w:val="clear"/>
            <w:tcMar>
              <w:top w:w="100.0" w:type="dxa"/>
              <w:left w:w="100.0" w:type="dxa"/>
              <w:bottom w:w="100.0" w:type="dxa"/>
              <w:right w:w="100.0" w:type="dxa"/>
            </w:tcMar>
            <w:vAlign w:val="top"/>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対象</w:t>
            </w:r>
          </w:p>
        </w:tc>
        <w:tc>
          <w:tcPr>
            <w:shd w:fill="d0d3d4" w:val="clear"/>
            <w:tcMar>
              <w:top w:w="100.0" w:type="dxa"/>
              <w:left w:w="100.0" w:type="dxa"/>
              <w:bottom w:w="100.0" w:type="dxa"/>
              <w:right w:w="10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推定コスト</w:t>
            </w:r>
          </w:p>
        </w:tc>
        <w:tc>
          <w:tcPr>
            <w:shd w:fill="d0d3d4" w:val="clear"/>
            <w:tcMar>
              <w:top w:w="100.0" w:type="dxa"/>
              <w:left w:w="100.0" w:type="dxa"/>
              <w:bottom w:w="100.0" w:type="dxa"/>
              <w:right w:w="100.0" w:type="dxa"/>
            </w:tcMar>
            <w:vAlign w:val="top"/>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効果の証拠レベル</w:t>
            </w:r>
          </w:p>
        </w:tc>
        <w:tc>
          <w:tcPr>
            <w:shd w:fill="d0d3d4" w:val="clear"/>
            <w:tcMar>
              <w:top w:w="100.0" w:type="dxa"/>
              <w:left w:w="100.0" w:type="dxa"/>
              <w:bottom w:w="100.0" w:type="dxa"/>
              <w:right w:w="100.0" w:type="dxa"/>
            </w:tcMar>
            <w:vAlign w:val="top"/>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実施主体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睡眠教育（学校）</w:t>
            </w:r>
          </w:p>
        </w:tc>
        <w:tc>
          <w:tcPr>
            <w:shd w:fill="auto" w:val="clear"/>
            <w:tcMar>
              <w:top w:w="100.0" w:type="dxa"/>
              <w:left w:w="100.0" w:type="dxa"/>
              <w:bottom w:w="100.0" w:type="dxa"/>
              <w:right w:w="10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学生</w:t>
            </w:r>
          </w:p>
        </w:tc>
        <w:tc>
          <w:tcPr>
            <w:shd w:fill="auto" w:val="clear"/>
            <w:tcMar>
              <w:top w:w="100.0" w:type="dxa"/>
              <w:left w:w="100.0" w:type="dxa"/>
              <w:bottom w:w="100.0" w:type="dxa"/>
              <w:right w:w="100.0" w:type="dxa"/>
            </w:tcMar>
            <w:vAlign w:val="top"/>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低</w:t>
            </w:r>
          </w:p>
        </w:tc>
        <w:tc>
          <w:tcPr>
            <w:shd w:fill="auto" w:val="clear"/>
            <w:tcMar>
              <w:top w:w="100.0" w:type="dxa"/>
              <w:left w:w="100.0" w:type="dxa"/>
              <w:bottom w:w="100.0" w:type="dxa"/>
              <w:right w:w="100.0" w:type="dxa"/>
            </w:tcMar>
            <w:vAlign w:val="top"/>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中（RCT少ない）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文科省・学校</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企業の勤務時間改革</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労働者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中（観察研究）</w:t>
            </w:r>
          </w:p>
        </w:tc>
        <w:tc>
          <w:tcPr>
            <w:shd w:fill="auto" w:val="clear"/>
            <w:tcMar>
              <w:top w:w="100.0" w:type="dxa"/>
              <w:left w:w="100.0" w:type="dxa"/>
              <w:bottom w:w="100.0" w:type="dxa"/>
              <w:right w:w="10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厚労省・企業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睡眠アプリ補助</w:t>
            </w:r>
          </w:p>
        </w:tc>
        <w:tc>
          <w:tcPr>
            <w:shd w:fill="auto" w:val="clear"/>
            <w:tcMar>
              <w:top w:w="100.0" w:type="dxa"/>
              <w:left w:w="100.0" w:type="dxa"/>
              <w:bottom w:w="100.0" w:type="dxa"/>
              <w:right w:w="100.0" w:type="dxa"/>
            </w:tcMar>
            <w:vAlign w:val="top"/>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全般</w:t>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低</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低（自己申告）</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民間・自治体</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残業規制強化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労働者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低（規制コスト）</w:t>
            </w:r>
          </w:p>
        </w:tc>
        <w:tc>
          <w:tcPr>
            <w:shd w:fill="auto" w:val="clear"/>
            <w:tcMar>
              <w:top w:w="100.0" w:type="dxa"/>
              <w:left w:w="100.0" w:type="dxa"/>
              <w:bottom w:w="100.0" w:type="dxa"/>
              <w:right w:w="100.0" w:type="dxa"/>
            </w:tcMar>
            <w:vAlign w:val="top"/>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高（因果明確）</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厚労省</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医療機関でのスクリーニング</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患者</w:t>
            </w:r>
          </w:p>
        </w:tc>
        <w:tc>
          <w:tcPr>
            <w:shd w:fill="auto" w:val="clear"/>
            <w:tcMar>
              <w:top w:w="100.0" w:type="dxa"/>
              <w:left w:w="100.0" w:type="dxa"/>
              <w:bottom w:w="100.0" w:type="dxa"/>
              <w:right w:w="100.0" w:type="dxa"/>
            </w:tcMar>
            <w:vAlign w:val="top"/>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厚労省・医師会</w:t>
            </w:r>
          </w:p>
        </w:tc>
      </w:tr>
    </w:tbl>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0"/>
          <w:szCs w:val="20"/>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資料を統合し、日本の睡眠不足問題の構造的原因を分析したうえで、「費用対効果が高い」という観点から介入策の優先順位を示し、政策提言を行え。</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【追加条件】「経済損失15兆円」の推計方法の限界に触れること。表の「効果の証拠レベル」に注目し、「RCT（ランダム化比較試験）と観察研究の違い」を踏まえた政策判断を示すこと。</w:t>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【読み取りのヒント】15兆円という数字はどのように算出されたか（生産性損失・医療費等）を考えること。「証拠レベルが低い」施策を推奨する際には「なぜ証拠が少ないか」も論じること。</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・15兆円推計の限界に触れること（追加条件）：ランド研究所の推計方法（生産性損失・欠勤・医療費・交通事故等の合計）の不確実性と「推計値は上限または過大評価の可能性がある」という留保。</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・RCTと観察研究の違いを踏まえた政策判断（追加条件）：残業規制強化（証拠レベル高・因果明確）は強い根拠があるが「睡眠アプリ（低・自己申告）」は証拠が弱く政策の主軸にすべきでない。</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・「証拠レベルが低い施策の推奨理由」を論じること（readingHints）：睡眠教育のRCTが少ない理由は「長期的効果の測定が困難」という研究設計上の問題。証拠が少ない≠効果がないという区別。</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・「費用対効果が高い」という観点：低コストで証拠レベルが中〜高の施策（残業規制強化・睡眠教育）が最優先。高コストで証拠レベルが高い（医療スクリーニング）は対象を絞った活用。</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複合型・研究提案問題。RCT vs 観察研究という研究設計の知識と15兆円推計の限界（追加条件）が核心。優先順位：残業規制強化（低コスト・高証拠・因果明確）が最も費用対効果が高い。睡眠教育（低コスト・中証拠・長期的な予防効果）が次点。睡眠アプリ（低コストだが証拠レベル低・自己申告の問題）は補完的位置づけ。医療スクリーニング（高コスト・高証拠）は重症例に限定。勤務時間改革（中コスト・中証拠）は必要だが企業への依存が高い。15兆円推計の限界：生産性損失の「測定方法の恣意性」・プレゼンティーズム（出席しているが能率低下）の推計困難性。</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・15兆円推計の方法と限界（生産性損失の測定困難）</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・RCT（因果関係の証明）vs 観察研究（相関）の証拠レベルの差</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・「証拠レベルが低い施策」を推奨する場合の論理的正当化</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・費用対効果の高い施策（残業規制強化・睡眠教育）の優先根拠</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15兆円推計の意義と限界を示す（追加条件）。OECD最短の平均睡眠時間という問題の深刻さを示す。本論1：睡眠不足の構造的原因（長時間労働・スマホ・不規則生活）。本論2：表の証拠レベルに基づく優先順位（追加条件）—RCT vs 観察研究の説明。「証拠が少ない施策の推奨理由」の論理（readingHints）。提言：残業規制強化を最優先に、睡眠教育・医療スクリーニング（対象絞り）の組み合わせ。</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15兆円推計の限界（追加条件）：ランド研究所の推計は生産性損失（プレゼンティーズム：出席しているが能率低下）・欠勤・医療費・交通事故等を合算している。プレゼンティーズムの推計は自己申告が多く過大評価の可能性がある。また「睡眠不足が原因」という因果の証明が困難なため、推計には不確実性が大きい。この数値は「問題の規模感」を示す参考値として有用だが、正確な数値として断定するには慎重さが必要。</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RCT vs 観察研究（追加条件）：RCT（ランダム化比較試験）：参加者をランダムに介入群と対照群に分け、介入の因果効果を検証する最も厳格な研究デザイン。証拠レベルが最も高い。観察研究：介入を行わず、自然な状況を観察する研究。相関は示せるが因果は示しにくい。「残業規制強化」が証拠レベル高・因果明確なのは、勤務時間と睡眠時間の因果関係が複数のRCTで確認されているから。</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証拠が少ない施策の推奨理由：睡眠教育のRCT研究が少ない理由は「長期的効果（数年後の睡眠習慣の変化）の測定が困難」「学校という環境でのランダム割り付けの倫理的困難」という研究設計上の問題。証拠が少ないことは「効果がない証拠」ではない。低コストで倫理的問題が少ない施策については、証拠レベルが中程度でも推奨できる。</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優先順位：最優先：残業規制強化（低コスト・高証拠・因果明確）。第2優先：睡眠教育（低コスト・中証拠・長期的予防効果・証拠が少ない理由が研究設計上の困難）。第3位：企業勤務時間改革（中コスト・中証拠）。補完：睡眠アプリ（低コストだが証拠弱・補助的位置づけ）。対象絞り：医療スクリーニング（高コスト・高証拠・重症例限定）。</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ランド研究所が推計する「睡眠不足による経済損失15兆円/年」という数値は問題の規模感を示す参考値として有用だが、推計方法には限界がある。この数値は生産性損失（プレゼンティーズム：出席しているが能率が低下している状態）・欠勤・医療費・事故コスト等を合算したものだが、特にプレゼンティーズムの推計は自己申告に基づくことが多く、過大評価の可能性を否定できない。この数値を「問題の深刻さを示す傍証」として使いながら、断定は避けることが科学的に誠実な姿勢だ。</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日本の平均睡眠時間がOECD最短（7時間22分）という事実は、「長時間労働・スマートフォンの長時間使用・不規則な生活リズム」という構造的原因が組み合わさっていることを示している。厚労省ガイドラインが推奨する「6時間以上」を下回る人も一定数おり、睡眠負債を自覚する人が40%に達するという現状は深刻だ。</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表の証拠レベルに基づいて優先順位を示す。最優先とすべきは「残業規制強化」だ。「因果明確・証拠レベル高・コスト低（規制コスト）」という3条件が揃っており、最も費用対効果が高い。勤務時間と睡眠時間の間の因果関係は複数の研究で確認されており、残業時間の上限規制を実効性のあるものにすることが最初の一手だ。</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第2優先は「睡眠教育（学校）」だ。証拠レベルは「中（RCT少ない）」だが、これは睡眠教育の効果がないことを意味しない。学校という環境でのRCTは「長期的な睡眠習慣の変化を測定する困難さ」や「ランダム割り付けの倫理的問題」により実施しにくいという研究設計上の理由がある。低コストで倫理的問題も少なく、長期的な予防効果が期待できる施策は、証拠レベルが中程度でも推奨できる根拠がある。</w:t>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医療機関でのスクリーニング」は証拠レベルが高いが、全国展開にはコストが大きい。重症の睡眠障害（睡眠時無呼吸症候群等）への対象を絞った活用が費用対効果の観点から合理的だ。「睡眠アプリ補助」は証拠レベルが低く（自己申告の問題）、政策の主軸にはすべきでない。</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15兆円推計の限界（プレゼンティーズムの自己申告問題・過大評価の可能性）を具体的に示した点が追加条件を高精度で満たしている。RCTと観察研究の違いを「因果の証明の有無」として説明し、残業規制強化を「因果明確・高証拠」として最優先とした点が追加条件を完全に充足している。「睡眠教育のRCTが少ない理由（研究設計上の困難）」という「証拠なし≠効果なし」という重要な論点を示した点がreadingHints充足として機能している。</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・15兆円という数値を「正確な数値」として断定し、推計方法の限界に触れない（追加条件未達）。</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・証拠レベルに注目せず「できることから全部やる」という一般論になっている（追加条件未達）。</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・「証拠レベルが低い＝効果がない」という誤読をし、証拠が少ない施策を全て排除してしまう。</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・15兆円推計について「プレゼンティーズムの自己申告→過大評価の可能性」という限界を示すと追加条件が完成する。</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・残業規制強化を「低コスト・高証拠・因果明確」という三点で最優先とする論理が費用対効果の追加条件の充足になる。</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・「RCT少ない＝効果なし証拠」ではなく「研究設計の困難さ」という区別を示すことがreadingHints充足。</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・「〜兆円」という数値は問題の規模感を示す参考値として有用だが、推計方法には限界がある。</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・特に〜の推計は〜に基づくことが多く、過大評価の可能性を否定できない。</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・最優先とすべきは「〜」だ。「〜・〜・〜」という条件が揃っており、最も費用対効果が高い。</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・証拠レベルは「中（〜少ない）」だが、これは〜の効果がないことを意味しない。〜という研究設計上の理由がある。</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・「経済損失15兆円」の推計方法の限界を示せていたか（追加条件）。</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・RCTと観察研究の違いを踏まえた政策判断ができていたか（追加条件）。</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・「証拠レベルが低い施策を推奨する場合の理由（研究設計の困難）」を示せていたか（readingHints）。</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8F9">
      <w:pPr>
        <w:pStyle w:val="Heading1"/>
        <w:rPr>
          <w:b w:val="1"/>
          <w:bCs w:val="1"/>
          <w:color w:val="1a3a6b"/>
          <w:sz w:val="28"/>
          <w:szCs w:val="28"/>
        </w:rPr>
      </w:pPr>
      <w:bookmarkStart w:colFirst="0" w:colLast="0" w:name="_tvjglwdpg4mg" w:id="34"/>
      <w:bookmarkEnd w:id="34"/>
      <w:r w:rsidDel="00000000" w:rsidR="00000000" w:rsidRPr="00000000">
        <w:rPr>
          <w:rFonts w:ascii="Arial Unicode MS" w:cs="Arial Unicode MS" w:eastAsia="Arial Unicode MS" w:hAnsi="Arial Unicode MS"/>
          <w:b w:val="1"/>
          <w:bCs w:val="1"/>
          <w:color w:val="1a3a6b"/>
          <w:sz w:val="28"/>
          <w:szCs w:val="28"/>
          <w:rtl w:val="0"/>
        </w:rPr>
        <w:t xml:space="preserve">【問題 No.28】　複合型／因果分析</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【課題文A】テクノロジーは中立ではない。設計者の価値観とバイアスが製品に埋め込まれる。</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採用AIによる女性差別（Amazon社、2018年廃棄）：過去の採用データを学習した結果</w:t>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顔認識AIの人種別精度差（MIT研究）：白人男性99%、黒人女性65%</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与信AIによる収入予測誤差：少数民族世帯で誤差が2.3倍大きい</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b4f72"/>
          <w:sz w:val="20"/>
          <w:szCs w:val="20"/>
        </w:rPr>
      </w:pPr>
      <w:r w:rsidDel="00000000" w:rsidR="00000000" w:rsidRPr="00000000">
        <w:rPr>
          <w:rFonts w:ascii="Arial Unicode MS" w:cs="Arial Unicode MS" w:eastAsia="Arial Unicode MS" w:hAnsi="Arial Unicode MS"/>
          <w:b w:val="1"/>
          <w:bCs w:val="1"/>
          <w:i w:val="1"/>
          <w:iCs w:val="1"/>
          <w:color w:val="1b4f72"/>
          <w:sz w:val="20"/>
          <w:szCs w:val="20"/>
          <w:rtl w:val="0"/>
        </w:rPr>
        <w:t xml:space="preserve">【引用】EU AI Act（欧州議会）（2024年）：「High-risk AI systems must undergo conformity assessment and ensure transparency, human oversight, and non-discrimination.」</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b4f72"/>
          <w:sz w:val="20"/>
          <w:szCs w:val="20"/>
        </w:rPr>
      </w:pPr>
      <w:r w:rsidDel="00000000" w:rsidR="00000000" w:rsidRPr="00000000">
        <w:rPr>
          <w:rFonts w:ascii="Arial Unicode MS" w:cs="Arial Unicode MS" w:eastAsia="Arial Unicode MS" w:hAnsi="Arial Unicode MS"/>
          <w:b w:val="1"/>
          <w:bCs w:val="1"/>
          <w:i w:val="1"/>
          <w:iCs w:val="1"/>
          <w:color w:val="1b4f72"/>
          <w:sz w:val="20"/>
          <w:szCs w:val="20"/>
          <w:rtl w:val="0"/>
        </w:rPr>
        <w:t xml:space="preserve">【引用】内閣府「AI戦略2022」（2022年）：「AIの開発・利活用に当たっては、人間中心のAI社会原則に基づき、公平性・透明性・アカウンタビリティの確保が重要である。」</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24"/>
          <w:szCs w:val="24"/>
        </w:rPr>
      </w:pPr>
      <w:r w:rsidDel="00000000" w:rsidR="00000000" w:rsidRPr="00000000">
        <w:rPr>
          <w:rFonts w:ascii="Arial Unicode MS" w:cs="Arial Unicode MS" w:eastAsia="Arial Unicode MS" w:hAnsi="Arial Unicode MS"/>
          <w:b w:val="1"/>
          <w:bCs w:val="1"/>
          <w:i w:val="1"/>
          <w:iCs w:val="1"/>
          <w:color w:val="1b4f72"/>
          <w:sz w:val="24"/>
          <w:szCs w:val="24"/>
          <w:rtl w:val="0"/>
        </w:rPr>
        <w:t xml:space="preserve">複数の資料を統合し、AIシステムに内在するバイアス問題の構造的原因を分析し、公平なAI開発・運用を担保するための制度設計を提言せよ。</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【追加条件】EUのAI法（英語）と日本のAI戦略を比較し、アプローチの違いを明示すること。「規制によるイノベーション抑制」という反論を処理すること。</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Fonts w:ascii="Arial Unicode MS" w:cs="Arial Unicode MS" w:eastAsia="Arial Unicode MS" w:hAnsi="Arial Unicode MS"/>
          <w:b w:val="1"/>
          <w:bCs w:val="1"/>
          <w:i w:val="1"/>
          <w:iCs w:val="1"/>
          <w:color w:val="6c3483"/>
          <w:sz w:val="20"/>
          <w:szCs w:val="20"/>
          <w:rtl w:val="0"/>
        </w:rPr>
        <w:t xml:space="preserve">【読み取りのヒント】「AIが差別する」のか「人間のバイアスをAIが学習する」のかの違いは、対策の方向性を変える。EUと日本のアプローチの違いが「価値観の違い」を反映していることを読み取ること。</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・EU AI法の英語引用の要約（追加条件）：「高リスクAIシステムは適合性評価を受け、透明性・人間による監督・無差別の確保が求められる」。</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EUのAI法と日本のAI戦略のアプローチ比較（追加条件）：EU＝ハードロー（法的義務・罰則）、日本＝ソフトロー（原則・ガイドライン・自主規制）という違い。EUは「予防的・規制主導」、日本は「推進的・業界自主管理」。</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・「AIが差別する vs 人間のバイアスをAIが学習する」の区別（readingHints）：Amazon事例・顔認識の精度差・与信の誤差はいずれも「過去の人間の差別的行動のデータ」をAIが学習した結果。対策は「AIの排除」ではなく「学習データの偏りの修正・テスト義務・透明性確保」。</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・「規制によるイノベーション抑制」という反論を処理すること（追加条件）：EU AI法導入後のイノベーション指標への影響は現時点では不明。「適切な規制はむしろ社会的信頼を高め長期的にイノベーションを促進する」という反論への再反論。</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複合型・因果分析問題。英語引用（EU AI法）の要約と2引用の比較（EUvs日本）が追加条件の核心。バイアムの構造的原因（readingHints）：「AIが差別する」ではなく「人間の過去の差別行動をAIが学習・増幅する」という構造的理解。Amazon採用AIは「過去の男性採用が多かったデータ」を学習→女性を低評価。顔認識は「白人男性の顔データが多い学習データ」→黒人女性への精度差。与信AIは「少数民族の過去の信用データが少ない・偏っている」→誤差拡大。制度設計：EU型（ハードロー・事前規制）vs 日本型（ソフトロー・事後的対応）の選択肢とトレードオフ。</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・EU AI法（英語・ハードロー）と日本AI戦略（ソフトロー）のアプローチの違い</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・「AIが差別する vs 人間のバイアスをAIが学習する」という構造的原因の違い</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・「規制によるイノベーション抑制」という反論と処理</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・公平なAI開発を担保する制度設計（学習データの透明性・第三者審査・アカウンタビリティ）</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課題文（テクノロジーに設計者のバイアスが埋め込まれる）を補足データ（Amazon・顔認識・与信）で具体化する。「AIが差別するのではなく人間のバイアスをAIが学習する」という構造を示す（readingHints）。本論1：EUのAI法（英語要約）と日本のAI戦略の比較（追加条件）—アプローチの違いと価値観の違い。本論2：「規制によるイノベーション抑制」という反論の処理（追加条件）。制度設計提言。結論：日本に適した「ソフトローベースだがバイアス検証義務を課す」制度設計。</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EU AI法の要約：EUのAI法は「高リスクAIシステムに対し、適合性評価・透明性の確保・人間による監督・無差別の保証を法的に義務づける」というハードロー型の規制だ。罰則を伴う強制力がある。</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EU vs 日本の比較（追加条件）：EU：予防的・規制主導（法的義務・罰則・事前審査が中心）。価値観：人権保護優先・企業にコスト負担を求める。日本：推進的・自主規制主導（ガイドライン・原則・業界自主管理）。価値観：イノベーション推進・企業の自主性尊重。この違いは「どちらの価値を優先するか（人権 vs 競争力）」という根本的な政策哲学の違いを反映する。</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構造的原因（readingHints）：3事例（Amazon・顔認識・与信）はいずれも「人間の過去の差別的・偏った行動のデータ」をAIが学習した結果。対策は①学習データの多様性と偏りの検証義務②アルゴリズムの透明性確保（説明可能AI）③第三者によるバイアス審査④人間による最終判断の維持。</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イノベーション反論の処理（追加条件）：「規制はイノベーションを抑制する」という反論に対して：①適切な規制は社会的信頼を高め長期的なAI普及を促進する（医薬品規制が製薬産業を抑制しなかった類比）。②EU型の強い規制がイノベーション抑制につながるかは現時点でデータが不十分。③日本は欧米ほどの強い規制でなく「バイアス検証義務」という中間的なアプローチで両立できる。</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は「テクノロジーは中立ではなく、設計者の価値観とバイアスが製品に埋め込まれる」と指摘する。補足データの3事例（Amazon採用AIの女性差別・顔認識の人種別精度差・与信AIの少数民族誤差）はこれを具体的に裏付ける。しかし重要な認識として、これらは「AIが自発的に差別する」のではなく、「人間の過去の差別的・偏った行動のデータをAIが学習・増幅する」という構造的問題だ。対策の方向性が変わる——AIを排除するのではなく、学習データの偏りを修正し、人間のバイアスをAIが増幅しない仕組みを設計することが本質だ。</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EU AI法（英語）を要約すると、「高リスクAIシステムは適合性評価を受け、透明性・人間による監督・無差別の確保が法的に義務づけられる」という強制力を持つハードロー型の規制だ。一方、日本のAI戦略2022は「公平性・透明性・アカウンタビリティの確保が重要」と述べるが、これは原則・ガイドラインというソフトロー（自主規制）の枠組みだ。EUが予防的・規制主導（人権保護を最優先）であるのに対し、日本は推進的・自主規制主導（イノベーション推進・企業の自主性尊重）という価値観の違いを反映している。</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規制によるイノベーション抑制」という反論を処理する。この批判は一定の正当性を持つ。しかし、適切なバイアス規制は社会的信頼を高め長期的なAI普及を促進するという逆の可能性もある。医薬品規制が製薬産業を抑制するどころか信頼性を高めて産業を発展させた類比は示唆的だ。EU AI法導入後のイノベーション指標への影響は現時点では不明だが、「規制＝抑制」という単純な断定は根拠が弱い。</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制度設計として、日本に適したアプローチを提言する。EU型の強い事前規制を直接適用するのではなく、高リスク用途（採用・融資・医療診断）に対する①学習データの多様性と偏りの検証義務（第三者審査）、②利用者への「AIが判断に関与している」という開示義務、③不服申し立て制度（AIによる不利益決定への異議申し立て）という三点のバイアス対策義務を法制化する。これは「ソフトロー（原則）に留まる現行の日本の枠組みを強化しながら、EU型の全面義務化との中間を実現する」アプローチだ。</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EU AI法の英語要約（高リスクAI→適合性評価・透明性・無差別の法的義務）が追加条件を満たしている。EUと日本の比較を「ハードロー vs ソフトロー」「人権保護優先 vs イノベーション優先」という価値観の違いとして整理した点が追加条件の高精度な充足になっている。「規制＝イノベーション抑制」という反論を「医薬品規制の類比」で処理した点が追加条件を満たしている。「AIが差別する vs 人間のバイアスをAIが学習する」という構造的認識がreadingHints充足として機能している。</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・EU AI法を英語のまま引用するか要約せず「EU規制が厳しい」という一般論にとどまる（追加条件未達）。</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・EUと日本のアプローチの違いを「強い規制vs弱い規制」として表面的に比較し、価値観の違いという本質を示せていない（追加条件未達）。</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・「規制によるイノベーション抑制」という反論を処理せず、単純に「規制が必要だ」という主張になっている（追加条件未達）。</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・EU AI法を「高リスクAI→適合性評価・透明性・無差別の法的義務というハードロー」と要約することで追加条件が完成する。</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・EUと日本の違いを「人権保護優先 vs イノベーション推進という価値観の違い」として示すと比較の深みが増す。</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・医薬品規制の類比を使った「規制が長期的にイノベーションを促進する可能性」を示すと反論処理が完成する。</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・〜（英語）を要約すると、「〜」という強制力を持つハードロー型の規制だ。一方、〜は「〜」という〜（ソフトロー）の枠組みだ。</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・〜が〜（価値観）であるのに対し、〜は〜（価値観）という違いを反映している。</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・「規制によるイノベーション抑制」という反論を処理する。この批判は一定の正当性を持つ。しかし〜という逆の可能性もある。</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・〜型の全面義務化との中間を実現する「〜アプローチ」。</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・EU AI法の英語引用を自分の言葉で日本語要約して使えていたか（追加条件）。</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・EUと日本のアプローチの違いを「価値観の違い（人権 vs 競争力）」として示せていたか（追加条件）。</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・「規制によるイノベーション抑制」という反論を処理できていたか（追加条件）。</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93E">
      <w:pPr>
        <w:pStyle w:val="Heading1"/>
        <w:rPr>
          <w:b w:val="1"/>
          <w:bCs w:val="1"/>
          <w:color w:val="1a3a6b"/>
          <w:sz w:val="28"/>
          <w:szCs w:val="28"/>
        </w:rPr>
      </w:pPr>
      <w:bookmarkStart w:colFirst="0" w:colLast="0" w:name="_583aag9ew8hi" w:id="35"/>
      <w:bookmarkEnd w:id="35"/>
      <w:r w:rsidDel="00000000" w:rsidR="00000000" w:rsidRPr="00000000">
        <w:rPr>
          <w:rFonts w:ascii="Arial Unicode MS" w:cs="Arial Unicode MS" w:eastAsia="Arial Unicode MS" w:hAnsi="Arial Unicode MS"/>
          <w:b w:val="1"/>
          <w:bCs w:val="1"/>
          <w:color w:val="1a3a6b"/>
          <w:sz w:val="28"/>
          <w:szCs w:val="28"/>
          <w:rtl w:val="0"/>
        </w:rPr>
        <w:t xml:space="preserve">【問題 No.29】　複合型／複合評価</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国債残高：1,000兆円超（対GDP比約260%、主要先進国最悪水準）</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歳出に占める国債費：23.5%（利払い費9.6兆円）</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7d6608"/>
          <w:sz w:val="20"/>
          <w:szCs w:val="20"/>
        </w:rPr>
      </w:pPr>
      <w:r w:rsidDel="00000000" w:rsidR="00000000" w:rsidRPr="00000000">
        <w:rPr>
          <w:rFonts w:ascii="Arial Unicode MS" w:cs="Arial Unicode MS" w:eastAsia="Arial Unicode MS" w:hAnsi="Arial Unicode MS"/>
          <w:b w:val="1"/>
          <w:bCs w:val="1"/>
          <w:color w:val="7d6608"/>
          <w:sz w:val="20"/>
          <w:szCs w:val="20"/>
          <w:rtl w:val="0"/>
        </w:rPr>
        <w:t xml:space="preserve">基礎的財政収支（PB）：−8.1兆円（黒字化目標：2025年度）</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【引用】財務省「日本の財政関係資料」（2023年）：「財政健全化に向けた取り組みを着実に進めることが、経済・財政の持続可能性を確保する観点から不可欠である。」</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color w:val="1b4f72"/>
          <w:sz w:val="20"/>
          <w:szCs w:val="20"/>
        </w:rPr>
      </w:pPr>
      <w:r w:rsidDel="00000000" w:rsidR="00000000" w:rsidRPr="00000000">
        <w:rPr>
          <w:rFonts w:ascii="Arial Unicode MS" w:cs="Arial Unicode MS" w:eastAsia="Arial Unicode MS" w:hAnsi="Arial Unicode MS"/>
          <w:b w:val="1"/>
          <w:bCs w:val="1"/>
          <w:color w:val="1b4f72"/>
          <w:sz w:val="20"/>
          <w:szCs w:val="20"/>
          <w:rtl w:val="0"/>
        </w:rPr>
        <w:t xml:space="preserve">【引用】朝日新聞（経済面）（2023年11月8日）：「MMT（現代貨幣理論）を根拠に「自国通貨建て国債はデフォルトしない」として財政拡大を求める主張がある一方、インフレリスクへの警戒も高まっている。」</w:t>
      </w:r>
    </w:p>
    <w:tbl>
      <w:tblPr>
        <w:tblStyle w:val="Table12"/>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2"/>
        <w:gridCol w:w="1701.2"/>
        <w:gridCol w:w="1701.2"/>
        <w:gridCol w:w="1701.2"/>
        <w:gridCol w:w="1701.2"/>
        <w:tblGridChange w:id="0">
          <w:tblGrid>
            <w:gridCol w:w="1701.2"/>
            <w:gridCol w:w="1701.2"/>
            <w:gridCol w:w="1701.2"/>
            <w:gridCol w:w="1701.2"/>
            <w:gridCol w:w="1701.2"/>
          </w:tblGrid>
        </w:tblGridChange>
      </w:tblGrid>
      <w:tr>
        <w:trPr>
          <w:cantSplit w:val="0"/>
          <w:tblHeader w:val="0"/>
        </w:trPr>
        <w:tc>
          <w:tcPr>
            <w:shd w:fill="d0d3d4" w:val="clear"/>
            <w:tcMar>
              <w:top w:w="100.0" w:type="dxa"/>
              <w:left w:w="100.0" w:type="dxa"/>
              <w:bottom w:w="100.0" w:type="dxa"/>
              <w:right w:w="100.0" w:type="dxa"/>
            </w:tcMar>
            <w:vAlign w:val="top"/>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財政政策の選択肢</w:t>
            </w:r>
          </w:p>
        </w:tc>
        <w:tc>
          <w:tcPr>
            <w:shd w:fill="d0d3d4" w:val="clear"/>
            <w:tcMar>
              <w:top w:w="100.0" w:type="dxa"/>
              <w:left w:w="100.0" w:type="dxa"/>
              <w:bottom w:w="100.0" w:type="dxa"/>
              <w:right w:w="10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財政健全化効果</w:t>
            </w:r>
          </w:p>
        </w:tc>
        <w:tc>
          <w:tcPr>
            <w:shd w:fill="d0d3d4" w:val="clear"/>
            <w:tcMar>
              <w:top w:w="100.0" w:type="dxa"/>
              <w:left w:w="100.0" w:type="dxa"/>
              <w:bottom w:w="100.0" w:type="dxa"/>
              <w:right w:w="100.0" w:type="dxa"/>
            </w:tcMar>
            <w:vAlign w:val="top"/>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景気への影響</w:t>
            </w:r>
          </w:p>
        </w:tc>
        <w:tc>
          <w:tcPr>
            <w:shd w:fill="d0d3d4" w:val="clear"/>
            <w:tcMar>
              <w:top w:w="100.0" w:type="dxa"/>
              <w:left w:w="100.0" w:type="dxa"/>
              <w:bottom w:w="100.0" w:type="dxa"/>
              <w:right w:w="100.0" w:type="dxa"/>
            </w:tcMar>
            <w:vAlign w:val="top"/>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社会保障への影響</w:t>
            </w:r>
          </w:p>
        </w:tc>
        <w:tc>
          <w:tcPr>
            <w:shd w:fill="d0d3d4" w:val="clear"/>
            <w:tcMar>
              <w:top w:w="100.0" w:type="dxa"/>
              <w:left w:w="100.0" w:type="dxa"/>
              <w:bottom w:w="100.0" w:type="dxa"/>
              <w:right w:w="100.0" w:type="dxa"/>
            </w:tcMar>
            <w:vAlign w:val="top"/>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国民負担</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消費税の段階的引き上げ（15%→）</w:t>
            </w:r>
          </w:p>
        </w:tc>
        <w:tc>
          <w:tcPr>
            <w:shd w:fill="auto" w:val="clear"/>
            <w:tcMar>
              <w:top w:w="100.0" w:type="dxa"/>
              <w:left w:w="100.0" w:type="dxa"/>
              <w:bottom w:w="100.0" w:type="dxa"/>
              <w:right w:w="100.0" w:type="dxa"/>
            </w:tcMar>
            <w:vAlign w:val="top"/>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マイナス（短期）</w:t>
            </w:r>
          </w:p>
        </w:tc>
        <w:tc>
          <w:tcPr>
            <w:shd w:fill="auto" w:val="clear"/>
            <w:tcMar>
              <w:top w:w="100.0" w:type="dxa"/>
              <w:left w:w="100.0" w:type="dxa"/>
              <w:bottom w:w="100.0" w:type="dxa"/>
              <w:right w:w="100.0" w:type="dxa"/>
            </w:tcMar>
            <w:vAlign w:val="top"/>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軽微</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逆進性あり</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歳出削減（社会保障費の見直し）</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中立〜マイナス</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大きい</w:t>
            </w:r>
          </w:p>
        </w:tc>
        <w:tc>
          <w:tcPr>
            <w:shd w:fill="auto" w:val="clear"/>
            <w:tcMar>
              <w:top w:w="100.0" w:type="dxa"/>
              <w:left w:w="100.0" w:type="dxa"/>
              <w:bottom w:w="100.0" w:type="dxa"/>
              <w:right w:w="100.0" w:type="dxa"/>
            </w:tcMar>
            <w:vAlign w:val="top"/>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経済成長による税収増（成長戦略）</w:t>
            </w:r>
          </w:p>
        </w:tc>
        <w:tc>
          <w:tcPr>
            <w:shd w:fill="auto" w:val="clear"/>
            <w:tcMar>
              <w:top w:w="100.0" w:type="dxa"/>
              <w:left w:w="100.0" w:type="dxa"/>
              <w:bottom w:w="100.0" w:type="dxa"/>
              <w:right w:w="100.0" w:type="dxa"/>
            </w:tcMar>
            <w:vAlign w:val="top"/>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中（不確実）</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プラス</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軽微</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低</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金融抑圧（低金利維持）</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中（時間稼ぎ）</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プラス（短期）</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軽微</w:t>
            </w:r>
          </w:p>
        </w:tc>
        <w:tc>
          <w:tcPr>
            <w:shd w:fill="auto" w:val="clear"/>
            <w:tcMar>
              <w:top w:w="100.0" w:type="dxa"/>
              <w:left w:w="100.0" w:type="dxa"/>
              <w:bottom w:w="100.0" w:type="dxa"/>
              <w:right w:w="100.0" w:type="dxa"/>
            </w:tcMar>
            <w:vAlign w:val="top"/>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低（見えにくい）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国債残高容認（MMT的アプローチ）</w:t>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低（反財健）</w:t>
            </w:r>
          </w:p>
        </w:tc>
        <w:tc>
          <w:tcPr>
            <w:shd w:fill="auto" w:val="clear"/>
            <w:tcMar>
              <w:top w:w="100.0" w:type="dxa"/>
              <w:left w:w="100.0" w:type="dxa"/>
              <w:bottom w:w="100.0" w:type="dxa"/>
              <w:right w:w="100.0" w:type="dxa"/>
            </w:tcMar>
            <w:vAlign w:val="top"/>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プラス</w:t>
            </w:r>
          </w:p>
        </w:tc>
        <w:tc>
          <w:tcPr>
            <w:shd w:fill="auto" w:val="clear"/>
            <w:tcMar>
              <w:top w:w="100.0" w:type="dxa"/>
              <w:left w:w="100.0" w:type="dxa"/>
              <w:bottom w:w="100.0" w:type="dxa"/>
              <w:right w:w="100.0" w:type="dxa"/>
            </w:tcMar>
            <w:vAlign w:val="top"/>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軽微</w:t>
            </w:r>
          </w:p>
        </w:tc>
        <w:tc>
          <w:tcPr>
            <w:shd w:fill="auto" w:val="clear"/>
            <w:tcMar>
              <w:top w:w="100.0" w:type="dxa"/>
              <w:left w:w="100.0" w:type="dxa"/>
              <w:bottom w:w="100.0" w:type="dxa"/>
              <w:right w:w="100.0" w:type="dxa"/>
            </w:tcMar>
            <w:vAlign w:val="top"/>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18"/>
                <w:szCs w:val="18"/>
              </w:rPr>
            </w:pPr>
            <w:r w:rsidDel="00000000" w:rsidR="00000000" w:rsidRPr="00000000">
              <w:rPr>
                <w:rFonts w:ascii="Arial Unicode MS" w:cs="Arial Unicode MS" w:eastAsia="Arial Unicode MS" w:hAnsi="Arial Unicode MS"/>
                <w:b w:val="1"/>
                <w:bCs w:val="1"/>
                <w:color w:val="1b4f72"/>
                <w:sz w:val="18"/>
                <w:szCs w:val="18"/>
                <w:rtl w:val="0"/>
              </w:rPr>
              <w:t xml:space="preserve">低（インフレリスク）</w:t>
            </w:r>
          </w:p>
        </w:tc>
      </w:tr>
    </w:tbl>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0"/>
          <w:szCs w:val="20"/>
        </w:rPr>
      </w:pPr>
      <w:r w:rsidDel="00000000" w:rsidR="00000000" w:rsidRPr="00000000">
        <w:rPr>
          <w:rtl w:val="0"/>
        </w:rPr>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b4f72"/>
          <w:sz w:val="24"/>
          <w:szCs w:val="24"/>
        </w:rPr>
      </w:pPr>
      <w:r w:rsidDel="00000000" w:rsidR="00000000" w:rsidRPr="00000000">
        <w:rPr>
          <w:rFonts w:ascii="Arial Unicode MS" w:cs="Arial Unicode MS" w:eastAsia="Arial Unicode MS" w:hAnsi="Arial Unicode MS"/>
          <w:b w:val="1"/>
          <w:bCs w:val="1"/>
          <w:color w:val="1b4f72"/>
          <w:sz w:val="24"/>
          <w:szCs w:val="24"/>
          <w:rtl w:val="0"/>
        </w:rPr>
        <w:t xml:space="preserve">日本の財政問題について、複数の資料を統合し、「財政健全化と社会保障維持の両立」は可能かどうかを分析し、あなたが支持する財政政策の方向性を条件付きで提言せよ。</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c0392b"/>
          <w:sz w:val="22"/>
          <w:szCs w:val="22"/>
        </w:rPr>
      </w:pPr>
      <w:r w:rsidDel="00000000" w:rsidR="00000000" w:rsidRPr="00000000">
        <w:rPr>
          <w:rFonts w:ascii="Arial Unicode MS" w:cs="Arial Unicode MS" w:eastAsia="Arial Unicode MS" w:hAnsi="Arial Unicode MS"/>
          <w:b w:val="1"/>
          <w:bCs w:val="1"/>
          <w:color w:val="c0392b"/>
          <w:sz w:val="22"/>
          <w:szCs w:val="22"/>
          <w:rtl w:val="0"/>
        </w:rPr>
        <w:t xml:space="preserve">【追加条件】MMTとオーソドックスな財政均衡論の対立を整理し、「どちらが正しいか」ではなく「どのような前提条件のもとでどちらが妥当か」を論じること。表の5選択肢を単独ではなく組み合わせとして検討すること。</w:t>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Fonts w:ascii="Arial Unicode MS" w:cs="Arial Unicode MS" w:eastAsia="Arial Unicode MS" w:hAnsi="Arial Unicode MS"/>
          <w:b w:val="1"/>
          <w:bCs w:val="1"/>
          <w:color w:val="6c3483"/>
          <w:sz w:val="20"/>
          <w:szCs w:val="20"/>
          <w:rtl w:val="0"/>
        </w:rPr>
        <w:t xml:space="preserve">【読み取りのヒント】対GDP比260%という数字は「返せない」のか「問題ない」のかは前提による。「国民負担が低（見えにくい）」の意味（インフレ税）を説明できるかが論証の深度を左右する。</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6c3483"/>
          <w:sz w:val="20"/>
          <w:szCs w:val="20"/>
        </w:rPr>
      </w:pPr>
      <w:r w:rsidDel="00000000" w:rsidR="00000000" w:rsidRPr="00000000">
        <w:rPr>
          <w:rtl w:val="0"/>
        </w:rPr>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【この問題のKey Point】</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・MMT vs 財政均衡論を「どちらが正しいか」ではなく「前提条件によってどちらが妥当か」として論じる（追加条件）：MMTが妥当な前提（財政政策の余地がある低インフレ環境・自国通貨建て国債・供給能力の余裕）vs 財政均衡論が妥当な前提（インフレ圧力・市場の信頼問題・国際収支への影響）。</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の5選択肢を単独でなく組み合わせとして検討すること（追加条件）：成長戦略（中・不確実）+歳出効率化（中）+消費税（段階的・小幅）という組み合わせが「リスク分散型財政再建」として最も現実的。</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国民負担が低（見えにくい）」＝インフレ税の説明（readingHints）：金融抑圧・MMT的アプローチの「見えにくい国民負担」とは、インフレによる実質的な購買力の低下（「インフレ税」）のこと。低所得者への逆進的な影響がある。</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対GDP比260%が問題か否か」は前提による（readingHints）：日銀が国債の大部分を保有（実質的な財政ファイナンス）しているため市場の直接的な圧力は低い。しかし出口戦略（金利上昇局面）での財政コスト増大リスクは存在する。</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【設問分析】</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財政政策という経済論争の最前線問題。MMTと財政均衡論の比較（追加条件）が核心。MMT：自国通貨建て国債はデフォルトしない・インフレが主な制約・現時点では財政拡大に余地があるという主張。財政均衡論：国債残高増大は将来の金利上昇リスク・社会保障費の圧迫・経済成長の阻害という問題をはらむ。前提条件による区別（追加条件）：インフレ率が低く経済に余力がある場合→MMT的アプローチに一定の妥当性。インフレ圧力・金利上昇局面→財政均衡論の優先性が増す。5選択肢の組み合わせ（追加条件）：成長戦略（最も国民負担少・不確実）+社会保障の見直し（効果中〜高・社会保障への影響大）+消費税（安定財源・逆進性）という三層。</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【論点整理】</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・MMTと財政均衡論の「前提条件による妥当性の区別」</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・「国民負担が低（見えにくい）」というインフレ税の概念</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・5選択肢の単独ではなく組み合わせによる財政再建戦略</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・「財政健全化と社会保障維持の両立」の可能性の分析</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【構成戦略】</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序論：補足データ（対GDP比260%・PB−8.1兆円）から問題の深刻さを示す。「260%が問題か」という問いを「前提による」として設定する（readingHints）。本論1：MMT vs 財政均衡論の「前提条件による妥当性の区別」（追加条件）。本論2：5選択肢の組み合わせ検討（追加条件）—インフレ税という「見えにくい負担」の説明（readingHints）。条件付き提言：「成長戦略＋社会保障の段階的見直し＋小幅消費税」という三層の組み合わせ。結論：「財政健全化と社会保障維持の両立は条件付きで可能」という評価。</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【構成メモ例】</w:t>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対GDP比260%の解釈：「返せない」か「問題ない」かは日銀の国債保有比率（実質的な財政ファイナンス）・市場の信頼・インフレ率という前提条件による。現状では市場の直接的な国債売り圧力は限定的だが、出口戦略での金利上昇局面では財政コストが急増するリスクがある。</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MMT vs 財政均衡論（追加条件）：MMTが妥当な前提：低インフレ・財政政策余地・供給余力。財政均衡論が妥当な前提：インフレ圧力・金利上昇・外国人投資家の動向。「どちらが正しいか」ではなく「現在の日本の条件に照らしてどちらがより妥当か」→現状の低インフレ環境ではMMT的アプローチに一定の余地があるが、インフレ圧力が高まる局面では財政健全化の優先が必要。</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インフレ税の説明（readingHints）：金融抑圧（低金利維持）・MMT的アプローチの「国民負担が低（見えにくい）」の正体：インフレによる実質的な購買力の低下。名目賃金が上がらない中でインフレが進行すると実質賃金が下がる。これは「見えない税」として機能し、低所得者・固定収入の年金生活者に逆進的な影響を与える。</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5選択肢の組み合わせ（追加条件）：最も現実的な三層：①成長戦略（国民負担低・不確実だが成功すれば最もコストが少ない→中期的な主力）。②社会保障の段階的見直し（中程度の財政効果・社会保障への影響を最小化しながら効率化）。③小幅な消費税（財政健全化の安定財源・逆進性への対策として低所得者免税）。単独の消費税大幅増では景気へのマイナスが大きすぎる。</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【模範解答】</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補足データによれば、日本の国債残高は1,000兆円超、対GDP比約260%と主要先進国最悪水準にある。この数値が「問題か否か」は前提条件による。日本銀行が国債の大部分を保有している現状では市場からの直接的な売り圧力は限定的だが、金利上昇局面での財政コスト増大リスクは存在する。</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MMTと財政均衡論の対立について、「どちらが正しいか」という問いを立てるより「どのような前提条件のもとでどちらが妥当か」と問い直すことが生産的だ。MMT（現代貨幣理論）が妥当な前提は、低インフレ環境・財政政策に余地がある状況・経済に供給能力の余裕がある場合だ。一方、財政均衡論が優先されるべきは、インフレ圧力が高まる局面・金利上昇が始まる局面・外国人投資家の信頼が揺らぐ場面だ。現在の日本はデフレ脱却の局面にあり、完全な財政拡大よりも「慎重に管理された財政出動」という中間的なアプローチが現実的だ。</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表の「国民負担が低（見えにくい）」という金融抑圧・MMT的アプローチの特徴について、「見えにくい」の正体はインフレ税だ。低金利・財政拡大でインフレが進行すると、名目賃金が上がらない中で実質的な購買力が低下する。これは低所得者・年金生活者に逆進的な影響を与える隠れた国民負担だ。</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5選択肢を単独でなく組み合わせとして検討する。私が支持する方向性は三層の組み合わせだ。第一層として成長戦略を中期的な主力とする。国民負担が最も少なく景気にもプラスだが、不確実性が高いため単独では財政健全化の主軸にできない。第二層として社会保障の段階的効率化を進める。高齢者医療の応能負担強化・重複給付の整理など「給付の質を守りながら無駄を削る」アプローチが中心となる。第三層として小幅な消費税引き上げを安定財源として加える。逆進性への対策として低所得者の食料品等への免税措置とセットで導入する。</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財政健全化と社会保障維持の両立」は、成長・効率化・小幅増税という三層を現実的な組み合わせとして同時並行で進めるという条件のもとで、中長期的には可能だと考える。単一手段での解決を求めず、複数手段の組み合わせで相互の弱点を補完することが、現時点で最も現実的な財政政策の方向性だ。</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【答案説明】</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MMT vs 財政均衡論を「前提条件による妥当性の区別」として整理した点が追加条件の精密な充足になっている。「インフレ税（見えにくい国民負担）」の説明がreadingHints充足として機能している。5選択肢の「三層の組み合わせ（成長+効率化+小幅増税）」という追加条件が完成している。「財政健全化と社会保障維持の両立は条件付きで可能」という結論が問いへの直接的な答えになっている。</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【よくある弱い答案】</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・MMT vs 財政均衡論を「どちらが正しいか」という二択として論じ、「前提条件による妥当性の区別」という追加条件の核心を外している。</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・表の5選択肢から1つだけを選んで論じ、組み合わせとして検討していない（追加条件未達）。</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922b21"/>
          <w:sz w:val="22"/>
          <w:szCs w:val="22"/>
        </w:rPr>
      </w:pPr>
      <w:r w:rsidDel="00000000" w:rsidR="00000000" w:rsidRPr="00000000">
        <w:rPr>
          <w:rFonts w:ascii="Arial Unicode MS" w:cs="Arial Unicode MS" w:eastAsia="Arial Unicode MS" w:hAnsi="Arial Unicode MS"/>
          <w:b w:val="1"/>
          <w:bCs w:val="1"/>
          <w:color w:val="922b21"/>
          <w:sz w:val="22"/>
          <w:szCs w:val="22"/>
          <w:rtl w:val="0"/>
        </w:rPr>
        <w:t xml:space="preserve">・「国民負担が低（見えにくい）」の意味（インフレ税）を説明できていない（readingHints未充足）。</w:t>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22b21"/>
          <w:sz w:val="22"/>
          <w:szCs w:val="22"/>
        </w:rPr>
      </w:pPr>
      <w:r w:rsidDel="00000000" w:rsidR="00000000" w:rsidRPr="00000000">
        <w:rPr>
          <w:rtl w:val="0"/>
        </w:rPr>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【上位答案にするための改善ポイント】</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・MMTを「低インフレ環境では妥当・インフレ圧力局面では財政均衡論が優先」という前提条件による区別として示すと追加条件が完成する。</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・「成長戦略（中・不確実）+社会保障効率化（中〜高）+小幅消費税（安定財源）」という三層の組み合わせを示す。</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d6a39"/>
          <w:sz w:val="22"/>
          <w:szCs w:val="22"/>
        </w:rPr>
      </w:pPr>
      <w:r w:rsidDel="00000000" w:rsidR="00000000" w:rsidRPr="00000000">
        <w:rPr>
          <w:rFonts w:ascii="Arial Unicode MS" w:cs="Arial Unicode MS" w:eastAsia="Arial Unicode MS" w:hAnsi="Arial Unicode MS"/>
          <w:b w:val="1"/>
          <w:bCs w:val="1"/>
          <w:color w:val="1d6a39"/>
          <w:sz w:val="22"/>
          <w:szCs w:val="22"/>
          <w:rtl w:val="0"/>
        </w:rPr>
        <w:t xml:space="preserve">・「金融抑圧・MMT的アプローチの国民負担の正体はインフレ税（実質賃金低下・逆進的影響）」と説明するとreadingHints充足。</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d6a39"/>
          <w:sz w:val="22"/>
          <w:szCs w:val="22"/>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【使える表現集】</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・「〜か否か」という問いを立てるより「どのような前提条件のもとでどちらが妥当か」と問い直すことが生産的だ。</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・〜が妥当な前提は〜。一方、〜が優先されるべきは〜だ。</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・「国民負担が低（見えにくい）」の正体は〜だ。〜が進行すると、〜に逆進的な影響を与える。</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color w:val="154360"/>
          <w:sz w:val="22"/>
          <w:szCs w:val="22"/>
        </w:rPr>
      </w:pPr>
      <w:r w:rsidDel="00000000" w:rsidR="00000000" w:rsidRPr="00000000">
        <w:rPr>
          <w:rFonts w:ascii="Arial Unicode MS" w:cs="Arial Unicode MS" w:eastAsia="Arial Unicode MS" w:hAnsi="Arial Unicode MS"/>
          <w:b w:val="1"/>
          <w:bCs w:val="1"/>
          <w:color w:val="154360"/>
          <w:sz w:val="22"/>
          <w:szCs w:val="22"/>
          <w:rtl w:val="0"/>
        </w:rPr>
        <w:t xml:space="preserve">・5選択肢を単独でなく組み合わせとして検討する。私が支持する方向性は三層の組み合わせだ。第一層として〜。第二層として〜。第三層として〜。</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54360"/>
          <w:sz w:val="22"/>
          <w:szCs w:val="22"/>
        </w:rPr>
      </w:pPr>
      <w:r w:rsidDel="00000000" w:rsidR="00000000" w:rsidRPr="00000000">
        <w:rPr>
          <w:rtl w:val="0"/>
        </w:rPr>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【復習課題】</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・MMTと財政均衡論を「前提条件による妥当性の区別」として論じられていたか（追加条件）。</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・5選択肢を組み合わせとして検討できていたか（追加条件）。</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・「国民負担が低（見えにくい）」＝インフレ税の意味を説明できていたか（readingHints）。</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rtl w:val="0"/>
        </w:rPr>
      </w:r>
    </w:p>
    <w:p w:rsidR="00000000" w:rsidDel="00000000" w:rsidP="00000000" w:rsidRDefault="00000000" w:rsidRPr="00000000" w14:paraId="000009A2">
      <w:pPr>
        <w:pStyle w:val="Heading1"/>
        <w:rPr>
          <w:b w:val="1"/>
          <w:bCs w:val="1"/>
          <w:color w:val="1a3a6b"/>
          <w:sz w:val="28"/>
          <w:szCs w:val="28"/>
        </w:rPr>
      </w:pPr>
      <w:bookmarkStart w:colFirst="0" w:colLast="0" w:name="_x5u90tcw7frb" w:id="36"/>
      <w:bookmarkEnd w:id="36"/>
      <w:r w:rsidDel="00000000" w:rsidR="00000000" w:rsidRPr="00000000">
        <w:rPr>
          <w:rFonts w:ascii="Arial Unicode MS" w:cs="Arial Unicode MS" w:eastAsia="Arial Unicode MS" w:hAnsi="Arial Unicode MS"/>
          <w:b w:val="1"/>
          <w:bCs w:val="1"/>
          <w:color w:val="1a3a6b"/>
          <w:sz w:val="28"/>
          <w:szCs w:val="28"/>
          <w:rtl w:val="0"/>
        </w:rPr>
        <w:t xml:space="preserve">【問題 No.30】　複合型／研究提案（最終問題）</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aaaaaa"/>
          <w:sz w:val="16"/>
          <w:szCs w:val="16"/>
        </w:rPr>
      </w:pPr>
      <w:r w:rsidDel="00000000" w:rsidR="00000000" w:rsidRPr="00000000">
        <w:rPr>
          <w:b w:val="1"/>
          <w:bCs w:val="1"/>
          <w:color w:val="aaaaaa"/>
          <w:sz w:val="16"/>
          <w:szCs w:val="16"/>
          <w:rtl w:val="0"/>
        </w:rPr>
        <w:t xml:space="preserve">─────────────────────────────────────────────────────────</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color w:val="1a3a6b"/>
          <w:sz w:val="24"/>
          <w:szCs w:val="24"/>
        </w:rPr>
      </w:pPr>
      <w:r w:rsidDel="00000000" w:rsidR="00000000" w:rsidRPr="00000000">
        <w:rPr>
          <w:rFonts w:ascii="Arial Unicode MS" w:cs="Arial Unicode MS" w:eastAsia="Arial Unicode MS" w:hAnsi="Arial Unicode MS"/>
          <w:b w:val="1"/>
          <w:bCs w:val="1"/>
          <w:color w:val="1a3a6b"/>
          <w:sz w:val="24"/>
          <w:szCs w:val="24"/>
          <w:rtl w:val="0"/>
        </w:rPr>
        <w:t xml:space="preserve">【設問】</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a5276"/>
          <w:sz w:val="22"/>
          <w:szCs w:val="22"/>
        </w:rPr>
      </w:pPr>
      <w:r w:rsidDel="00000000" w:rsidR="00000000" w:rsidRPr="00000000">
        <w:rPr>
          <w:rFonts w:ascii="Arial Unicode MS" w:cs="Arial Unicode MS" w:eastAsia="Arial Unicode MS" w:hAnsi="Arial Unicode MS"/>
          <w:b w:val="1"/>
          <w:bCs w:val="1"/>
          <w:i w:val="1"/>
          <w:iCs w:val="1"/>
          <w:color w:val="1a5276"/>
          <w:sz w:val="22"/>
          <w:szCs w:val="22"/>
          <w:rtl w:val="0"/>
        </w:rPr>
        <w:t xml:space="preserve">【課題文A】科学はエビデンスに基づくが、政策はエビデンスだけでは決まらない。価値判断が不可避である。</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【課題文B】不確実性の高い問題において、「証拠がない」ことは「証拠がないことの証拠」ではない。予防原則が重要となる。</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IPCC第6次評価報告書（2023年）：1.5℃目標達成には2030年までに排出量を43%削減が必要</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現状NDC合計：2030年時点で1990年比+10.6%増（不十分）</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日本の削減目標：2030年に2013年比46%削減</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7d6608"/>
          <w:sz w:val="20"/>
          <w:szCs w:val="20"/>
        </w:rPr>
      </w:pPr>
      <w:r w:rsidDel="00000000" w:rsidR="00000000" w:rsidRPr="00000000">
        <w:rPr>
          <w:rFonts w:ascii="Arial Unicode MS" w:cs="Arial Unicode MS" w:eastAsia="Arial Unicode MS" w:hAnsi="Arial Unicode MS"/>
          <w:b w:val="1"/>
          <w:bCs w:val="1"/>
          <w:i w:val="1"/>
          <w:iCs w:val="1"/>
          <w:color w:val="7d6608"/>
          <w:sz w:val="20"/>
          <w:szCs w:val="20"/>
          <w:rtl w:val="0"/>
        </w:rPr>
        <w:t xml:space="preserve">日本のGHG排出量達成見込み：目標に対し約8%不足（環境省試算）</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b4f72"/>
          <w:sz w:val="20"/>
          <w:szCs w:val="20"/>
        </w:rPr>
      </w:pPr>
      <w:r w:rsidDel="00000000" w:rsidR="00000000" w:rsidRPr="00000000">
        <w:rPr>
          <w:rFonts w:ascii="Arial Unicode MS" w:cs="Arial Unicode MS" w:eastAsia="Arial Unicode MS" w:hAnsi="Arial Unicode MS"/>
          <w:b w:val="1"/>
          <w:bCs w:val="1"/>
          <w:i w:val="1"/>
          <w:iCs w:val="1"/>
          <w:color w:val="1b4f72"/>
          <w:sz w:val="20"/>
          <w:szCs w:val="20"/>
          <w:rtl w:val="0"/>
        </w:rPr>
        <w:t xml:space="preserve">【引用】IPCC Sixth Assessment Report, Summary for Policymakers（2023）：「It is unequivocal that human influence has warmed the atmosphere, ocean and land. Widespread and rapid changes in the atmosphere, ocean, cryosphere and biosphere have occurred.」</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0" w:right="0" w:hanging="280"/>
        <w:jc w:val="left"/>
        <w:rPr>
          <w:b w:val="1"/>
          <w:bCs w:val="1"/>
          <w:i w:val="1"/>
          <w:iCs w:val="1"/>
          <w:color w:val="1b4f72"/>
          <w:sz w:val="20"/>
          <w:szCs w:val="20"/>
        </w:rPr>
      </w:pPr>
      <w:r w:rsidDel="00000000" w:rsidR="00000000" w:rsidRPr="00000000">
        <w:rPr>
          <w:rFonts w:ascii="Arial Unicode MS" w:cs="Arial Unicode MS" w:eastAsia="Arial Unicode MS" w:hAnsi="Arial Unicode MS"/>
          <w:b w:val="1"/>
          <w:bCs w:val="1"/>
          <w:i w:val="1"/>
          <w:iCs w:val="1"/>
          <w:color w:val="1b4f72"/>
          <w:sz w:val="20"/>
          <w:szCs w:val="20"/>
          <w:rtl w:val="0"/>
        </w:rPr>
        <w:t xml:space="preserve">【引用】環境基本計画（第六次、閣議決定）（2024年）：「2050年カーボンニュートラルの実現に向け、脱炭素化と経済社会の変革を同時に実現するグリーントランスフォーメーション（GX）を推進する。」</w:t>
      </w:r>
    </w:p>
    <w:tbl>
      <w:tblPr>
        <w:tblStyle w:val="Table13"/>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2"/>
        <w:gridCol w:w="1701.2"/>
        <w:gridCol w:w="1701.2"/>
        <w:gridCol w:w="1701.2"/>
        <w:gridCol w:w="1701.2"/>
        <w:tblGridChange w:id="0">
          <w:tblGrid>
            <w:gridCol w:w="1701.2"/>
            <w:gridCol w:w="1701.2"/>
            <w:gridCol w:w="1701.2"/>
            <w:gridCol w:w="1701.2"/>
            <w:gridCol w:w="1701.2"/>
          </w:tblGrid>
        </w:tblGridChange>
      </w:tblGrid>
      <w:tr>
        <w:trPr>
          <w:cantSplit w:val="0"/>
          <w:tblHeader w:val="0"/>
        </w:trPr>
        <w:tc>
          <w:tcPr>
            <w:shd w:fill="d0d3d4" w:val="clear"/>
            <w:tcMar>
              <w:top w:w="100.0" w:type="dxa"/>
              <w:left w:w="100.0" w:type="dxa"/>
              <w:bottom w:w="100.0" w:type="dxa"/>
              <w:right w:w="100.0" w:type="dxa"/>
            </w:tcMar>
            <w:vAlign w:val="top"/>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脱炭素化施策</w:t>
            </w:r>
          </w:p>
        </w:tc>
        <w:tc>
          <w:tcPr>
            <w:shd w:fill="d0d3d4" w:val="clear"/>
            <w:tcMar>
              <w:top w:w="100.0" w:type="dxa"/>
              <w:left w:w="100.0" w:type="dxa"/>
              <w:bottom w:w="100.0" w:type="dxa"/>
              <w:right w:w="100.0" w:type="dxa"/>
            </w:tcMar>
            <w:vAlign w:val="top"/>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削減効果（Mt-CO2）</w:t>
            </w:r>
          </w:p>
        </w:tc>
        <w:tc>
          <w:tcPr>
            <w:shd w:fill="d0d3d4" w:val="clear"/>
            <w:tcMar>
              <w:top w:w="100.0" w:type="dxa"/>
              <w:left w:w="100.0" w:type="dxa"/>
              <w:bottom w:w="100.0" w:type="dxa"/>
              <w:right w:w="10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コスト（兆円/年）</w:t>
            </w:r>
          </w:p>
        </w:tc>
        <w:tc>
          <w:tcPr>
            <w:shd w:fill="d0d3d4" w:val="clear"/>
            <w:tcMar>
              <w:top w:w="100.0" w:type="dxa"/>
              <w:left w:w="100.0" w:type="dxa"/>
              <w:bottom w:w="100.0" w:type="dxa"/>
              <w:right w:w="100.0" w:type="dxa"/>
            </w:tcMar>
            <w:vAlign w:val="top"/>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技術準備度</w:t>
            </w:r>
          </w:p>
        </w:tc>
        <w:tc>
          <w:tcPr>
            <w:shd w:fill="d0d3d4" w:val="clear"/>
            <w:tcMar>
              <w:top w:w="100.0" w:type="dxa"/>
              <w:left w:w="100.0" w:type="dxa"/>
              <w:bottom w:w="100.0" w:type="dxa"/>
              <w:right w:w="100.0" w:type="dxa"/>
            </w:tcMar>
            <w:vAlign w:val="top"/>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社会受容性</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省エネ規制強化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50〜80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再エネ大幅拡大</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100〜150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中（景観問題）</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原子力の最大活用</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70〜100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1〜2（既存炉）</w:t>
            </w:r>
          </w:p>
        </w:tc>
        <w:tc>
          <w:tcPr>
            <w:shd w:fill="auto" w:val="clear"/>
            <w:tcMar>
              <w:top w:w="100.0" w:type="dxa"/>
              <w:left w:w="100.0" w:type="dxa"/>
              <w:bottom w:w="100.0" w:type="dxa"/>
              <w:right w:w="100.0" w:type="dxa"/>
            </w:tcMar>
            <w:vAlign w:val="top"/>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低（世論）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CCS（炭素回収貯留）</w:t>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30〜50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中</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水素・アンモニア混焼</w:t>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20〜40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中</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森林・農地のCO2吸収</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20〜30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高</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18"/>
                <w:szCs w:val="18"/>
              </w:rPr>
            </w:pPr>
            <w:r w:rsidDel="00000000" w:rsidR="00000000" w:rsidRPr="00000000">
              <w:rPr>
                <w:rFonts w:ascii="Arial Unicode MS" w:cs="Arial Unicode MS" w:eastAsia="Arial Unicode MS" w:hAnsi="Arial Unicode MS"/>
                <w:b w:val="1"/>
                <w:bCs w:val="1"/>
                <w:i w:val="1"/>
                <w:iCs w:val="1"/>
                <w:color w:val="1b4f72"/>
                <w:sz w:val="18"/>
                <w:szCs w:val="18"/>
                <w:rtl w:val="0"/>
              </w:rPr>
              <w:t xml:space="preserve">高</w:t>
            </w:r>
          </w:p>
        </w:tc>
      </w:tr>
    </w:tbl>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20"/>
          <w:szCs w:val="20"/>
        </w:rPr>
      </w:pPr>
      <w:r w:rsidDel="00000000" w:rsidR="00000000" w:rsidRPr="00000000">
        <w:rPr>
          <w:rtl w:val="0"/>
        </w:rPr>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b4f72"/>
          <w:sz w:val="24"/>
          <w:szCs w:val="24"/>
        </w:rPr>
      </w:pPr>
      <w:r w:rsidDel="00000000" w:rsidR="00000000" w:rsidRPr="00000000">
        <w:rPr>
          <w:rFonts w:ascii="Arial Unicode MS" w:cs="Arial Unicode MS" w:eastAsia="Arial Unicode MS" w:hAnsi="Arial Unicode MS"/>
          <w:b w:val="1"/>
          <w:bCs w:val="1"/>
          <w:i w:val="1"/>
          <w:iCs w:val="1"/>
          <w:color w:val="1b4f72"/>
          <w:sz w:val="24"/>
          <w:szCs w:val="24"/>
          <w:rtl w:val="0"/>
        </w:rPr>
        <w:t xml:space="preserve">超上級最終問題：複数の資料（英語含む）を統合し、日本が2030年削減目標を達成しつつ2050年カーボンニュートラルへの道筋を確保するための政策パッケージを提言せよ。</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c0392b"/>
          <w:sz w:val="22"/>
          <w:szCs w:val="22"/>
        </w:rPr>
      </w:pPr>
      <w:r w:rsidDel="00000000" w:rsidR="00000000" w:rsidRPr="00000000">
        <w:rPr>
          <w:rFonts w:ascii="Arial Unicode MS" w:cs="Arial Unicode MS" w:eastAsia="Arial Unicode MS" w:hAnsi="Arial Unicode MS"/>
          <w:b w:val="1"/>
          <w:bCs w:val="1"/>
          <w:i w:val="1"/>
          <w:iCs w:val="1"/>
          <w:color w:val="c0392b"/>
          <w:sz w:val="22"/>
          <w:szCs w:val="22"/>
          <w:rtl w:val="0"/>
        </w:rPr>
        <w:t xml:space="preserve">【追加条件】① IPCCの英語引用を要約して使用すること。② 表の6施策から最低3つを組み合わせ、「削減効果の合計」と「コストの合計」を試算すること。③ 科学的合意（IPCC）と政策の乖離の理由を「技術」「政治」「経済」の3軸で分析すること。④ 「予防原則」（課題文B）と「コスト・ベネフィット分析」の緊張関係を論じること。</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Fonts w:ascii="Arial Unicode MS" w:cs="Arial Unicode MS" w:eastAsia="Arial Unicode MS" w:hAnsi="Arial Unicode MS"/>
          <w:b w:val="1"/>
          <w:bCs w:val="1"/>
          <w:i w:val="1"/>
          <w:iCs w:val="1"/>
          <w:color w:val="6c3483"/>
          <w:sz w:val="20"/>
          <w:szCs w:val="20"/>
          <w:rtl w:val="0"/>
        </w:rPr>
        <w:t xml:space="preserve">【読み取りのヒント】「証拠がないことは証拠がないことの証拠ではない」の意味：気候変動のように「手遅れになってから証明される」問題では、証明を待つコストが証明するコストより高くなる可能性がある。この論理を使うことが上級者の答案を特徴づける。</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6c3483"/>
          <w:sz w:val="20"/>
          <w:szCs w:val="20"/>
        </w:rPr>
      </w:pP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【この問題のKey Point】</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IPCC英語引用の要約（追加条件①）：「IPCCの報告書は人間活動が大気・海洋・陸地を温暖化させたことは疑いの余地がないと述べており、大気・海洋・雪氷圏・生物圏に急速で広範な変化が生じているとしている」。</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表の3施策以上の組み合わせと削減効果・コストの試算（追加条件②）：例えば「再エネ大幅拡大（100〜150Mt・4〜6兆円）+省エネ規制強化（50〜80Mt・2〜3兆円）+森林吸収（20〜30Mt・0.5〜1兆円）」の合計は170〜260Mt削減・6.5〜10兆円。</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科学的合意と政策乖離の3軸分析（追加条件③）：技術（代替技術のコストと移行期の不安定性）・政治（化石燃料業界の利害・選挙サイクルと長期政策の不整合）・経済（短期コストと長期便益の時間軸の差）。</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予防原則とコスト・ベネフィット分析の緊張（追加条件④）：課題文Bの「証拠なしでも予防的措置が必要」という論理と、「コストが確実で便益が不確実」というCBA的批判の緊張関係。気候変動の場合「手遅れになってから証明される」という不可逆性が予防原則を正当化する（readingHints）。</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【設問分析】</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超上級最終問題。4つの追加条件すべてを満たすことが求められる。①IPCC英語要約、②表の組み合わせ試算、③科学・政策乖離の3軸分析、④予防原則 vs CBAの緊張。補足データから「日本は2030年目標に約8%不足」という現実的な課題が与えられており、「既存施策の延長では達成困難」という前提から出発する。課題文AとBの統合：課題文A（政策は価値判断が不可避）は「どの施策を優先するかは価値判断」という論点を提供。課題文B（予防原則）は「不確実でも行動すべき理由」を提供。</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【論点整理】</w: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・IPCC英語引用の要約と科学的合意の確実性</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・表の組み合わせによる削減量・コストの試算</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・科学的合意と政策乖離の3軸（技術・政治・経済）分析</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・予防原則とコスト・ベネフィット分析の緊張関係の解決</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【構成戦略】</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序論：IPCC英語引用を要約し、科学的合意の確実性を示す。「日本は目標に8%不足」という現実から出発。課題文A（価値判断の不可避）とB（予防原則）の統合的理解を示す。本論1：科学的合意と政策乖離の3軸分析（技術・政治・経済）（追加条件③）。本論2：表の施策組み合わせ試算（追加条件②）と優先根拠。予防原則 vs CBAの緊張（追加条件④）。結論：「価値判断として予防原則を採用しつつ、費用対効果の高い施策を優先する」という条件付き政策パッケージ。</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【構成メモ例】</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IPCC英語要約（追加条件①）：IPCCの第6次評価報告書は、「人間活動が大気・海洋・陸地を温暖化させたことは疑いの余地がない（unequivocal）」と述べ、気候・生態系への急速かつ広範な変化が確認されているとしている。この科学的合意は「気候変動は人間活動によるもの」という点では確立されているが、「どの施策が最も効果的か」という政策判断には価値判断が入る（課題文A）。</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施策組み合わせ試算（追加条件②）：組み合わせ提案：①再エネ大幅拡大（削減100〜150Mt・コスト4〜6兆円/年・技術高・受容性中）+ ②省エネ規制強化（50〜80Mt・2〜3兆円）+ ③森林・農地吸収（20〜30Mt・0.5〜1兆円）= 合計170〜260Mt削減・6.5〜10兆円/年。日本の現状GHG排出量（約1,060Mt）の16〜25%に相当。</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科学的合意と政策乖離の3軸（追加条件③）：技術軸：代替技術（再エネ・蓄電池）のコストは低下したが、系統安定化・送電網整備という追加コストが残る。政治軸：化石燃料産業・電力業界の利害・選挙サイクル（数年）と気候政策（数十年）の時間軸のミスマッチ。経済軸：削減コストは現在確実にかかるが便益（気候変動抑制）は長期的・不確実。この経済的時間割引問題が「今行動しにくい」構造を生む。</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予防原則 vs CBA（追加条件④）：CBA（コスト・ベネフィット分析）的批判：削減コストは確実だが気温上昇の便益は不確実・遠い将来の話→時間割引すると現在価値が低くなる→「今は行動しなくてよい」という結論が導かれる可能性。予防原則（課題文B）の応答：気候変動の被害は「不可逆的」（手遅れになってから証明される）→証明を待つコストが証明するコストより高い可能性→「不確実でも今行動すべき」という価値判断が正当化される。</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【模範解答】</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IPCCの第6次評価報告書は「人間活動が大気・海洋・陸地を温暖化させたことは疑いの余地がない」と述べ、気候・生態系への急速かつ広範な変化が確認されているとしている。この科学的合意は「気候変動は人間活動によるもの」という点では確立されている。しかし課題文Aが指摘するように、「どの施策を優先するか」という政策の領域には価値判断が入る。</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科学的合意と政策の乖離を三軸で分析する。技術軸では、再エネのコストは急低下したが系統安定化・送電網整備という追加コストと時間が残る。政治軸では、化石燃料産業・電力業界の経済的利害と、数年の選挙サイクルで動く政治家が数十年規模の気候政策を推進しにくいという時間軸のミスマッチがある。経済軸では、削減コストは現在確実にかかるが便益（気候変動の抑制）は長期的・不確実であり、割引率を高く設定すると「今行動しなくてよい」という結論が導かれやすくなる。</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この乖離に対して課題文Bの「予防原則」が重要な役割を果たす。コスト・ベネフィット分析的な立場からは「コストは確実、便益は不確実→今は行動不要」という結論が導かれる可能性がある。しかし気候変動の被害は「不可逆的」だ——1.5℃を超えてから対策を強化しても元には戻せない。「手遅れになってから証明される」という不可逆性が証明されたとき、証明を待ったコストは対策を取ったコストより高くなる可能性がある。この非対称性こそが、不確実性の下でも今行動すべきという予防原則を正当化する根拠だ。</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表から最低3施策を組み合わせた政策パッケージを提示する。①再エネ大幅拡大（削減100〜150Mt・コスト4〜6兆円/年）、②省エネ規制強化（50〜80Mt・2〜3兆円）、③森林・農地のCO2吸収（20〜30Mt・0.5〜1兆円）の組み合わせで、合計170〜260Mt削減・6.5〜10兆円/年の規模感となる。日本の現状GHG排出量（約1,060Mt）の16〜25%に相当し、「2030年目標に対し8%不足」という現状を補完できる水準だ。原子力（削減70〜100Mt・コスト1〜2兆円）は社会受容性が低いという課題があるが、費用対効果が高く2030年目標に向けた現実的な選択肢として、条件付きで（安全審査を通過した既存炉の最大活用）政策パッケージに加える。</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　課題文Aが示すように、政策には価値判断が不可避だ。「誰がどれだけコストを負担するか」「世代間の負担と便益の配分」「原子力活用をめぐる安全と電力安定のトレードオフ」という選択は、科学だけでは決まらない。しかし科学的合意が「今行動しなければ手遅れになるリスクが高い」ことを示している以上、「不確実性を理由に何もしない」という選択は、課題文Bの予防原則に基づけば最も危険な選択だと考える。</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【答案説明】</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IPCC英語引用の日本語要約（「疑いの余地がない」という表現の意味まで説明）が追加条件①を満たしている。科学的合意と政策乖離の3軸（技術・政治・経済）分析が追加条件③を完全に満たしている。施策の組み合わせ試算（170〜260Mt・6.5〜10兆円）が追加条件②を数値として示している。予防原則 vs CBAの緊張について「不可逆性→証明を待つコストが対策コストより高い」という論理でReadingHints充足と追加条件④を満たしている。課題文A（価値判断不可避）とB（予防原則）を統合した結論が超上級最終問題らしい論の完成を示している。</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【よくある弱い答案】</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・IPCC英語引用を要約せず英語のまま使うか全く使わない（追加条件①未達）。</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・表の施策を1〜2つしか組み合わせず、削減量・コストの試算を示さない（追加条件②未達）。</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・科学的合意と政策乖離の分析を「政治家がやる気がない」という単純な政治論にとどめ、技術・経済という3軸での分析をしていない（追加条件③未達）。</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922b21"/>
          <w:sz w:val="22"/>
          <w:szCs w:val="22"/>
        </w:rPr>
      </w:pPr>
      <w:r w:rsidDel="00000000" w:rsidR="00000000" w:rsidRPr="00000000">
        <w:rPr>
          <w:rFonts w:ascii="Arial Unicode MS" w:cs="Arial Unicode MS" w:eastAsia="Arial Unicode MS" w:hAnsi="Arial Unicode MS"/>
          <w:b w:val="1"/>
          <w:bCs w:val="1"/>
          <w:i w:val="1"/>
          <w:iCs w:val="1"/>
          <w:color w:val="922b21"/>
          <w:sz w:val="22"/>
          <w:szCs w:val="22"/>
          <w:rtl w:val="0"/>
        </w:rPr>
        <w:t xml:space="preserve">・予防原則とコスト・ベネフィット分析の緊張を論じず、「環境大切だから行動すべき」という感情論になっている（追加条件④未達）。</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922b21"/>
          <w:sz w:val="22"/>
          <w:szCs w:val="22"/>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【上位答案にするための改善ポイント】</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・IPCC「unequivocal」を「疑いの余地がない」と訳し、科学的合意の確実性のレベルを示すことが追加条件①の精密な充足。</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・3施策の合計削減量・コストの試算（170〜260Mt・6.5〜10兆円）を示すことで追加条件②が定量的に完成する。</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・政策乖離の3軸（技術：系統コスト・政治：選挙サイクル・経済：時間割引問題）を明示することが追加条件③の充足。</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d6a39"/>
          <w:sz w:val="22"/>
          <w:szCs w:val="22"/>
        </w:rPr>
      </w:pPr>
      <w:r w:rsidDel="00000000" w:rsidR="00000000" w:rsidRPr="00000000">
        <w:rPr>
          <w:rFonts w:ascii="Arial Unicode MS" w:cs="Arial Unicode MS" w:eastAsia="Arial Unicode MS" w:hAnsi="Arial Unicode MS"/>
          <w:b w:val="1"/>
          <w:bCs w:val="1"/>
          <w:i w:val="1"/>
          <w:iCs w:val="1"/>
          <w:color w:val="1d6a39"/>
          <w:sz w:val="22"/>
          <w:szCs w:val="22"/>
          <w:rtl w:val="0"/>
        </w:rPr>
        <w:t xml:space="preserve">・予防原則の正当化として「不可逆性→証明を待つコストが対策コストより高い」という論理（readingHints）を使うことが追加条件④の充足。</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d6a39"/>
          <w:sz w:val="22"/>
          <w:szCs w:val="22"/>
        </w:rPr>
      </w:pP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【使える表現集】</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・〜は「〜は疑いの余地がない（unequivocal）」と述べ、〜が確認されているとしている。</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・科学的合意と政策の乖離を三軸で分析する。技術軸では〜。政治軸では〜。経済軸では〜。</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・施策〜（削減〜Mt・コスト〜兆円/年）+〜（〜Mt・〜兆円）+〜（〜Mt・〜兆円）の組み合わせで、合計〜Mt削減・〜兆円/年の規模感となる。</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・「手遅れになってから証明される」という不可逆性が証明されたとき、証明を待ったコストは対策を取ったコストより高くなる可能性がある。</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76" w:lineRule="auto"/>
        <w:ind w:left="280" w:right="0" w:hanging="280"/>
        <w:jc w:val="left"/>
        <w:rPr>
          <w:b w:val="1"/>
          <w:bCs w:val="1"/>
          <w:i w:val="1"/>
          <w:iCs w:val="1"/>
          <w:color w:val="154360"/>
          <w:sz w:val="22"/>
          <w:szCs w:val="22"/>
        </w:rPr>
      </w:pPr>
      <w:r w:rsidDel="00000000" w:rsidR="00000000" w:rsidRPr="00000000">
        <w:rPr>
          <w:rFonts w:ascii="Arial Unicode MS" w:cs="Arial Unicode MS" w:eastAsia="Arial Unicode MS" w:hAnsi="Arial Unicode MS"/>
          <w:b w:val="1"/>
          <w:bCs w:val="1"/>
          <w:i w:val="1"/>
          <w:iCs w:val="1"/>
          <w:color w:val="154360"/>
          <w:sz w:val="22"/>
          <w:szCs w:val="22"/>
          <w:rtl w:val="0"/>
        </w:rPr>
        <w:t xml:space="preserve">・「不確実性を理由に何もしない」という選択は、予防原則に基づけば最も危険な選択だ。</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54360"/>
          <w:sz w:val="22"/>
          <w:szCs w:val="22"/>
        </w:rPr>
      </w:pPr>
      <w:r w:rsidDel="00000000" w:rsidR="00000000" w:rsidRPr="00000000">
        <w:rPr>
          <w:rtl w:val="0"/>
        </w:rPr>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b w:val="1"/>
          <w:bCs w:val="1"/>
          <w:i w:val="1"/>
          <w:iCs w:val="1"/>
          <w:color w:val="1a3a6b"/>
          <w:sz w:val="24"/>
          <w:szCs w:val="24"/>
        </w:rPr>
      </w:pPr>
      <w:r w:rsidDel="00000000" w:rsidR="00000000" w:rsidRPr="00000000">
        <w:rPr>
          <w:rFonts w:ascii="Arial Unicode MS" w:cs="Arial Unicode MS" w:eastAsia="Arial Unicode MS" w:hAnsi="Arial Unicode MS"/>
          <w:b w:val="1"/>
          <w:bCs w:val="1"/>
          <w:i w:val="1"/>
          <w:iCs w:val="1"/>
          <w:color w:val="1a3a6b"/>
          <w:sz w:val="24"/>
          <w:szCs w:val="24"/>
          <w:rtl w:val="0"/>
        </w:rPr>
        <w:t xml:space="preserve">【復習課題】</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・IPCC英語引用を日本語要約して使い、「疑いの余地がない」という科学的合意の確実性を示せていたか（追加条件①）。</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・最低3施策を組み合わせ、削減量とコストの合計を試算できていたか（追加条件②）。</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・科学的合意と政策乖離を「技術・政治・経済」の3軸で分析できていたか（追加条件③）。</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76" w:lineRule="auto"/>
        <w:ind w:left="280" w:right="0" w:hanging="280"/>
        <w:jc w:val="left"/>
        <w:rPr>
          <w:b w:val="1"/>
          <w:bCs w:val="1"/>
          <w:i w:val="1"/>
          <w:iCs w:val="1"/>
          <w:color w:val="1a3a6b"/>
          <w:sz w:val="22"/>
          <w:szCs w:val="22"/>
        </w:rPr>
      </w:pPr>
      <w:r w:rsidDel="00000000" w:rsidR="00000000" w:rsidRPr="00000000">
        <w:rPr>
          <w:rFonts w:ascii="Arial Unicode MS" w:cs="Arial Unicode MS" w:eastAsia="Arial Unicode MS" w:hAnsi="Arial Unicode MS"/>
          <w:b w:val="1"/>
          <w:bCs w:val="1"/>
          <w:i w:val="1"/>
          <w:iCs w:val="1"/>
          <w:color w:val="1a3a6b"/>
          <w:sz w:val="22"/>
          <w:szCs w:val="22"/>
          <w:rtl w:val="0"/>
        </w:rPr>
        <w:t xml:space="preserve">・予防原則の正当化として「不可逆性・証明を待つコスト」という論理を使えていたか（追加条件④）。</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1a3a6b"/>
          <w:sz w:val="22"/>
          <w:szCs w:val="22"/>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b w:val="1"/>
          <w:bCs w:val="1"/>
          <w:i w:val="1"/>
          <w:iCs w:val="1"/>
          <w:color w:val="aaaaaa"/>
          <w:sz w:val="16"/>
          <w:szCs w:val="16"/>
          <w:rtl w:val="0"/>
        </w:rPr>
        <w:t xml:space="preserve">─────────────────────────────────────────────────────────</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color w:val="aaaaaa"/>
          <w:sz w:val="16"/>
          <w:szCs w:val="16"/>
        </w:rPr>
      </w:pPr>
      <w:r w:rsidDel="00000000" w:rsidR="00000000" w:rsidRPr="00000000">
        <w:rPr>
          <w:rtl w:val="0"/>
        </w:rPr>
      </w:r>
    </w:p>
    <w:p w:rsidR="00000000" w:rsidDel="00000000" w:rsidP="00000000" w:rsidRDefault="00000000" w:rsidRPr="00000000" w14:paraId="00000A12">
      <w:pPr>
        <w:pStyle w:val="Heading2"/>
        <w:rPr>
          <w:b w:val="1"/>
          <w:bCs w:val="1"/>
          <w:color w:val="1a3a6b"/>
          <w:sz w:val="26"/>
          <w:szCs w:val="26"/>
        </w:rPr>
      </w:pPr>
      <w:bookmarkStart w:colFirst="0" w:colLast="0" w:name="_ssi4o6gjrcu4" w:id="37"/>
      <w:bookmarkEnd w:id="37"/>
      <w:r w:rsidDel="00000000" w:rsidR="00000000" w:rsidRPr="00000000">
        <w:rPr>
          <w:rFonts w:ascii="Arial Unicode MS" w:cs="Arial Unicode MS" w:eastAsia="Arial Unicode MS" w:hAnsi="Arial Unicode MS"/>
          <w:b w:val="1"/>
          <w:bCs w:val="1"/>
          <w:color w:val="1a3a6b"/>
          <w:sz w:val="26"/>
          <w:szCs w:val="26"/>
          <w:rtl w:val="0"/>
        </w:rPr>
        <w:t xml:space="preserve">超上級30問を通して身につけたい力まとめ</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① 複数資料の統合と矛盾指摘：資料が異なる方向を示す場合の処理ができるか</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② 資料の限界明示：「言えること」と「言えないこと」を峻別できるか</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③ 英語引用の日本語要約活用：要約の精度と論への組み込み方が適切か</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④ 定量的試算：コスト・削減量・規模感を概算で示せるか</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⑤ 出典の立場評価：誰の・何のための主張かを示せるか</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⑥ 予防原則とコスト・ベネフィット：不確実性の高い問題への意思決定枠組みを示せるか</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A1A">
      <w:pPr>
        <w:pStyle w:val="Heading2"/>
        <w:rPr>
          <w:b w:val="1"/>
          <w:bCs w:val="1"/>
          <w:color w:val="1a3a6b"/>
          <w:sz w:val="26"/>
          <w:szCs w:val="26"/>
        </w:rPr>
      </w:pPr>
      <w:bookmarkStart w:colFirst="0" w:colLast="0" w:name="_3ytbn7hk3yc5" w:id="38"/>
      <w:bookmarkEnd w:id="38"/>
      <w:r w:rsidDel="00000000" w:rsidR="00000000" w:rsidRPr="00000000">
        <w:rPr>
          <w:rFonts w:ascii="Arial Unicode MS" w:cs="Arial Unicode MS" w:eastAsia="Arial Unicode MS" w:hAnsi="Arial Unicode MS"/>
          <w:b w:val="1"/>
          <w:bCs w:val="1"/>
          <w:color w:val="1a3a6b"/>
          <w:sz w:val="26"/>
          <w:szCs w:val="26"/>
          <w:rtl w:val="0"/>
        </w:rPr>
        <w:t xml:space="preserve">超上級答案の自己添削チェックリスト</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複数の資料を統合して論じているか（各資料を独立して論じていないか）</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資料の「言えないこと・限界」に1文以上触れているか</w:t>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英語引用を自分の言葉で要約して使っているか（英語のまま貼っていないか）</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定量的な試算・計算（コスト・削減量・規模感）を概算で示しているか</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出典の立場（メディア・政府・国際機関の違い）を示しているか</w:t>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追加条件をすべて満たしているか（見落とし確認）</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字数が1200〜1600字の範囲に収まっているか</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 「だ・である」調で統一されているか</w:t>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A24">
      <w:pPr>
        <w:pStyle w:val="Heading2"/>
        <w:rPr>
          <w:b w:val="1"/>
          <w:bCs w:val="1"/>
          <w:color w:val="1a3a6b"/>
          <w:sz w:val="26"/>
          <w:szCs w:val="26"/>
        </w:rPr>
      </w:pPr>
      <w:bookmarkStart w:colFirst="0" w:colLast="0" w:name="_npbped83nhsx" w:id="39"/>
      <w:bookmarkEnd w:id="39"/>
      <w:r w:rsidDel="00000000" w:rsidR="00000000" w:rsidRPr="00000000">
        <w:rPr>
          <w:rFonts w:ascii="Arial Unicode MS" w:cs="Arial Unicode MS" w:eastAsia="Arial Unicode MS" w:hAnsi="Arial Unicode MS"/>
          <w:b w:val="1"/>
          <w:bCs w:val="1"/>
          <w:color w:val="1a3a6b"/>
          <w:sz w:val="26"/>
          <w:szCs w:val="26"/>
          <w:rtl w:val="0"/>
        </w:rPr>
        <w:t xml:space="preserve">複数資料統合で使える分析表現一覧</w:t>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・表Xと表Yを組み合わせると、〜という構造が見えてくる。</w:t>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・〜（資料A）が示す〜と、〜（資料B）が示す〜の間には矛盾がある。この矛盾の原因として〜が考えられる。</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・〜という数値は〜を意味するが、〜という要因を考慮すると単純には断定できない。</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・〜は〜を示す傍証となるが、因果関係を確定するには〜という追加調査が必要だ。</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・出典が〜（政府）である以上、〜という立場からの主張として読む必要がある。</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・英語引用を要約すれば：「〜（機関名）は〜と述べている。」この指摘は〜という点で重要だ。</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A2C">
      <w:pPr>
        <w:pStyle w:val="Heading2"/>
        <w:rPr>
          <w:b w:val="1"/>
          <w:bCs w:val="1"/>
          <w:color w:val="1a3a6b"/>
          <w:sz w:val="26"/>
          <w:szCs w:val="26"/>
        </w:rPr>
      </w:pPr>
      <w:bookmarkStart w:colFirst="0" w:colLast="0" w:name="_p00fanyix6pc" w:id="40"/>
      <w:bookmarkEnd w:id="40"/>
      <w:r w:rsidDel="00000000" w:rsidR="00000000" w:rsidRPr="00000000">
        <w:rPr>
          <w:rFonts w:ascii="Arial Unicode MS" w:cs="Arial Unicode MS" w:eastAsia="Arial Unicode MS" w:hAnsi="Arial Unicode MS"/>
          <w:b w:val="1"/>
          <w:bCs w:val="1"/>
          <w:color w:val="1a3a6b"/>
          <w:sz w:val="26"/>
          <w:szCs w:val="26"/>
          <w:rtl w:val="0"/>
        </w:rPr>
        <w:t xml:space="preserve">定量的試算で使える計算パターン</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・削減ペース計算：（現在値−目標値）÷残り年数＝年間必要削減量</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・規模試算：一人当たりコスト×対象人口＝総コスト（概算）</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・シェア試算：目標シェア（%）×市場規模＝必要な産業規模</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・費用対効果：コスト÷効果量（QALYs・削減量・就業者数等）</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・定量表現の型：「〜を〜に掛けると、約〜という試算になる（概算）」</w:t>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・限界の表現：「この試算は〜を含まないため、実際はより〜になる可能性がある」</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A34">
      <w:pPr>
        <w:pStyle w:val="Heading2"/>
        <w:rPr>
          <w:b w:val="1"/>
          <w:bCs w:val="1"/>
          <w:color w:val="1a3a6b"/>
          <w:sz w:val="26"/>
          <w:szCs w:val="26"/>
        </w:rPr>
      </w:pPr>
      <w:bookmarkStart w:colFirst="0" w:colLast="0" w:name="_mguln0kc2al1" w:id="41"/>
      <w:bookmarkEnd w:id="41"/>
      <w:r w:rsidDel="00000000" w:rsidR="00000000" w:rsidRPr="00000000">
        <w:rPr>
          <w:rFonts w:ascii="Arial Unicode MS" w:cs="Arial Unicode MS" w:eastAsia="Arial Unicode MS" w:hAnsi="Arial Unicode MS"/>
          <w:b w:val="1"/>
          <w:bCs w:val="1"/>
          <w:color w:val="1a3a6b"/>
          <w:sz w:val="26"/>
          <w:szCs w:val="26"/>
          <w:rtl w:val="0"/>
        </w:rPr>
        <w:t xml:space="preserve">出典の信頼性評価で使える表現</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・〜（政府機関）は政策の正当化という立場から〜を強調する傾向がある。</w:t>
      </w:r>
    </w:p>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・〜（報道機関）は問題提起・批判的視点を重視する傾向があり、〜という側面が見えにくくなっている可能性がある。</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・〜（国際機関）の基準は国際的な規範・合意を示すが、各国の文脈への適用には留意が必要だ。</w:t>
      </w:r>
    </w:p>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・〜と〜では「優先する価値観（経済効率・人権・環境）」が異なり、それが主張の違いに反映されている。</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・複数の出典が同じ結論を指示している場合、その信頼性は高まる（収束的妥当性）。</w:t>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p w:rsidR="00000000" w:rsidDel="00000000" w:rsidP="00000000" w:rsidRDefault="00000000" w:rsidRPr="00000000" w14:paraId="00000A3B">
      <w:pPr>
        <w:pStyle w:val="Heading2"/>
        <w:rPr>
          <w:b w:val="1"/>
          <w:bCs w:val="1"/>
          <w:color w:val="1a3a6b"/>
          <w:sz w:val="26"/>
          <w:szCs w:val="26"/>
        </w:rPr>
      </w:pPr>
      <w:bookmarkStart w:colFirst="0" w:colLast="0" w:name="_euky6dtki6bg" w:id="42"/>
      <w:bookmarkEnd w:id="42"/>
      <w:r w:rsidDel="00000000" w:rsidR="00000000" w:rsidRPr="00000000">
        <w:rPr>
          <w:rFonts w:ascii="Arial Unicode MS" w:cs="Arial Unicode MS" w:eastAsia="Arial Unicode MS" w:hAnsi="Arial Unicode MS"/>
          <w:b w:val="1"/>
          <w:bCs w:val="1"/>
          <w:color w:val="1a3a6b"/>
          <w:sz w:val="26"/>
          <w:szCs w:val="26"/>
          <w:rtl w:val="0"/>
        </w:rPr>
        <w:t xml:space="preserve">予防原則と不確実性の扱い方</w:t>
      </w:r>
    </w:p>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・予防原則：「証拠が不十分でも、重大なリスクがあれば予防的措置をとるべき」という原則</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・適用条件：①被害が不可逆的、②証拠を待つコストが証拠なしで行動するコストより高い</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・使用例：気候変動・新型感染症・AIリスク・未知の化学物質など</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・コスト・ベネフィット分析との緊張：「証拠が不十分な段階では介入のコストが不明」</w:t>
      </w:r>
    </w:p>
    <w:p w:rsidR="00000000" w:rsidDel="00000000" w:rsidP="00000000" w:rsidRDefault="00000000" w:rsidRPr="00000000" w14:paraId="00000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Fonts w:ascii="Arial Unicode MS" w:cs="Arial Unicode MS" w:eastAsia="Arial Unicode MS" w:hAnsi="Arial Unicode MS"/>
          <w:b w:val="1"/>
          <w:bCs w:val="1"/>
          <w:color w:val="1a3a6b"/>
          <w:sz w:val="22"/>
          <w:szCs w:val="22"/>
          <w:rtl w:val="0"/>
        </w:rPr>
        <w:t xml:space="preserve">・表現型：「現時点では〜という確実な証拠はないが、被害が不可逆的であることを考えると、予防原則に基づき〜という対応が合理的だ。」</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1a3a6b"/>
          <w:sz w:val="22"/>
          <w:szCs w:val="22"/>
        </w:rPr>
      </w:pPr>
      <w:r w:rsidDel="00000000" w:rsidR="00000000" w:rsidRPr="00000000">
        <w:rPr>
          <w:rtl w:val="0"/>
        </w:rPr>
      </w:r>
    </w:p>
    <w:sectPr>
      <w:footerReference r:id="rId6" w:type="default"/>
      <w:pgSz w:h="16838" w:w="11906" w:orient="portrait"/>
      <w:pgMar w:bottom="1417.4" w:top="1417.4" w:left="1700.8000000000002" w:right="1700.8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888888"/>
        <w:sz w:val="12"/>
        <w:szCs w:val="12"/>
      </w:rPr>
    </w:pPr>
    <w:r w:rsidDel="00000000" w:rsidR="00000000" w:rsidRPr="00000000">
      <w:rPr>
        <w:rFonts w:ascii="Arial Unicode MS" w:cs="Arial Unicode MS" w:eastAsia="Arial Unicode MS" w:hAnsi="Arial Unicode MS"/>
        <w:color w:val="888888"/>
        <w:sz w:val="12"/>
        <w:szCs w:val="12"/>
        <w:rtl w:val="0"/>
      </w:rPr>
      <w:t xml:space="preserve">Ark College（総合型選抜専門塾）｜無断転載・複製禁止｜© Ark College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