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8vvf01ovpzq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【参考データ】日本の水道インフラ老朽化状況（2022年）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管路の法定耐用年数（40年）超過率：20.6%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水道料金の値上げ予定自治体：今後5年で全体の約40%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【引用】読売新聞（2023年10月3日）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「水道管の老朽化が深刻で、全国で年間約2万件の漏水・破損事故が発生している。人口減少による料金収入の減少が、更新投資を困難にしている。」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【引用】水道法改正（広域連携・民間活用）（2018年改正）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「水道事業の基盤強化のため、広域連携の推進、適切な資産管理の推進、官民連携の推進を柱とする改正が行われた。」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読み取りのヒント：料金値上げは「値上げ幅」だけでなく「誰がどう影響を受けるか」の分配問題でもある。法改正の「民間活用」が何を意味するかを正確に理解すること。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（引用型／問題解決）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引用と参考データを踏まえ、水道インフラの持続可能な維持管理に向けた政策を提言せよ。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【追加条件】「公営維持」「広域連携」「民間委託（コンセッション）」の3案を比較し、それぞれの実現可能性とリスクを評価すること。コスト試算の根拠も示すこと。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・【追加条件】「公営維持」「広域連携」「民間委託（コンセッション）」の3案を比較し、それぞれの実現可能性とリスクを評価すること。コスト試算の根拠も示すこと。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・複数の引用資料を統合し、それぞれの立場・信頼性の違いを論じること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複数資料間の矛盾・補完関係を指摘した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追加条件（「公営維持」「広域連携」「民間委託（コンセッション）」の3案を比較し、それぞれの実現可能性とリスクを評価すること。コスト試算の根拠も示すこと。）を満たしている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