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i5zvlfeckkx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No.15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【参考データ】訪日外国人旅行者数と消費額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2019年：3,188万人・4.8兆円　2020年：412万人（コロナ）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2023年：2,507万人・5.8兆円（人数は回復途上・消費額は過去最高）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オーバーツーリズム苦情件数：2022年比で2023年は約2.3倍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【引用】観光庁「観光立国推進基本計画」（2023年）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「2025年までに訪日外国人旅行消費額8兆円、国内旅行消費額22兆円を達成することを目標とする。」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【引用】京都新聞（2024年3月14日）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「京都市の一部バス路線では観光客による混雑が深刻化しており、市民の日常生活に支障をきたしているとの声が上がっている。」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（引用型／複合評価）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資料が示す「消費額過去最高とオーバーツーリズムの同時進行」という状況を分析し、持続可能な観光政策を提言せよ。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【追加条件】国の目標（観光庁）と地域住民の実態（地方紙報道）の間の「政策と現場のギャップ」を明示し、どのレベル（国・都道府県・市町村）が何をすべきかを整理すること。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・【追加条件】国の目標（観光庁）と地域住民の実態（地方紙報道）の間の「政策と現場のギャップ」を明示し、どのレベル（国・都道府県・市町村）が何をすべきかを整理すること。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・複数の引用資料を統合し、それぞれの立場・信頼性の違いを論じること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複数資料間の矛盾・補完関係を指摘した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追加条件（国の目標（観光庁）と地域住民の実態（地方紙報道）の間の「政策と現場のギャップ」を明示し、どのレベル（国・都道府県・市町村）が何をすべきかを整理すること。）を満たしている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