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cquorhpc9a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1a5276" w:space="0" w:sz="8" w:val="single"/>
          <w:left w:color="1a5276" w:space="0" w:sz="8" w:val="single"/>
          <w:bottom w:color="1a5276" w:space="0" w:sz="8" w:val="single"/>
          <w:right w:color="1a5276" w:space="0" w:sz="8" w:val="single"/>
          <w:insideH w:color="1a5276" w:space="0" w:sz="8" w:val="single"/>
          <w:insideV w:color="1a5276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【課題文】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人工知能は人間の仕事を奪うのではなく、人間がより創造的な仕事に集中できる環境を作る。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【補足データ】AIによる職業代替可能性（日本、野村総研推計）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代替可能性が高い（確率66%以上）職業：国内就業者の49%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代替困難とされた職業例：医師・教師・カウンセラー・芸術家・研究者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高代替リスク職業例：一般事務・製造現場作業・配送・電話オペレーター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【引用】OECD Employment Outlook（2023）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「While AI and automation create new jobs, the transition may disproportionately affect low-skilled workers, exacerbating inequality if not managed well.」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4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産業別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AI代替リスク（%）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現在の就業者数（万人）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平均賃金（万円/年）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製造業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1,043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425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卸売・小売業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1,017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347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金融・保険業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163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674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医療・福祉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875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382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情報通信業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249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612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教育・学習支援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335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448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5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複数の資料を統合し、AIによる雇用変容が「格差拡大」につながるかどうかについて賛否を示し、社会的影響の緩和策を提言せよ。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【追加条件】英語の引用（OECD）を自分で要約して使用すること。表の「代替リスク×賃金×就業者数」を組み合わせ、どの層が最も影響を受けるかを定量的に示すこと。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・【追加条件】英語の引用（OECD）を自分で要約して使用すること。表の「代替リスク×賃金×就業者数」を組み合わせ、どの層が最も影響を受けるかを定量的に示すこと。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・英語の引用は自分で日本語に要約して使用すること（直訳不可）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英語引用を適切に日本語要約し、直訳になっていない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追加条件（英語の引用（OECD）を自分で要約して使用すること。表の「代替リスク×賃金×就業者数」を組み合わせ、どの層が最も影響を受けるかを定量的に示すこと。）を満たしている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