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75xv7wqy7vf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外国人労働者の受け入れは、単なる労働力不足の解消策ではなく、社会全体の多様性と活力を高める戦略的投資である。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【補足データ】在留外国人・外国人労働者の動向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在留外国人数：307万人（2022年末、過去最高）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外国人労働者数：182万人（2022年、過去最高）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技能実習制度廃止・育成就労制度創設（2024年法改正）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【引用】出入国在留管理庁「外国人との共生社会の実現に向けたロードマップ」（2022年）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「全ての人が安全・安心に暮らせる社会、多様性を尊重した活力ある社会を目指し、外国人との共生社会の実現に取り組む。」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4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観点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現状の課題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短期目標（3年）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中期目標（10年）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労働・産業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特定業種への偏在・低賃金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技能実習→育成就労の移行支援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多様な産業への就労拡大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教育・言語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日本語教育の不足・学校不適応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日本語教師の増員・ICT活用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多言語対応の学校環境整備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社会保障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未加入・未納問題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加入手続きのデジタル化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制度の持続可能性確保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地域社会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住宅・医療でのトラブル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多文化共生センターの拡充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地域住民との相互理解促進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出身国送出し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送出し機関の不正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二国間協定の強化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WIN-WINの労働移動実現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（複合型／複合評価）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複数の資料を統合し、新しい育成就労制度のもとで外国人労働者・外国人住民と共生する社会を実現するための政策提言を行え。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【追加条件】表の5つの観点を「優先順位」付きで論じること。課題文の「戦略的投資」という観点から、「受け入れ側の負担」と「中長期的な社会的便益」のトレードオフを定量的に示すこと。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・【追加条件】表の5つの観点を「優先順位」付きで論じること。課題文の「戦略的投資」という観点から、「受け入れ側の負担」と「中長期的な社会的便益」のトレードオフを定量的に示すこと。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表の5つの観点を「優先順位」付きで論じること。課題文の「戦略的投資」という観点から、「受け入れ側の負担」と「中長期的な社会的便益」のトレードオフを定量的に示すこと。）を満たしてい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