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s6lbtfv0dj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【補足データ】日本の宇宙・先端技術産業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宇宙関連市場規模：世界 47兆円（2022年）→推計100兆円（2040年）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日本の宇宙産業規模：約1.2兆円（世界シェア約2.5%）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JAXA予算：約1,700億円（NASA：約3兆円、ESA：約1兆円）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【引用】宇宙基本計画（内閣府）（2023年）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「2030年代早期に宇宙関連産業を現在の2倍超の約4兆円規模に拡大することを目指す。官民連携による宇宙活用・産業育成を推進する。」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276"/>
          <w:sz w:val="20"/>
          <w:szCs w:val="20"/>
          <w:rtl w:val="0"/>
        </w:rPr>
        <w:t xml:space="preserve">【表資料】</w:t>
      </w:r>
    </w:p>
    <w:tbl>
      <w:tblPr>
        <w:tblStyle w:val="Table3"/>
        <w:jc w:val="left"/>
        <w:tblBorders>
          <w:top w:color="2c3e50" w:space="0" w:sz="8" w:val="single"/>
          <w:left w:color="2c3e50" w:space="0" w:sz="8" w:val="single"/>
          <w:bottom w:color="2c3e50" w:space="0" w:sz="8" w:val="single"/>
          <w:right w:color="2c3e50" w:space="0" w:sz="8" w:val="single"/>
          <w:insideH w:color="2c3e50" w:space="0" w:sz="8" w:val="single"/>
          <w:insideV w:color="2c3e50" w:space="0" w:sz="8" w:val="single"/>
        </w:tblBorders>
        <w:tblLayout w:type="fixed"/>
        <w:tblLook w:val="06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評価軸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JAXA公共投資型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官民連携型（スタートアップ支援）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国際連携型（NASA/ESA協調）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初期コスト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低〜中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技術独立性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民間活力の活用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成果発現スパン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長期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中期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中期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リスク分散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国際競争力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高（将来）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中〜高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（複合型／政策設計）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資料を踏まえ、日本の宇宙産業を2040年までに世界シェア5%以上に引き上げるための投資戦略を、表の3案を比較して提言せよ。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【追加条件】「技術独立性」と「国際競争力」のトレードオフを中心に論じること。予算制約（JAXA予算とNASAの差）を踏まえた現実的なコスト試算を含めること。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・【追加条件】「技術独立性」と「国際競争力」のトレードオフを中心に論じること。予算制約（JAXA予算とNASAの差）を踏まえた現実的なコスト試算を含めること。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追加条件（「技術独立性」と「国際競争力」のトレードオフを中心に論じること。予算制約（JAXA予算とNASAの差）を踏まえた現実的なコスト試算を含めること。）を満たしている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