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rFonts w:hint="eastAsia"/>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E38E223"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A1715C">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389A137C"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1715C">
        <w:rPr>
          <w:szCs w:val="21"/>
        </w:rPr>
        <w:tab/>
      </w:r>
      <w:r w:rsidR="00A1715C">
        <w:rPr>
          <w:szCs w:val="21"/>
        </w:rPr>
        <w:tab/>
      </w:r>
      <w:r w:rsidR="00A1715C">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1739B55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1715C">
        <w:rPr>
          <w:szCs w:val="21"/>
        </w:rPr>
        <w:tab/>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04A26C26"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2340CA56"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w:t>
      </w:r>
      <w:r w:rsidR="00D91D96" w:rsidRPr="002A5339">
        <w:rPr>
          <w:rFonts w:asciiTheme="minorEastAsia" w:hAnsiTheme="minorEastAsia" w:cs="`’¡Ã˛"/>
          <w:kern w:val="0"/>
          <w:szCs w:val="21"/>
        </w:rPr>
        <w:t>ICT</w:t>
      </w:r>
      <w:r w:rsidR="00D91D96">
        <w:rPr>
          <w:rFonts w:asciiTheme="minorEastAsia" w:hAnsiTheme="minorEastAsia" w:cs="`’¡Ã˛" w:hint="eastAsia"/>
          <w:kern w:val="0"/>
          <w:szCs w:val="21"/>
        </w:rPr>
        <w:t>教育は</w:t>
      </w:r>
      <w:r w:rsidR="004C0CEC">
        <w:rPr>
          <w:rFonts w:asciiTheme="minorEastAsia" w:hAnsiTheme="minorEastAsia" w:cs="`’¡Ã˛"/>
          <w:kern w:val="0"/>
          <w:szCs w:val="21"/>
        </w:rPr>
        <w:t>ICT</w:t>
      </w:r>
      <w:r w:rsidR="004C0CEC">
        <w:rPr>
          <w:rFonts w:asciiTheme="minorEastAsia" w:hAnsiTheme="minorEastAsia" w:cs="`’¡Ã˛" w:hint="eastAsia"/>
          <w:kern w:val="0"/>
          <w:szCs w:val="21"/>
        </w:rPr>
        <w:t>機器を用いた教育のことであるが、これは</w:t>
      </w:r>
      <w:r w:rsidR="004C0CEC" w:rsidRPr="004C0CEC">
        <w:rPr>
          <w:rFonts w:asciiTheme="minorEastAsia" w:hAnsiTheme="minorEastAsia" w:cs="`’¡Ã˛" w:hint="eastAsia"/>
          <w:kern w:val="0"/>
          <w:szCs w:val="21"/>
        </w:rPr>
        <w:t>工学技術</w:t>
      </w:r>
      <w:r w:rsidR="004C0CEC">
        <w:rPr>
          <w:rFonts w:asciiTheme="minorEastAsia" w:hAnsiTheme="minorEastAsia" w:cs="`’¡Ã˛" w:hint="eastAsia"/>
          <w:kern w:val="0"/>
          <w:szCs w:val="21"/>
        </w:rPr>
        <w:t>を導入することで</w:t>
      </w:r>
      <w:r w:rsidR="004C0CEC" w:rsidRPr="004C0CEC">
        <w:rPr>
          <w:rFonts w:asciiTheme="minorEastAsia" w:hAnsiTheme="minorEastAsia" w:cs="`’¡Ã˛" w:hint="eastAsia"/>
          <w:kern w:val="0"/>
          <w:szCs w:val="21"/>
        </w:rPr>
        <w:t>教育の方法を改善し</w:t>
      </w:r>
      <w:r w:rsidR="004C0CEC">
        <w:rPr>
          <w:rFonts w:asciiTheme="minorEastAsia" w:hAnsiTheme="minorEastAsia" w:cs="`’¡Ã˛" w:hint="eastAsia"/>
          <w:kern w:val="0"/>
          <w:szCs w:val="21"/>
        </w:rPr>
        <w:t>教育効果を上げることを目標とする教育工学に端を発している。</w:t>
      </w:r>
      <w:r>
        <w:rPr>
          <w:rFonts w:ascii="`’¡Ã˛" w:hAnsi="`’¡Ã˛" w:cs="`’¡Ã˛" w:hint="eastAsia"/>
          <w:kern w:val="0"/>
          <w:szCs w:val="21"/>
        </w:rPr>
        <w:t>教</w:t>
      </w:r>
      <w:r>
        <w:rPr>
          <w:rFonts w:ascii="`’¡Ã˛" w:hAnsi="`’¡Ã˛" w:cs="`’¡Ã˛"/>
          <w:kern w:val="0"/>
          <w:szCs w:val="21"/>
        </w:rPr>
        <w:t>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w:t>
      </w:r>
      <w:r w:rsidR="004B690E">
        <w:rPr>
          <w:rFonts w:ascii="`’¡Ã˛" w:hAnsi="`’¡Ã˛" w:cs="`’¡Ã˛" w:hint="eastAsia"/>
          <w:kern w:val="0"/>
          <w:szCs w:val="21"/>
        </w:rPr>
        <w:t>何かについて</w:t>
      </w:r>
      <w:r>
        <w:rPr>
          <w:rFonts w:ascii="`’¡Ã˛" w:hAnsi="`’¡Ã˛" w:cs="`’¡Ã˛"/>
          <w:kern w:val="0"/>
          <w:szCs w:val="21"/>
        </w:rPr>
        <w:t>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lastRenderedPageBreak/>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w:t>
      </w:r>
      <w:r w:rsidR="00A87D8E">
        <w:rPr>
          <w:rFonts w:hint="eastAsia"/>
          <w:szCs w:val="21"/>
        </w:rPr>
        <w:lastRenderedPageBreak/>
        <w:t>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7F33598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w:t>
      </w:r>
      <w:r w:rsidR="00573398">
        <w:rPr>
          <w:rFonts w:asciiTheme="minorEastAsia" w:hAnsiTheme="minorEastAsia" w:hint="eastAsia"/>
          <w:szCs w:val="21"/>
        </w:rPr>
        <w:t>本論文では</w:t>
      </w:r>
      <w:r w:rsidR="00C60AFA">
        <w:rPr>
          <w:rFonts w:asciiTheme="minorEastAsia" w:hAnsiTheme="minorEastAsia" w:hint="eastAsia"/>
          <w:szCs w:val="21"/>
        </w:rPr>
        <w:t>以下の２点における</w:t>
      </w:r>
      <w:r w:rsidR="009A0F5F">
        <w:rPr>
          <w:rFonts w:asciiTheme="minorEastAsia" w:hAnsiTheme="minorEastAsia" w:hint="eastAsia"/>
          <w:szCs w:val="21"/>
        </w:rPr>
        <w:t>佐伯の</w:t>
      </w:r>
      <w:r w:rsidR="00C60AFA">
        <w:rPr>
          <w:rFonts w:asciiTheme="minorEastAsia" w:hAnsiTheme="minorEastAsia" w:hint="eastAsia"/>
          <w:szCs w:val="21"/>
        </w:rPr>
        <w:t>思想の変遷</w:t>
      </w:r>
      <w:r w:rsidR="00573398">
        <w:rPr>
          <w:rFonts w:asciiTheme="minorEastAsia" w:hAnsiTheme="minorEastAsia" w:hint="eastAsia"/>
          <w:szCs w:val="21"/>
        </w:rPr>
        <w:t>に着目する。１点目は</w:t>
      </w:r>
      <w:r>
        <w:rPr>
          <w:rFonts w:asciiTheme="minorEastAsia" w:hAnsiTheme="minorEastAsia" w:hint="eastAsia"/>
          <w:szCs w:val="21"/>
        </w:rPr>
        <w:t>学ぶ</w:t>
      </w:r>
      <w:r w:rsidR="00C60AFA">
        <w:rPr>
          <w:rFonts w:asciiTheme="minorEastAsia" w:hAnsiTheme="minorEastAsia" w:hint="eastAsia"/>
          <w:szCs w:val="21"/>
        </w:rPr>
        <w:t>ということをどう捉えていたのかについて、</w:t>
      </w:r>
      <w:r w:rsidR="00573398">
        <w:rPr>
          <w:rFonts w:asciiTheme="minorEastAsia" w:hAnsiTheme="minorEastAsia"/>
          <w:szCs w:val="21"/>
        </w:rPr>
        <w:t>2</w:t>
      </w:r>
      <w:r w:rsidR="00573398">
        <w:rPr>
          <w:rFonts w:asciiTheme="minorEastAsia" w:hAnsiTheme="minorEastAsia" w:hint="eastAsia"/>
          <w:szCs w:val="21"/>
        </w:rPr>
        <w:t>点目は</w:t>
      </w:r>
      <w:r>
        <w:rPr>
          <w:rFonts w:asciiTheme="minorEastAsia" w:hAnsiTheme="minorEastAsia" w:hint="eastAsia"/>
          <w:szCs w:val="21"/>
        </w:rPr>
        <w:t>教育においてコンピュータがどのような役割を担うべき</w:t>
      </w:r>
      <w:r w:rsidR="00C60AFA">
        <w:rPr>
          <w:rFonts w:asciiTheme="minorEastAsia" w:hAnsiTheme="minorEastAsia" w:hint="eastAsia"/>
          <w:szCs w:val="21"/>
        </w:rPr>
        <w:t>かについてである。以上のことを明らかにするべく</w:t>
      </w:r>
      <w:r w:rsidR="00A81CFC">
        <w:rPr>
          <w:rFonts w:asciiTheme="minorEastAsia" w:hAnsiTheme="minorEastAsia" w:hint="eastAsia"/>
          <w:szCs w:val="21"/>
        </w:rPr>
        <w:t>、</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6944F683"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そして終章では</w:t>
      </w:r>
      <w:r w:rsidR="004B513C">
        <w:rPr>
          <w:rFonts w:asciiTheme="minorEastAsia" w:hAnsiTheme="minorEastAsia" w:cs="`’¡Ã˛" w:hint="eastAsia"/>
          <w:color w:val="000000" w:themeColor="text1"/>
          <w:kern w:val="0"/>
          <w:szCs w:val="21"/>
        </w:rPr>
        <w:t>第１章から第３章までの論点を踏まえ、</w:t>
      </w:r>
      <w:r w:rsidR="00F562C4">
        <w:rPr>
          <w:rFonts w:asciiTheme="minorEastAsia" w:hAnsiTheme="minorEastAsia" w:cs="`’¡Ã˛" w:hint="eastAsia"/>
          <w:color w:val="000000" w:themeColor="text1"/>
          <w:kern w:val="0"/>
          <w:szCs w:val="21"/>
        </w:rPr>
        <w:t>現在の</w:t>
      </w:r>
      <w:r w:rsidR="00F562C4">
        <w:rPr>
          <w:rFonts w:asciiTheme="minorEastAsia" w:hAnsiTheme="minorEastAsia" w:cs="`’¡Ã˛"/>
          <w:color w:val="000000" w:themeColor="text1"/>
          <w:kern w:val="0"/>
          <w:szCs w:val="21"/>
        </w:rPr>
        <w:t>ICT</w:t>
      </w:r>
      <w:r w:rsidR="00F562C4">
        <w:rPr>
          <w:rFonts w:asciiTheme="minorEastAsia" w:hAnsiTheme="minorEastAsia" w:cs="`’¡Ã˛" w:hint="eastAsia"/>
          <w:color w:val="000000" w:themeColor="text1"/>
          <w:kern w:val="0"/>
          <w:szCs w:val="21"/>
        </w:rPr>
        <w:t>教育のあり方を検討する。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237C6CDD" w:rsidR="00C443F1" w:rsidRDefault="00C443F1" w:rsidP="00C443F1">
      <w:r>
        <w:rPr>
          <w:rFonts w:hint="eastAsia"/>
        </w:rPr>
        <w:t xml:space="preserve">　</w:t>
      </w:r>
      <w:r w:rsidR="00C75AF7">
        <w:rPr>
          <w:rFonts w:hint="eastAsia"/>
        </w:rPr>
        <w:t>本</w:t>
      </w:r>
      <w:r>
        <w:rPr>
          <w:rFonts w:hint="eastAsia"/>
        </w:rPr>
        <w:t>章で扱う</w:t>
      </w:r>
      <w:r>
        <w:t>1973</w:t>
      </w:r>
      <w:r>
        <w:rPr>
          <w:rFonts w:hint="eastAsia"/>
        </w:rPr>
        <w:t>年から1</w:t>
      </w:r>
      <w:r>
        <w:t>976</w:t>
      </w:r>
      <w:r>
        <w:rPr>
          <w:rFonts w:hint="eastAsia"/>
        </w:rPr>
        <w:t>年に</w:t>
      </w:r>
      <w:r w:rsidR="00573398">
        <w:rPr>
          <w:rFonts w:hint="eastAsia"/>
        </w:rPr>
        <w:t>着目し</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確認する。本節で</w:t>
      </w:r>
      <w:r w:rsidR="004B690E">
        <w:rPr>
          <w:rFonts w:hint="eastAsia"/>
        </w:rPr>
        <w:t>参考するの</w:t>
      </w:r>
      <w:r w:rsidR="00040B00">
        <w:rPr>
          <w:rFonts w:hint="eastAsia"/>
        </w:rPr>
        <w:t>は</w:t>
      </w:r>
      <w:r w:rsidR="0098639B">
        <w:rPr>
          <w:rFonts w:hint="eastAsia"/>
        </w:rPr>
        <w:t>坂本昴の研究</w:t>
      </w:r>
      <w:r w:rsidR="004B690E">
        <w:rPr>
          <w:rFonts w:hint="eastAsia"/>
        </w:rPr>
        <w:t>である</w:t>
      </w:r>
      <w:r w:rsidR="002357ED">
        <w:rPr>
          <w:rStyle w:val="ab"/>
        </w:rPr>
        <w:footnoteReference w:id="4"/>
      </w:r>
      <w:r w:rsidR="00040B00">
        <w:rPr>
          <w:rFonts w:hint="eastAsia"/>
        </w:rPr>
        <w:t>。</w:t>
      </w:r>
    </w:p>
    <w:p w14:paraId="1FE0955E" w14:textId="3529D04F" w:rsidR="006A6101" w:rsidRDefault="00116860" w:rsidP="00A265BF">
      <w:r>
        <w:rPr>
          <w:rFonts w:hint="eastAsia"/>
        </w:rPr>
        <w:t xml:space="preserve">　</w:t>
      </w:r>
      <w:r w:rsidR="00573398">
        <w:rPr>
          <w:rFonts w:hint="eastAsia"/>
        </w:rPr>
        <w:t>遡ること</w:t>
      </w:r>
      <w:r w:rsidR="001C350E">
        <w:rPr>
          <w:rFonts w:hint="eastAsia"/>
        </w:rPr>
        <w:t>1</w:t>
      </w:r>
      <w:r w:rsidR="001C350E">
        <w:t>968</w:t>
      </w:r>
      <w:r w:rsidR="00573398">
        <w:rPr>
          <w:rFonts w:hint="eastAsia"/>
        </w:rPr>
        <w:t>年度</w:t>
      </w:r>
      <w:r w:rsidR="001C350E">
        <w:rPr>
          <w:rFonts w:hint="eastAsia"/>
        </w:rPr>
        <w:t>、教育工学は科学教育に含まれる形で、文部省科学研究費による特定研究が行われるようになった。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C60AFA">
        <w:rPr>
          <w:rFonts w:hint="eastAsia"/>
        </w:rPr>
        <w:t>①</w:t>
      </w:r>
      <w:r w:rsidR="00A265BF">
        <w:t>中学校・高等学校教育</w:t>
      </w:r>
      <w:r w:rsidR="00A265BF">
        <w:rPr>
          <w:rFonts w:hint="eastAsia"/>
        </w:rPr>
        <w:t>に</w:t>
      </w:r>
      <w:r w:rsidR="00A265BF">
        <w:t>おける科学教育のカリキュラム</w:t>
      </w:r>
      <w:r w:rsidR="00A265BF">
        <w:rPr>
          <w:rFonts w:hint="eastAsia"/>
        </w:rPr>
        <w:t>、</w:t>
      </w:r>
      <w:r w:rsidR="00C60AFA">
        <w:rPr>
          <w:rFonts w:hint="eastAsia"/>
        </w:rPr>
        <w:t>②</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C60AFA">
        <w:rPr>
          <w:rFonts w:hint="eastAsia"/>
        </w:rPr>
        <w:t>③</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C60AFA">
        <w:rPr>
          <w:rFonts w:hint="eastAsia"/>
        </w:rPr>
        <w:t>④</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35E4866E" w:rsidR="00FE0BAA" w:rsidRDefault="00FE0BAA" w:rsidP="00FE0BAA">
      <w:r>
        <w:rPr>
          <w:rFonts w:hint="eastAsia"/>
        </w:rPr>
        <w:lastRenderedPageBreak/>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0E5887">
      <w:pPr>
        <w:ind w:leftChars="200" w:left="42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6A2DB049" w:rsidR="006449B8" w:rsidRDefault="006449B8" w:rsidP="00A25845">
      <w:r>
        <w:rPr>
          <w:rFonts w:hint="eastAsia"/>
        </w:rPr>
        <w:t>ここで</w:t>
      </w:r>
      <w:r w:rsidR="004B690E">
        <w:rPr>
          <w:rFonts w:hint="eastAsia"/>
        </w:rPr>
        <w:t>着目するのは、佐伯の知識は</w:t>
      </w:r>
      <w:r w:rsidR="00F20237">
        <w:rPr>
          <w:rFonts w:hint="eastAsia"/>
        </w:rPr>
        <w:t>「</w:t>
      </w:r>
      <w:r w:rsidR="004B690E">
        <w:rPr>
          <w:rFonts w:hint="eastAsia"/>
        </w:rPr>
        <w:t>一貫性（無矛盾性）をもった一種のシステムである</w:t>
      </w:r>
      <w:r w:rsidR="00F20237">
        <w:rPr>
          <w:rFonts w:hint="eastAsia"/>
        </w:rPr>
        <w:t>」ということ</w:t>
      </w:r>
      <w:r w:rsidR="004B690E">
        <w:rPr>
          <w:rFonts w:hint="eastAsia"/>
        </w:rPr>
        <w:t>である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2832BD">
        <w:rPr>
          <w:rFonts w:hint="eastAsia"/>
        </w:rPr>
        <w:t>この知識の一貫性の考えは</w:t>
      </w:r>
      <w:r w:rsidR="00E735D1" w:rsidRPr="002832BD">
        <w:t>CAI</w:t>
      </w:r>
      <w:r w:rsidR="00E735D1" w:rsidRPr="002832BD">
        <w:rPr>
          <w:rFonts w:hint="eastAsia"/>
        </w:rPr>
        <w:t>と</w:t>
      </w:r>
      <w:r w:rsidR="00815A21" w:rsidRPr="002832BD">
        <w:rPr>
          <w:rFonts w:hint="eastAsia"/>
        </w:rPr>
        <w:t>相性が良いものではないが、必ずしも</w:t>
      </w:r>
      <w:r w:rsidR="00E735D1" w:rsidRPr="002832BD">
        <w:t>CAI</w:t>
      </w:r>
      <w:r w:rsidR="00E735D1" w:rsidRPr="002832BD">
        <w:rPr>
          <w:rFonts w:hint="eastAsia"/>
        </w:rPr>
        <w:t>システムと矛盾する</w:t>
      </w:r>
      <w:r w:rsidR="00815A21" w:rsidRPr="002832BD">
        <w:rPr>
          <w:rFonts w:hint="eastAsia"/>
        </w:rPr>
        <w:t>ものだ</w:t>
      </w:r>
      <w:r w:rsidR="00E735D1" w:rsidRPr="002832BD">
        <w:rPr>
          <w:rFonts w:hint="eastAsia"/>
        </w:rPr>
        <w:t>と</w:t>
      </w:r>
      <w:r w:rsidR="00815A21" w:rsidRPr="002832BD">
        <w:rPr>
          <w:rFonts w:hint="eastAsia"/>
        </w:rPr>
        <w:t>論じることはできないだろう。</w:t>
      </w:r>
      <w:r w:rsidR="00E735D1" w:rsidRPr="002832BD">
        <w:rPr>
          <w:rFonts w:hint="eastAsia"/>
        </w:rPr>
        <w:t>確かに</w:t>
      </w:r>
      <w:r w:rsidR="00E735D1" w:rsidRPr="002832BD">
        <w:t>CAI</w:t>
      </w:r>
      <w:r w:rsidR="00E735D1" w:rsidRPr="002832BD">
        <w:rPr>
          <w:rFonts w:hint="eastAsia"/>
        </w:rPr>
        <w:t>によって機械的に学んでいくことで、生徒が結果ばかりに関心を持つやすくなることが予想され、一貫性を保つ</w:t>
      </w:r>
      <w:r w:rsidR="00E735D1" w:rsidRPr="002832BD">
        <w:rPr>
          <w:rFonts w:hint="eastAsia"/>
        </w:rPr>
        <w:lastRenderedPageBreak/>
        <w:t>ことへの関心は薄くなる可能性が否めない。しかし</w:t>
      </w:r>
      <w:r w:rsidR="00E735D1" w:rsidRPr="002832BD">
        <w:t>CAI</w:t>
      </w:r>
      <w:r w:rsidR="00E735D1" w:rsidRPr="002832BD">
        <w:rPr>
          <w:rFonts w:hint="eastAsia"/>
        </w:rPr>
        <w:t>によって知識の一貫性を全く感じられなくなるということはなく、その使い方次第では知識の一貫性への関心を持つことが可能だと考えられる。</w:t>
      </w:r>
    </w:p>
    <w:p w14:paraId="7115F73D" w14:textId="5707DB10" w:rsidR="00A25845" w:rsidRPr="002832BD"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rsidR="00C60AFA">
        <w:rPr>
          <w:rFonts w:hint="eastAsia"/>
        </w:rPr>
        <w:t>①</w:t>
      </w:r>
      <w:r>
        <w:rPr>
          <w:rFonts w:hint="eastAsia"/>
        </w:rPr>
        <w:t>前提を問う、</w:t>
      </w:r>
      <w:r w:rsidR="00C60AFA">
        <w:rPr>
          <w:rFonts w:hint="eastAsia"/>
        </w:rPr>
        <w:t>②</w:t>
      </w:r>
      <w:r>
        <w:rPr>
          <w:rFonts w:hint="eastAsia"/>
        </w:rPr>
        <w:t>アタリマエを問う、</w:t>
      </w:r>
      <w:r w:rsidR="00C60AFA">
        <w:rPr>
          <w:rFonts w:hint="eastAsia"/>
        </w:rPr>
        <w:t>③</w:t>
      </w:r>
      <w:r>
        <w:rPr>
          <w:rFonts w:hint="eastAsia"/>
        </w:rPr>
        <w:t>意味を問う、</w:t>
      </w:r>
      <w:r w:rsidR="00C60AFA">
        <w:rPr>
          <w:rFonts w:hint="eastAsia"/>
        </w:rPr>
        <w:t>④</w:t>
      </w:r>
      <w:r>
        <w:rPr>
          <w:rFonts w:hint="eastAsia"/>
        </w:rPr>
        <w:t>関連を問う、</w:t>
      </w:r>
      <w:r w:rsidR="00C60AFA">
        <w:rPr>
          <w:rFonts w:hint="eastAsia"/>
        </w:rPr>
        <w:t>⑤</w:t>
      </w:r>
      <w:r>
        <w:rPr>
          <w:rFonts w:hint="eastAsia"/>
        </w:rPr>
        <w:t>役割を問う、という５つの問いがあるとしている</w:t>
      </w:r>
      <w:r w:rsidR="00C60AFA">
        <w:rPr>
          <w:rStyle w:val="ab"/>
        </w:rPr>
        <w:footnoteReference w:id="7"/>
      </w:r>
      <w:r>
        <w:rPr>
          <w:rFonts w:hint="eastAsia"/>
        </w:rPr>
        <w:t>。この中で特に</w:t>
      </w:r>
      <w:r w:rsidR="00C60AFA">
        <w:rPr>
          <w:rFonts w:hint="eastAsia"/>
        </w:rPr>
        <w:t>③</w:t>
      </w:r>
      <w:r>
        <w:rPr>
          <w:rFonts w:hint="eastAsia"/>
        </w:rPr>
        <w:t>意味を問うと</w:t>
      </w:r>
      <w:r w:rsidR="00C60AFA">
        <w:rPr>
          <w:rFonts w:hint="eastAsia"/>
        </w:rPr>
        <w:t>④</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8"/>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sidRPr="002832BD">
        <w:rPr>
          <w:rFonts w:hint="eastAsia"/>
          <w:color w:val="000000" w:themeColor="text1"/>
        </w:rPr>
        <w:t>以上の学習における自発的な問いに関する議論に</w:t>
      </w:r>
      <w:r w:rsidR="00E735D1" w:rsidRPr="002832BD">
        <w:rPr>
          <w:color w:val="000000" w:themeColor="text1"/>
        </w:rPr>
        <w:t>CAI</w:t>
      </w:r>
      <w:r w:rsidR="00E735D1" w:rsidRPr="002832BD">
        <w:rPr>
          <w:rFonts w:hint="eastAsia"/>
          <w:color w:val="000000" w:themeColor="text1"/>
        </w:rPr>
        <w:t>との矛盾が</w:t>
      </w:r>
      <w:r w:rsidR="00D222F5" w:rsidRPr="002832BD">
        <w:rPr>
          <w:rFonts w:hint="eastAsia"/>
          <w:color w:val="000000" w:themeColor="text1"/>
        </w:rPr>
        <w:t>指摘できるであろう。</w:t>
      </w:r>
      <w:r w:rsidR="00E735D1" w:rsidRPr="002832BD">
        <w:rPr>
          <w:color w:val="000000" w:themeColor="text1"/>
        </w:rPr>
        <w:t>CAI</w:t>
      </w:r>
      <w:r w:rsidR="00E735D1" w:rsidRPr="002832BD">
        <w:rPr>
          <w:rFonts w:hint="eastAsia"/>
          <w:color w:val="000000" w:themeColor="text1"/>
        </w:rPr>
        <w:t>では、あらかじめ教師等が学習コースを設定しておく必要があり、生徒はそのレールの上を走らざるを得ない。</w:t>
      </w:r>
      <w:r w:rsidR="00E735D1" w:rsidRPr="002832BD">
        <w:rPr>
          <w:color w:val="000000" w:themeColor="text1"/>
        </w:rPr>
        <w:t>CAI</w:t>
      </w:r>
      <w:r w:rsidR="00E735D1" w:rsidRPr="002832BD">
        <w:rPr>
          <w:rFonts w:hint="eastAsia"/>
          <w:color w:val="000000" w:themeColor="text1"/>
        </w:rPr>
        <w:t>を用いて学習する生徒は、既習の知識と矛盾がないかを問うことはできるものの、矛盾を解消するためにはどうしたら良いかを問い、自分で次の学びに設定することは</w:t>
      </w:r>
      <w:r w:rsidR="00D222F5" w:rsidRPr="002832BD">
        <w:rPr>
          <w:rFonts w:hint="eastAsia"/>
          <w:color w:val="000000" w:themeColor="text1"/>
        </w:rPr>
        <w:t>不可能であろう</w:t>
      </w:r>
      <w:r w:rsidR="00E735D1" w:rsidRPr="002832BD">
        <w:rPr>
          <w:rFonts w:hint="eastAsia"/>
          <w:color w:val="000000" w:themeColor="text1"/>
        </w:rPr>
        <w:t>。</w:t>
      </w:r>
    </w:p>
    <w:p w14:paraId="202EBF0E" w14:textId="53E33D2B" w:rsidR="00DD68BB" w:rsidRDefault="005215F3" w:rsidP="005215F3">
      <w:pPr>
        <w:ind w:firstLineChars="100" w:firstLine="210"/>
      </w:pPr>
      <w:r w:rsidRPr="002832BD">
        <w:rPr>
          <w:rFonts w:hint="eastAsia"/>
        </w:rPr>
        <w:t>知識の一貫性は</w:t>
      </w:r>
      <w:r>
        <w:rPr>
          <w:rFonts w:hint="eastAsia"/>
        </w:rPr>
        <w:t>「わかる」とはどういうことかという議論においても重要である。</w:t>
      </w:r>
      <w:r w:rsidR="00036E7A">
        <w:rPr>
          <w:rFonts w:hint="eastAsia"/>
        </w:rPr>
        <w:t>佐伯は</w:t>
      </w:r>
      <w:r>
        <w:rPr>
          <w:rFonts w:hint="eastAsia"/>
        </w:rPr>
        <w:t>主著である『学びの構造』において心理学を</w:t>
      </w:r>
      <w:r w:rsidR="00ED0665">
        <w:rPr>
          <w:rFonts w:hint="eastAsia"/>
        </w:rPr>
        <w:t>基盤</w:t>
      </w:r>
      <w:r>
        <w:rPr>
          <w:rFonts w:hint="eastAsia"/>
        </w:rPr>
        <w:t>としながら、</w:t>
      </w:r>
      <w:r w:rsidR="00036E7A">
        <w:rPr>
          <w:rFonts w:hint="eastAsia"/>
        </w:rPr>
        <w:t>「おぼえる」と「わかる」を対比させて、「わかる」とは</w:t>
      </w:r>
      <w:r w:rsidR="004B690E">
        <w:rPr>
          <w:rFonts w:hint="eastAsia"/>
        </w:rPr>
        <w:t>について</w:t>
      </w:r>
      <w:r w:rsidR="00036E7A">
        <w:rPr>
          <w:rFonts w:hint="eastAsia"/>
        </w:rPr>
        <w:t>説明している。この</w:t>
      </w:r>
      <w:r w:rsidR="00ED0665">
        <w:rPr>
          <w:rFonts w:hint="eastAsia"/>
        </w:rPr>
        <w:t>書籍</w:t>
      </w:r>
      <w:r w:rsidR="00036E7A">
        <w:rPr>
          <w:rFonts w:hint="eastAsia"/>
        </w:rPr>
        <w:t>では</w:t>
      </w:r>
      <w:r w:rsidR="00ED0665">
        <w:rPr>
          <w:rFonts w:hint="eastAsia"/>
        </w:rPr>
        <w:t>「わかる」について述べる前に</w:t>
      </w:r>
      <w:r w:rsidR="00CA3716">
        <w:rPr>
          <w:rFonts w:hint="eastAsia"/>
        </w:rPr>
        <w:t>、</w:t>
      </w:r>
      <w:r w:rsidR="00ED0665">
        <w:rPr>
          <w:rFonts w:hint="eastAsia"/>
        </w:rPr>
        <w:t>その</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t>を踏</w:t>
      </w:r>
      <w:r w:rsidR="00CA3716">
        <w:rPr>
          <w:rFonts w:hint="eastAsia"/>
        </w:rPr>
        <w:lastRenderedPageBreak/>
        <w:t>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0E5887">
      <w:pPr>
        <w:ind w:leftChars="200" w:left="42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0E5887">
      <w:pPr>
        <w:ind w:leftChars="200" w:left="42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799A9B2B"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lastRenderedPageBreak/>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4E2C1C0"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770749AA" w14:textId="3A34D0B6" w:rsidR="000D19BD" w:rsidRDefault="00927F6C"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r w:rsidR="00A90D42">
        <w:rPr>
          <w:rStyle w:val="ab"/>
          <w:rFonts w:asciiTheme="minorEastAsia" w:hAnsiTheme="minorEastAsia" w:cs="`’¡Ã˛"/>
          <w:color w:val="000000" w:themeColor="text1"/>
          <w:kern w:val="0"/>
          <w:szCs w:val="21"/>
        </w:rPr>
        <w:footnoteReference w:id="13"/>
      </w:r>
      <w:r w:rsidR="002801CF">
        <w:rPr>
          <w:rFonts w:asciiTheme="minorEastAsia" w:hAnsiTheme="minorEastAsia" w:cs="`’¡Ã˛" w:hint="eastAsia"/>
          <w:color w:val="000000" w:themeColor="text1"/>
          <w:kern w:val="0"/>
          <w:szCs w:val="21"/>
        </w:rPr>
        <w:t>。</w:t>
      </w:r>
    </w:p>
    <w:p w14:paraId="4DC778C0" w14:textId="140D8075" w:rsidR="009E52BC" w:rsidRDefault="009E52BC"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佐伯がこの時代に</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システムを語るうえで最も重要視しているのは教育目標の明確化</w:t>
      </w:r>
      <w:r>
        <w:rPr>
          <w:rFonts w:asciiTheme="minorEastAsia" w:hAnsiTheme="minorEastAsia" w:cs="`’¡Ã˛" w:hint="eastAsia"/>
          <w:color w:val="000000" w:themeColor="text1"/>
          <w:kern w:val="0"/>
          <w:szCs w:val="21"/>
        </w:rPr>
        <w:lastRenderedPageBreak/>
        <w:t>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4D1EDA7A"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行為やスキルを教える場合というのは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5"/>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w:t>
      </w:r>
      <w:r w:rsidR="0085658C">
        <w:rPr>
          <w:rFonts w:asciiTheme="minorEastAsia" w:hAnsiTheme="minorEastAsia" w:cs="`’¡Ã˛" w:hint="eastAsia"/>
          <w:color w:val="000000" w:themeColor="text1"/>
          <w:kern w:val="0"/>
          <w:szCs w:val="21"/>
        </w:rPr>
        <w:lastRenderedPageBreak/>
        <w:t>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批判しつつ、「わかっている」という状態の一つのあらわれである「兆候」に注目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6"/>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935F077"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7"/>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w:t>
      </w:r>
      <w:r w:rsidR="002E4ADD">
        <w:rPr>
          <w:rFonts w:asciiTheme="minorEastAsia" w:hAnsiTheme="minorEastAsia" w:cs="`’¡Ã˛" w:hint="eastAsia"/>
          <w:color w:val="000000" w:themeColor="text1"/>
          <w:kern w:val="0"/>
          <w:szCs w:val="21"/>
        </w:rPr>
        <w:lastRenderedPageBreak/>
        <w:t>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8"/>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9"/>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 xml:space="preserve">　</w:t>
      </w:r>
      <w:r w:rsidRPr="002832BD">
        <w:rPr>
          <w:rFonts w:asciiTheme="minorEastAsia" w:hAnsiTheme="minorEastAsia" w:cs="`’¡Ã˛" w:hint="eastAsia"/>
          <w:color w:val="000000" w:themeColor="text1"/>
          <w:kern w:val="0"/>
          <w:szCs w:val="21"/>
        </w:rPr>
        <w:t>本章の結びとして、第１節で扱った坂本の考えと佐伯の考えの違いについて考察する。この時代において、両者とも</w:t>
      </w:r>
      <w:r w:rsidRPr="002832BD">
        <w:rPr>
          <w:rFonts w:asciiTheme="minorEastAsia" w:hAnsiTheme="minorEastAsia" w:cs="`’¡Ã˛"/>
          <w:color w:val="000000" w:themeColor="text1"/>
          <w:kern w:val="0"/>
          <w:szCs w:val="21"/>
        </w:rPr>
        <w:t>CAI</w:t>
      </w:r>
      <w:r w:rsidRPr="002832BD">
        <w:rPr>
          <w:rFonts w:asciiTheme="minorEastAsia" w:hAnsiTheme="minorEastAsia" w:cs="`’¡Ã˛" w:hint="eastAsia"/>
          <w:color w:val="000000" w:themeColor="text1"/>
          <w:kern w:val="0"/>
          <w:szCs w:val="21"/>
        </w:rPr>
        <w:t>に注目しているという点</w:t>
      </w:r>
      <w:r w:rsidR="008B6DFC" w:rsidRPr="002832BD">
        <w:rPr>
          <w:rFonts w:asciiTheme="minorEastAsia" w:hAnsiTheme="minorEastAsia" w:cs="`’¡Ã˛" w:hint="eastAsia"/>
          <w:color w:val="000000" w:themeColor="text1"/>
          <w:kern w:val="0"/>
          <w:szCs w:val="21"/>
        </w:rPr>
        <w:t>や教育目標を明確化するべき</w:t>
      </w:r>
      <w:r w:rsidR="009C6280" w:rsidRPr="002832BD">
        <w:rPr>
          <w:rFonts w:asciiTheme="minorEastAsia" w:hAnsiTheme="minorEastAsia" w:cs="`’¡Ã˛" w:hint="eastAsia"/>
          <w:color w:val="000000" w:themeColor="text1"/>
          <w:kern w:val="0"/>
          <w:szCs w:val="21"/>
        </w:rPr>
        <w:t>だと考えていると</w:t>
      </w:r>
      <w:r w:rsidR="008B6DFC" w:rsidRPr="002832BD">
        <w:rPr>
          <w:rFonts w:asciiTheme="minorEastAsia" w:hAnsiTheme="minorEastAsia" w:cs="`’¡Ã˛" w:hint="eastAsia"/>
          <w:color w:val="000000" w:themeColor="text1"/>
          <w:kern w:val="0"/>
          <w:szCs w:val="21"/>
        </w:rPr>
        <w:t>いう点</w:t>
      </w:r>
      <w:r w:rsidRPr="002832BD">
        <w:rPr>
          <w:rFonts w:asciiTheme="minorEastAsia" w:hAnsiTheme="minorEastAsia" w:cs="`’¡Ã˛" w:hint="eastAsia"/>
          <w:color w:val="000000" w:themeColor="text1"/>
          <w:kern w:val="0"/>
          <w:szCs w:val="21"/>
        </w:rPr>
        <w:t>は共通している</w:t>
      </w:r>
      <w:r w:rsidR="006D3648" w:rsidRPr="002832BD">
        <w:rPr>
          <w:rFonts w:asciiTheme="minorEastAsia" w:hAnsiTheme="minorEastAsia" w:cs="`’¡Ã˛" w:hint="eastAsia"/>
          <w:color w:val="000000" w:themeColor="text1"/>
          <w:kern w:val="0"/>
          <w:szCs w:val="21"/>
        </w:rPr>
        <w:t>。しかし、</w:t>
      </w:r>
      <w:r w:rsidR="00830216" w:rsidRPr="002832BD">
        <w:rPr>
          <w:rFonts w:asciiTheme="minorEastAsia" w:hAnsiTheme="minorEastAsia" w:cs="`’¡Ã˛" w:hint="eastAsia"/>
          <w:color w:val="000000" w:themeColor="text1"/>
          <w:kern w:val="0"/>
          <w:szCs w:val="21"/>
        </w:rPr>
        <w:t>坂本</w:t>
      </w:r>
      <w:r w:rsidR="006D3648" w:rsidRPr="002832BD">
        <w:rPr>
          <w:rFonts w:asciiTheme="minorEastAsia" w:hAnsiTheme="minorEastAsia" w:cs="`’¡Ã˛" w:hint="eastAsia"/>
          <w:color w:val="000000" w:themeColor="text1"/>
          <w:kern w:val="0"/>
          <w:szCs w:val="21"/>
        </w:rPr>
        <w:t>を始めとする</w:t>
      </w:r>
      <w:r w:rsidR="008B6DFC" w:rsidRPr="002832BD">
        <w:rPr>
          <w:rFonts w:asciiTheme="minorEastAsia" w:hAnsiTheme="minorEastAsia" w:cs="`’¡Ã˛" w:hint="eastAsia"/>
          <w:color w:val="000000" w:themeColor="text1"/>
          <w:kern w:val="0"/>
          <w:szCs w:val="21"/>
        </w:rPr>
        <w:t>教育工学者</w:t>
      </w:r>
      <w:r w:rsidR="00830216" w:rsidRPr="002832BD">
        <w:rPr>
          <w:rFonts w:asciiTheme="minorEastAsia" w:hAnsiTheme="minorEastAsia" w:cs="`’¡Ã˛" w:hint="eastAsia"/>
          <w:color w:val="000000" w:themeColor="text1"/>
          <w:kern w:val="0"/>
          <w:szCs w:val="21"/>
        </w:rPr>
        <w:t>は</w:t>
      </w:r>
      <w:r w:rsidR="008B6DFC" w:rsidRPr="002832BD">
        <w:rPr>
          <w:rFonts w:asciiTheme="minorEastAsia" w:hAnsiTheme="minorEastAsia" w:cs="`’¡Ã˛" w:hint="eastAsia"/>
          <w:color w:val="000000" w:themeColor="text1"/>
          <w:kern w:val="0"/>
          <w:szCs w:val="21"/>
        </w:rPr>
        <w:t>、</w:t>
      </w:r>
      <w:r w:rsidR="006D3648" w:rsidRPr="002832BD">
        <w:rPr>
          <w:rFonts w:asciiTheme="minorEastAsia" w:hAnsiTheme="minorEastAsia" w:cs="`’¡Ã˛" w:hint="eastAsia"/>
          <w:color w:val="000000" w:themeColor="text1"/>
          <w:kern w:val="0"/>
          <w:szCs w:val="21"/>
        </w:rPr>
        <w:t>そもそも</w:t>
      </w:r>
      <w:r w:rsidR="008B6DFC" w:rsidRPr="002832BD">
        <w:rPr>
          <w:rFonts w:asciiTheme="minorEastAsia" w:hAnsiTheme="minorEastAsia" w:cs="`’¡Ã˛" w:hint="eastAsia"/>
          <w:color w:val="000000" w:themeColor="text1"/>
          <w:kern w:val="0"/>
          <w:szCs w:val="21"/>
        </w:rPr>
        <w:t>学びとはどうあるべきかという議論はしておらず、</w:t>
      </w:r>
      <w:r w:rsidR="006D3648" w:rsidRPr="002832BD">
        <w:rPr>
          <w:rFonts w:asciiTheme="minorEastAsia" w:hAnsiTheme="minorEastAsia" w:cs="`’¡Ã˛" w:hint="eastAsia"/>
          <w:color w:val="000000" w:themeColor="text1"/>
          <w:kern w:val="0"/>
          <w:szCs w:val="21"/>
        </w:rPr>
        <w:t>いかなる</w:t>
      </w:r>
      <w:r w:rsidR="008B6DFC" w:rsidRPr="002832BD">
        <w:rPr>
          <w:rFonts w:asciiTheme="minorEastAsia" w:hAnsiTheme="minorEastAsia" w:cs="`’¡Ã˛" w:hint="eastAsia"/>
          <w:color w:val="000000" w:themeColor="text1"/>
          <w:kern w:val="0"/>
          <w:szCs w:val="21"/>
        </w:rPr>
        <w:t>働きかけを行えば皆の学力を高めることができるかということ</w:t>
      </w:r>
      <w:r w:rsidR="006D3648" w:rsidRPr="002832BD">
        <w:rPr>
          <w:rFonts w:asciiTheme="minorEastAsia" w:hAnsiTheme="minorEastAsia" w:cs="`’¡Ã˛" w:hint="eastAsia"/>
          <w:color w:val="000000" w:themeColor="text1"/>
          <w:kern w:val="0"/>
          <w:szCs w:val="21"/>
        </w:rPr>
        <w:t>に着目し</w:t>
      </w:r>
      <w:r w:rsidR="008B6DFC" w:rsidRPr="002832BD">
        <w:rPr>
          <w:rFonts w:asciiTheme="minorEastAsia" w:hAnsiTheme="minorEastAsia" w:cs="`’¡Ã˛" w:hint="eastAsia"/>
          <w:color w:val="000000" w:themeColor="text1"/>
          <w:kern w:val="0"/>
          <w:szCs w:val="21"/>
        </w:rPr>
        <w:t>研究していたと考えられる。</w:t>
      </w:r>
      <w:r w:rsidR="006D3648" w:rsidRPr="002832BD">
        <w:rPr>
          <w:rFonts w:asciiTheme="minorEastAsia" w:hAnsiTheme="minorEastAsia" w:cs="`’¡Ã˛" w:hint="eastAsia"/>
          <w:color w:val="000000" w:themeColor="text1"/>
          <w:kern w:val="0"/>
          <w:szCs w:val="21"/>
        </w:rPr>
        <w:t>他方で</w:t>
      </w:r>
      <w:r w:rsidR="008B6DFC" w:rsidRPr="002832BD">
        <w:rPr>
          <w:rFonts w:asciiTheme="minorEastAsia" w:hAnsiTheme="minorEastAsia" w:cs="`’¡Ã˛" w:hint="eastAsia"/>
          <w:color w:val="000000" w:themeColor="text1"/>
          <w:kern w:val="0"/>
          <w:szCs w:val="21"/>
        </w:rPr>
        <w:t>、佐伯は</w:t>
      </w:r>
      <w:r w:rsidR="006D3648" w:rsidRPr="002832BD">
        <w:rPr>
          <w:rFonts w:asciiTheme="minorEastAsia" w:hAnsiTheme="minorEastAsia" w:cs="`’¡Ã˛" w:hint="eastAsia"/>
          <w:color w:val="000000" w:themeColor="text1"/>
          <w:kern w:val="0"/>
          <w:szCs w:val="21"/>
        </w:rPr>
        <w:t>学びのあり方について考えていたという特徴がある。佐伯は</w:t>
      </w:r>
      <w:r w:rsidR="008B6DFC" w:rsidRPr="002832BD">
        <w:rPr>
          <w:rFonts w:asciiTheme="minorEastAsia" w:hAnsiTheme="minorEastAsia" w:cs="`’¡Ã˛" w:hint="eastAsia"/>
          <w:color w:val="000000" w:themeColor="text1"/>
          <w:kern w:val="0"/>
          <w:szCs w:val="21"/>
        </w:rPr>
        <w:t>学習において知識の一貫性の希求や、新たに得た知識の意味や関連を問うことというものを重要視していたが、</w:t>
      </w:r>
      <w:r w:rsidR="006D3648" w:rsidRPr="002832BD">
        <w:rPr>
          <w:rFonts w:asciiTheme="minorEastAsia" w:hAnsiTheme="minorEastAsia" w:cs="`’¡Ã˛" w:hint="eastAsia"/>
          <w:color w:val="000000" w:themeColor="text1"/>
          <w:kern w:val="0"/>
          <w:szCs w:val="21"/>
        </w:rPr>
        <w:t>この佐伯の姿勢は</w:t>
      </w:r>
      <w:r w:rsidR="008B6DFC" w:rsidRPr="002832BD">
        <w:rPr>
          <w:rFonts w:asciiTheme="minorEastAsia" w:hAnsiTheme="minorEastAsia" w:cs="`’¡Ã˛"/>
          <w:color w:val="000000" w:themeColor="text1"/>
          <w:kern w:val="0"/>
          <w:szCs w:val="21"/>
        </w:rPr>
        <w:t>CAI</w:t>
      </w:r>
      <w:r w:rsidR="008B6DFC" w:rsidRPr="002832BD">
        <w:rPr>
          <w:rFonts w:asciiTheme="minorEastAsia" w:hAnsiTheme="minorEastAsia" w:cs="`’¡Ã˛" w:hint="eastAsia"/>
          <w:color w:val="000000" w:themeColor="text1"/>
          <w:kern w:val="0"/>
          <w:szCs w:val="21"/>
        </w:rPr>
        <w:t>との整合性が</w:t>
      </w:r>
      <w:r w:rsidR="006D3648" w:rsidRPr="002832BD">
        <w:rPr>
          <w:rFonts w:asciiTheme="minorEastAsia" w:hAnsiTheme="minorEastAsia" w:cs="`’¡Ã˛" w:hint="eastAsia"/>
          <w:color w:val="000000" w:themeColor="text1"/>
          <w:kern w:val="0"/>
          <w:szCs w:val="21"/>
        </w:rPr>
        <w:t>つかないものであり、</w:t>
      </w:r>
      <w:r w:rsidR="008B6DFC" w:rsidRPr="002832BD">
        <w:rPr>
          <w:rFonts w:asciiTheme="minorEastAsia" w:hAnsiTheme="minorEastAsia" w:cs="`’¡Ã˛" w:hint="eastAsia"/>
          <w:color w:val="000000" w:themeColor="text1"/>
          <w:kern w:val="0"/>
          <w:szCs w:val="21"/>
        </w:rPr>
        <w:t>坂本ら教育工学者と意見が異なるのは</w:t>
      </w:r>
      <w:r w:rsidR="006D3648" w:rsidRPr="002832BD">
        <w:rPr>
          <w:rFonts w:asciiTheme="minorEastAsia" w:hAnsiTheme="minorEastAsia" w:cs="`’¡Ã˛" w:hint="eastAsia"/>
          <w:color w:val="000000" w:themeColor="text1"/>
          <w:kern w:val="0"/>
          <w:szCs w:val="21"/>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0E5887">
      <w:pPr>
        <w:ind w:leftChars="200" w:left="52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20"/>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2"/>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0A2D8298"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E5887">
      <w:pPr>
        <w:ind w:leftChars="200" w:left="42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3"/>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15B80EF7"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4"/>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sidR="008A3100">
        <w:rPr>
          <w:rFonts w:asciiTheme="minorEastAsia" w:hAnsiTheme="minorEastAsia" w:cs="`’¡Ã˛" w:hint="eastAsia"/>
          <w:color w:val="000000" w:themeColor="text1"/>
          <w:kern w:val="0"/>
          <w:szCs w:val="21"/>
        </w:rPr>
        <w:t>以下の２点の特徴を挙げている</w:t>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１</w:t>
      </w:r>
      <w:r w:rsidR="008A3100">
        <w:rPr>
          <w:rFonts w:asciiTheme="minorEastAsia" w:hAnsiTheme="minorEastAsia" w:cs="`’¡Ã˛" w:hint="eastAsia"/>
          <w:color w:val="000000" w:themeColor="text1"/>
          <w:kern w:val="0"/>
          <w:szCs w:val="21"/>
        </w:rPr>
        <w:t>点目</w:t>
      </w:r>
      <w:r>
        <w:rPr>
          <w:rFonts w:asciiTheme="minorEastAsia" w:hAnsiTheme="minorEastAsia" w:cs="`’¡Ã˛" w:hint="eastAsia"/>
          <w:color w:val="000000" w:themeColor="text1"/>
          <w:kern w:val="0"/>
          <w:szCs w:val="21"/>
        </w:rPr>
        <w:t>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8A3100">
        <w:rPr>
          <w:rFonts w:asciiTheme="minorEastAsia" w:hAnsiTheme="minorEastAsia" w:cs="`’¡Ã˛" w:hint="eastAsia"/>
          <w:color w:val="000000" w:themeColor="text1"/>
          <w:kern w:val="0"/>
          <w:szCs w:val="21"/>
        </w:rPr>
        <w:t>点目</w:t>
      </w:r>
      <w:r w:rsidR="009455F8">
        <w:rPr>
          <w:rFonts w:asciiTheme="minorEastAsia" w:hAnsiTheme="minorEastAsia" w:cs="`’¡Ã˛" w:hint="eastAsia"/>
          <w:color w:val="000000" w:themeColor="text1"/>
          <w:kern w:val="0"/>
          <w:szCs w:val="21"/>
        </w:rPr>
        <w:t>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66F84265"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「自分の力で分かり得る」ということに関連したものとして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w:t>
      </w:r>
      <w:r w:rsidR="008A3100">
        <w:rPr>
          <w:rStyle w:val="ab"/>
          <w:rFonts w:asciiTheme="minorEastAsia" w:hAnsiTheme="minorEastAsia" w:cs="`’¡Ã˛"/>
          <w:color w:val="000000" w:themeColor="text1"/>
          <w:kern w:val="0"/>
          <w:szCs w:val="21"/>
        </w:rPr>
        <w:footnoteReference w:id="25"/>
      </w:r>
      <w:r w:rsidR="00BD43B6">
        <w:rPr>
          <w:rFonts w:asciiTheme="minorEastAsia" w:hAnsiTheme="minorEastAsia" w:cs="`’¡Ã˛" w:hint="eastAsia"/>
          <w:color w:val="000000" w:themeColor="text1"/>
          <w:kern w:val="0"/>
          <w:szCs w:val="21"/>
        </w:rPr>
        <w:t>。しかし吟味するということにおいても、個々の具体的な吟味過程を答えとするような教師の問いかけによって、強制的に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ED59DD">
        <w:rPr>
          <w:rFonts w:asciiTheme="minorEastAsia" w:hAnsiTheme="minorEastAsia" w:cs="`’¡Ã˛" w:hint="eastAsia"/>
          <w:color w:val="000000" w:themeColor="text1"/>
          <w:kern w:val="0"/>
          <w:szCs w:val="21"/>
        </w:rPr>
        <w:t>この</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6"/>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w:t>
      </w:r>
      <w:r w:rsidR="00EC11A0">
        <w:rPr>
          <w:rFonts w:asciiTheme="minorEastAsia" w:hAnsiTheme="minorEastAsia" w:cs="`’¡Ã˛" w:hint="eastAsia"/>
          <w:color w:val="000000" w:themeColor="text1"/>
          <w:kern w:val="0"/>
          <w:szCs w:val="21"/>
        </w:rPr>
        <w:lastRenderedPageBreak/>
        <w:t>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7"/>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8"/>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w:t>
      </w:r>
      <w:r>
        <w:rPr>
          <w:rFonts w:asciiTheme="minorEastAsia" w:hAnsiTheme="minorEastAsia" w:cs="`’¡Ã˛" w:hint="eastAsia"/>
          <w:color w:val="000000" w:themeColor="text1"/>
          <w:kern w:val="0"/>
          <w:szCs w:val="21"/>
        </w:rPr>
        <w:lastRenderedPageBreak/>
        <w:t>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09ED6683" w14:textId="77777777" w:rsidR="008A3100"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w:t>
      </w:r>
      <w:r w:rsidR="008A3100">
        <w:rPr>
          <w:rFonts w:asciiTheme="minorEastAsia" w:hAnsiTheme="minorEastAsia" w:cs="`’¡Ã˛" w:hint="eastAsia"/>
          <w:color w:val="000000" w:themeColor="text1"/>
          <w:kern w:val="0"/>
          <w:szCs w:val="21"/>
        </w:rPr>
        <w:t>する姿勢が異なると</w:t>
      </w:r>
      <w:r w:rsidR="00FE52C2">
        <w:rPr>
          <w:rFonts w:asciiTheme="minorEastAsia" w:hAnsiTheme="minorEastAsia" w:cs="`’¡Ã˛" w:hint="eastAsia"/>
          <w:color w:val="000000" w:themeColor="text1"/>
          <w:kern w:val="0"/>
          <w:szCs w:val="21"/>
        </w:rPr>
        <w:t>いう点が明確な違いであろう。</w:t>
      </w:r>
      <w:r w:rsidR="008A3100" w:rsidRPr="008A3100">
        <w:rPr>
          <w:rFonts w:asciiTheme="minorEastAsia" w:hAnsiTheme="minorEastAsia" w:cs="`’¡Ã˛" w:hint="eastAsia"/>
          <w:color w:val="FF0000"/>
          <w:kern w:val="0"/>
          <w:szCs w:val="21"/>
        </w:rPr>
        <w:t>佐伯は〜坂本〜</w:t>
      </w:r>
    </w:p>
    <w:p w14:paraId="6B9DFAAA" w14:textId="77777777" w:rsidR="008A3100" w:rsidRDefault="006F4370"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w:t>
      </w:r>
    </w:p>
    <w:p w14:paraId="50FB62AE" w14:textId="55E01048" w:rsidR="00FE52C2" w:rsidRDefault="007C72F0"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つまり、坂本らと佐伯の違いとして、前章</w:t>
      </w:r>
      <w:r w:rsidR="006F4370">
        <w:rPr>
          <w:rFonts w:asciiTheme="minorEastAsia" w:hAnsiTheme="minorEastAsia" w:cs="`’¡Ã˛" w:hint="eastAsia"/>
          <w:color w:val="000000" w:themeColor="text1"/>
          <w:kern w:val="0"/>
          <w:szCs w:val="21"/>
        </w:rPr>
        <w:t>と同様に</w:t>
      </w:r>
      <w:r>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w:t>
      </w:r>
      <w:r w:rsidR="006F4370">
        <w:rPr>
          <w:rFonts w:asciiTheme="minorEastAsia" w:hAnsiTheme="minorEastAsia" w:cs="`’¡Ã˛" w:hint="eastAsia"/>
          <w:color w:val="000000" w:themeColor="text1"/>
          <w:kern w:val="0"/>
          <w:szCs w:val="21"/>
        </w:rPr>
        <w:t>言うまでもないが</w:t>
      </w:r>
      <w:r>
        <w:rPr>
          <w:rFonts w:asciiTheme="minorEastAsia" w:hAnsiTheme="minorEastAsia" w:cs="`’¡Ã˛" w:hint="eastAsia"/>
          <w:color w:val="000000" w:themeColor="text1"/>
          <w:kern w:val="0"/>
          <w:szCs w:val="21"/>
        </w:rPr>
        <w:t>、教育目標を明確に定めるということの是非に関しても意見が分かれていると考えられる。</w:t>
      </w:r>
      <w:r w:rsidR="008A3100" w:rsidRPr="008A3100">
        <w:rPr>
          <w:rFonts w:asciiTheme="minorEastAsia" w:hAnsiTheme="minorEastAsia" w:cs="`’¡Ã˛" w:hint="eastAsia"/>
          <w:color w:val="FF0000"/>
          <w:kern w:val="0"/>
          <w:szCs w:val="21"/>
        </w:rPr>
        <w:t>佐伯はこうやで</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60BFB407" w:rsidR="00CA6294" w:rsidRPr="00CA6294" w:rsidRDefault="00CA6294" w:rsidP="00CA6294">
      <w:r>
        <w:rPr>
          <w:rFonts w:hint="eastAsia"/>
        </w:rPr>
        <w:t xml:space="preserve">　前節では、佐伯が「わかる」ということをどのように捉えているのかを確認し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216A9CF8"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w:t>
      </w:r>
      <w:r>
        <w:rPr>
          <w:rFonts w:asciiTheme="minorEastAsia" w:hAnsiTheme="minorEastAsia" w:cs="`’¡Ã˛" w:hint="eastAsia"/>
          <w:color w:val="000000" w:themeColor="text1"/>
          <w:kern w:val="0"/>
          <w:szCs w:val="21"/>
        </w:rPr>
        <w:lastRenderedPageBreak/>
        <w:t>認識も同時に得ているのである。同じことが「状況」についてもいえる。当面のイメージが主題とされている背景、文脈、目的、他との必然的関係、機能、前提、などが明らかに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9"/>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AE8970F"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30"/>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0D892DD1"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0E5887">
      <w:pPr>
        <w:ind w:leftChars="200" w:left="42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0E5887">
      <w:pPr>
        <w:ind w:leftChars="200" w:left="42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0E5887">
      <w:pPr>
        <w:ind w:leftChars="200" w:left="42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0E5887">
      <w:pPr>
        <w:ind w:leftChars="200" w:left="94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0E5887">
      <w:pPr>
        <w:ind w:leftChars="200" w:left="42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31"/>
      </w:r>
    </w:p>
    <w:p w14:paraId="05EE384E" w14:textId="1EF2CEFF" w:rsidR="007F66C4" w:rsidRDefault="007F66C4" w:rsidP="007F66C4">
      <w:pPr>
        <w:ind w:leftChars="100" w:left="210"/>
        <w:rPr>
          <w:rFonts w:eastAsiaTheme="minorHAnsi" w:cs="ＭＳ 明朝"/>
        </w:rPr>
      </w:pPr>
    </w:p>
    <w:p w14:paraId="63FBCB20" w14:textId="76B392B4"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187D44E"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0E5887">
      <w:pPr>
        <w:ind w:leftChars="200" w:left="42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2"/>
      </w:r>
    </w:p>
    <w:p w14:paraId="1F801EF1" w14:textId="2ECB8772" w:rsidR="0031708A" w:rsidRDefault="0031708A" w:rsidP="007F66C4">
      <w:pPr>
        <w:rPr>
          <w:rFonts w:eastAsiaTheme="minorHAnsi" w:cs="ＭＳ 明朝"/>
        </w:rPr>
      </w:pPr>
    </w:p>
    <w:p w14:paraId="56737D4A" w14:textId="67E2FDCD"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0E5887">
      <w:pPr>
        <w:ind w:leftChars="200" w:left="42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3"/>
      </w:r>
    </w:p>
    <w:p w14:paraId="5BA9CE5C" w14:textId="1C5E9091" w:rsidR="00D7249F" w:rsidRDefault="00D7249F" w:rsidP="00D7249F">
      <w:pPr>
        <w:ind w:leftChars="100" w:left="210"/>
        <w:rPr>
          <w:rFonts w:eastAsiaTheme="minorHAnsi" w:cs="ＭＳ 明朝"/>
        </w:rPr>
      </w:pPr>
    </w:p>
    <w:p w14:paraId="14E1C93C" w14:textId="2CDA888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ように、コンピュータを用いて何かのモデルを作成するということは、そのモデルの対象となるものの価値を発見し、それを共有し普及しようとする活動だと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4"/>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0E5887">
      <w:pPr>
        <w:ind w:leftChars="200" w:left="42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5"/>
      </w:r>
    </w:p>
    <w:p w14:paraId="4EF1D215" w14:textId="1D3EF9DB" w:rsidR="00CD2548" w:rsidRDefault="00CD2548" w:rsidP="00CD2548">
      <w:pPr>
        <w:rPr>
          <w:rFonts w:eastAsiaTheme="minorHAnsi" w:cs="ＭＳ 明朝"/>
        </w:rPr>
      </w:pPr>
    </w:p>
    <w:p w14:paraId="167C1EF3" w14:textId="1D45BFBE"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w:t>
      </w:r>
      <w:r w:rsidR="005814E0">
        <w:rPr>
          <w:rFonts w:eastAsiaTheme="minorHAnsi" w:cs="ＭＳ 明朝" w:hint="eastAsia"/>
        </w:rPr>
        <w:t>る。この非パーソナル化の特徴を、</w:t>
      </w:r>
      <w:r w:rsidR="00EB1F59">
        <w:rPr>
          <w:rFonts w:eastAsiaTheme="minorHAnsi" w:cs="ＭＳ 明朝" w:hint="eastAsia"/>
        </w:rPr>
        <w:t>佐伯は①フラット・インポータンス</w:t>
      </w:r>
      <w:r w:rsidR="004E2924">
        <w:rPr>
          <w:rFonts w:eastAsiaTheme="minorHAnsi" w:cs="ＭＳ 明朝" w:hint="eastAsia"/>
        </w:rPr>
        <w:t>、</w:t>
      </w:r>
      <w:r w:rsidR="00EB1F59">
        <w:rPr>
          <w:rFonts w:eastAsiaTheme="minorHAnsi" w:cs="ＭＳ 明朝" w:hint="eastAsia"/>
        </w:rPr>
        <w:t>②観客化現象</w:t>
      </w:r>
      <w:r w:rsidR="004E2924">
        <w:rPr>
          <w:rFonts w:eastAsiaTheme="minorHAnsi" w:cs="ＭＳ 明朝" w:hint="eastAsia"/>
        </w:rPr>
        <w:t>、</w:t>
      </w:r>
      <w:r w:rsidR="00EB1F59">
        <w:rPr>
          <w:rFonts w:eastAsiaTheme="minorHAnsi" w:cs="ＭＳ 明朝" w:hint="eastAsia"/>
        </w:rPr>
        <w:t>③</w:t>
      </w:r>
      <w:r w:rsidR="004E2924">
        <w:rPr>
          <w:rFonts w:eastAsiaTheme="minorHAnsi" w:cs="ＭＳ 明朝" w:hint="eastAsia"/>
        </w:rPr>
        <w:t>接面感覚の喪失、④ブラックボックス化主義、⑤世界の三人称化、の</w:t>
      </w:r>
      <w:r w:rsidR="004E2924">
        <w:rPr>
          <w:rFonts w:eastAsiaTheme="minorHAnsi" w:cs="ＭＳ 明朝"/>
        </w:rPr>
        <w:t>5</w:t>
      </w:r>
      <w:r w:rsidR="00EB1F59">
        <w:rPr>
          <w:rFonts w:eastAsiaTheme="minorHAnsi" w:cs="ＭＳ 明朝" w:hint="eastAsia"/>
        </w:rPr>
        <w:t>つ</w:t>
      </w:r>
      <w:r w:rsidR="004E2924">
        <w:rPr>
          <w:rFonts w:eastAsiaTheme="minorHAnsi" w:cs="ＭＳ 明朝" w:hint="eastAsia"/>
        </w:rPr>
        <w:t>にまとめている</w:t>
      </w:r>
      <w:r w:rsidR="00EB1F59">
        <w:rPr>
          <w:rFonts w:eastAsiaTheme="minorHAnsi" w:cs="ＭＳ 明朝" w:hint="eastAsia"/>
        </w:rPr>
        <w:t>。</w:t>
      </w:r>
      <w:r w:rsidR="008F4BED">
        <w:rPr>
          <w:rFonts w:eastAsiaTheme="minorHAnsi" w:cs="ＭＳ 明朝" w:hint="eastAsia"/>
        </w:rPr>
        <w:t>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6"/>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7"/>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0E5887">
      <w:pPr>
        <w:ind w:leftChars="200" w:left="420"/>
        <w:rPr>
          <w:rFonts w:eastAsiaTheme="minorHAnsi" w:cs="ＭＳ 明朝"/>
        </w:rPr>
      </w:pPr>
      <w:r>
        <w:rPr>
          <w:rFonts w:eastAsiaTheme="minorHAnsi" w:cs="ＭＳ 明朝" w:hint="eastAsia"/>
        </w:rPr>
        <w:t>これからの情報教育を考えるならば、それは子どもたちを「情報化時代に適応させるこ</w:t>
      </w:r>
      <w:r>
        <w:rPr>
          <w:rFonts w:eastAsiaTheme="minorHAnsi" w:cs="ＭＳ 明朝" w:hint="eastAsia"/>
        </w:rPr>
        <w:lastRenderedPageBreak/>
        <w:t>と」でもなければ、「高度情報化社会に生きるのに必要な、個人の基本的な資質としての情報活用能力の育成」ではないだろう。むしろ、「社会の情報化によって失われ、抑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8"/>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w:t>
      </w:r>
      <w:r>
        <w:rPr>
          <w:rFonts w:hint="eastAsia"/>
        </w:rPr>
        <w:lastRenderedPageBreak/>
        <w:t>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9"/>
      </w:r>
      <w:r w:rsidR="00B40932">
        <w:rPr>
          <w:rFonts w:hint="eastAsia"/>
        </w:rPr>
        <w:t>。</w:t>
      </w:r>
    </w:p>
    <w:p w14:paraId="75E063C0" w14:textId="77777777" w:rsidR="00B40932" w:rsidRDefault="00B40932" w:rsidP="00E33547"/>
    <w:p w14:paraId="0888010F" w14:textId="180794B3" w:rsidR="00E33547" w:rsidRDefault="00B40932" w:rsidP="000E5887">
      <w:pPr>
        <w:ind w:leftChars="200" w:left="42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0E5887">
      <w:pPr>
        <w:ind w:leftChars="200" w:left="42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0E5887">
      <w:pPr>
        <w:ind w:leftChars="200" w:left="42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0E5887">
      <w:pPr>
        <w:ind w:leftChars="200" w:left="42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0E5887">
      <w:pPr>
        <w:ind w:leftChars="200" w:left="42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w:t>
      </w:r>
      <w:r>
        <w:lastRenderedPageBreak/>
        <w:t>予見によって、引き出され展開されていく実践活動の、社会的関係性そのものにある。</w:t>
      </w:r>
    </w:p>
    <w:p w14:paraId="7D380912" w14:textId="6B500E1A" w:rsidR="00E33547" w:rsidRDefault="00B40932" w:rsidP="000E5887">
      <w:pPr>
        <w:ind w:leftChars="200" w:left="420"/>
      </w:pPr>
      <w:r>
        <w:rPr>
          <w:rFonts w:hint="eastAsia"/>
        </w:rPr>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なわち、「文化的透明性」にあるとする。</w:t>
      </w:r>
      <w:r>
        <w:rPr>
          <w:rStyle w:val="ab"/>
        </w:rPr>
        <w:footnoteReference w:id="40"/>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41"/>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2"/>
      </w:r>
      <w:r w:rsidR="007E5B66">
        <w:rPr>
          <w:rFonts w:hint="eastAsia"/>
        </w:rPr>
        <w:t>。</w:t>
      </w:r>
    </w:p>
    <w:p w14:paraId="0CC76182" w14:textId="6A5A8B3B"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3"/>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w:t>
      </w:r>
      <w:r w:rsidR="007F2DD8">
        <w:rPr>
          <w:rFonts w:hint="eastAsia"/>
        </w:rPr>
        <w:lastRenderedPageBreak/>
        <w:t>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E5887">
      <w:pPr>
        <w:ind w:leftChars="200" w:left="42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E5887">
      <w:pPr>
        <w:ind w:leftChars="200" w:left="42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w:t>
      </w:r>
      <w:r>
        <w:rPr>
          <w:rFonts w:hint="eastAsia"/>
        </w:rPr>
        <w:lastRenderedPageBreak/>
        <w:t>い（手段性）。</w:t>
      </w:r>
    </w:p>
    <w:p w14:paraId="551B7E29" w14:textId="77777777" w:rsidR="0002049B" w:rsidRDefault="0002049B" w:rsidP="000E5887">
      <w:pPr>
        <w:ind w:leftChars="200" w:left="420"/>
      </w:pPr>
      <w:r>
        <w:rPr>
          <w:rFonts w:hint="eastAsia"/>
        </w:rPr>
        <w:t>(</w:t>
      </w:r>
      <w:r>
        <w:t>3)</w:t>
      </w:r>
      <w:r>
        <w:rPr>
          <w:rFonts w:hint="eastAsia"/>
        </w:rPr>
        <w:t>道具はしばらく使っているうちに「使っている」という意識がなくなり、それを使って実行している作業そのものに集中できるものでなければならない（透明性）。</w:t>
      </w:r>
      <w:r>
        <w:rPr>
          <w:rStyle w:val="ab"/>
        </w:rPr>
        <w:footnoteReference w:id="44"/>
      </w:r>
    </w:p>
    <w:p w14:paraId="0E2549C9" w14:textId="1AC3C017" w:rsidR="0002049B" w:rsidRPr="0002049B" w:rsidRDefault="0002049B" w:rsidP="00347DA3"/>
    <w:p w14:paraId="3459085E" w14:textId="5A681101"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4AA157F3" w:rsid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2AB7F2F9" w14:textId="365E9F04" w:rsidR="004E2924" w:rsidRPr="004E2924" w:rsidRDefault="004E2924" w:rsidP="00776656">
      <w:pPr>
        <w:rPr>
          <w:rFonts w:hint="eastAsia"/>
          <w:color w:val="FF0000"/>
        </w:rPr>
      </w:pPr>
      <w:r>
        <w:rPr>
          <w:rFonts w:hint="eastAsia"/>
          <w:color w:val="FF0000"/>
        </w:rPr>
        <w:t>坂本ら→</w:t>
      </w:r>
      <w:r w:rsidRPr="004E2924">
        <w:rPr>
          <w:rFonts w:hint="eastAsia"/>
          <w:color w:val="FF0000"/>
        </w:rPr>
        <w:t>その他の</w:t>
      </w:r>
      <w:r>
        <w:rPr>
          <w:rFonts w:hint="eastAsia"/>
          <w:color w:val="FF0000"/>
        </w:rPr>
        <w:t>教育工学者</w:t>
      </w: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67073730" w:rsidR="00960E5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第１節　本論文の総括</w:t>
      </w:r>
    </w:p>
    <w:p w14:paraId="1ADD2B5E" w14:textId="724D1E4C" w:rsidR="004E2924" w:rsidRPr="004E2924" w:rsidRDefault="004E2924" w:rsidP="004E2924">
      <w:pPr>
        <w:rPr>
          <w:rFonts w:hint="eastAsia"/>
          <w:color w:val="FF0000"/>
        </w:rPr>
      </w:pPr>
      <w:r>
        <w:rPr>
          <w:rFonts w:hint="eastAsia"/>
        </w:rPr>
        <w:t xml:space="preserve">　</w:t>
      </w:r>
      <w:r w:rsidRPr="004E2924">
        <w:rPr>
          <w:rFonts w:hint="eastAsia"/>
          <w:color w:val="FF0000"/>
        </w:rPr>
        <w:t>本論文は〜について検討してきた。</w:t>
      </w:r>
    </w:p>
    <w:p w14:paraId="1C2EF5AE" w14:textId="0A51E88F" w:rsidR="00960E50" w:rsidRDefault="00805345" w:rsidP="00960E50">
      <w:pPr>
        <w:rPr>
          <w:rFonts w:asciiTheme="minorEastAsia" w:hAnsiTheme="minorEastAsia" w:cs="`’¡Ã˛"/>
          <w:color w:val="000000" w:themeColor="text1"/>
          <w:kern w:val="0"/>
          <w:szCs w:val="21"/>
        </w:rPr>
      </w:pPr>
      <w:r>
        <w:rPr>
          <w:rFonts w:hint="eastAsia"/>
        </w:rPr>
        <w:t xml:space="preserve">　第1章では1</w:t>
      </w:r>
      <w:r>
        <w:t>973</w:t>
      </w:r>
      <w:r>
        <w:rPr>
          <w:rFonts w:hint="eastAsia"/>
        </w:rPr>
        <w:t>年から</w:t>
      </w:r>
      <w:r>
        <w:t>1976</w:t>
      </w:r>
      <w:r>
        <w:rPr>
          <w:rFonts w:hint="eastAsia"/>
        </w:rPr>
        <w:t>年までの、</w:t>
      </w:r>
      <w:r>
        <w:rPr>
          <w:rFonts w:hint="eastAsia"/>
          <w:szCs w:val="21"/>
        </w:rPr>
        <w:t>佐伯が</w:t>
      </w:r>
      <w:r>
        <w:rPr>
          <w:szCs w:val="21"/>
        </w:rPr>
        <w:t>CAI</w:t>
      </w:r>
      <w:r>
        <w:rPr>
          <w:rFonts w:hint="eastAsia"/>
          <w:szCs w:val="21"/>
        </w:rPr>
        <w:t>を肯定し</w:t>
      </w:r>
      <w:r w:rsidR="00BA3DE1">
        <w:rPr>
          <w:rFonts w:hint="eastAsia"/>
          <w:szCs w:val="21"/>
        </w:rPr>
        <w:t>ていた時代について検討した。佐伯が学習する際に知識の一貫性の追求、自発的な問いが重要だと考えていたことを明らかにした。一方で佐伯は</w:t>
      </w:r>
      <w:r w:rsidR="00BA3DE1">
        <w:rPr>
          <w:szCs w:val="21"/>
        </w:rPr>
        <w:t>CAI</w:t>
      </w:r>
      <w:r w:rsidR="00BA3DE1">
        <w:rPr>
          <w:rFonts w:hint="eastAsia"/>
          <w:szCs w:val="21"/>
        </w:rPr>
        <w:t>システムを肯定し自ら研究も行うなど、佐伯の中で矛盾が存在することも窺えた。続く第2章では、</w:t>
      </w:r>
      <w:r w:rsidR="00BA3DE1">
        <w:rPr>
          <w:szCs w:val="21"/>
        </w:rPr>
        <w:t>1977</w:t>
      </w:r>
      <w:r w:rsidR="00BA3DE1">
        <w:rPr>
          <w:rFonts w:hint="eastAsia"/>
          <w:szCs w:val="21"/>
        </w:rPr>
        <w:t>年から</w:t>
      </w:r>
      <w:r w:rsidR="00BA3DE1">
        <w:rPr>
          <w:szCs w:val="21"/>
        </w:rPr>
        <w:t>1982</w:t>
      </w:r>
      <w:r w:rsidR="00BA3DE1">
        <w:rPr>
          <w:rFonts w:hint="eastAsia"/>
          <w:szCs w:val="21"/>
        </w:rPr>
        <w:t>年までの、佐伯が認知科学に基づき「わかる」ということについて研究を深め、</w:t>
      </w:r>
      <w:r w:rsidR="00BA3DE1">
        <w:rPr>
          <w:szCs w:val="21"/>
        </w:rPr>
        <w:t>CAI</w:t>
      </w:r>
      <w:r w:rsidR="00BA3DE1">
        <w:rPr>
          <w:rFonts w:hint="eastAsia"/>
          <w:szCs w:val="21"/>
        </w:rPr>
        <w:t>批判に転じた時代について検討した。</w:t>
      </w:r>
      <w:r w:rsidR="005810D1">
        <w:rPr>
          <w:rFonts w:hint="eastAsia"/>
          <w:szCs w:val="21"/>
        </w:rPr>
        <w:t>佐伯は前章で扱った時代よりさらに自発的な問いを持つこと、内発的動機づけによって学習が行われることを重要視するようになっていった。また、</w:t>
      </w:r>
      <w:r w:rsidR="00851C6F">
        <w:rPr>
          <w:rFonts w:hint="eastAsia"/>
          <w:szCs w:val="21"/>
        </w:rPr>
        <w:t>佐伯は</w:t>
      </w:r>
      <w:r w:rsidR="005810D1">
        <w:rPr>
          <w:rFonts w:hint="eastAsia"/>
          <w:szCs w:val="21"/>
        </w:rPr>
        <w:t>それ以前は「わかる」ために「おぼえる」段階の必要性を認めていたが、その「おぼえる」ということを軽視するようになった様子も窺えた。これらの学びに対する考えの変化により、</w:t>
      </w:r>
      <w:r w:rsidR="00851C6F">
        <w:rPr>
          <w:rFonts w:hint="eastAsia"/>
          <w:szCs w:val="21"/>
        </w:rPr>
        <w:t>佐伯は</w:t>
      </w:r>
      <w:r w:rsidR="005810D1">
        <w:rPr>
          <w:szCs w:val="21"/>
        </w:rPr>
        <w:t>CAI</w:t>
      </w:r>
      <w:r w:rsidR="005810D1">
        <w:rPr>
          <w:rFonts w:hint="eastAsia"/>
          <w:szCs w:val="21"/>
        </w:rPr>
        <w:t>による受動的な学びを批判し、イメージを用いた</w:t>
      </w:r>
      <w:r w:rsidR="005810D1">
        <w:rPr>
          <w:szCs w:val="21"/>
        </w:rPr>
        <w:t>LOGO</w:t>
      </w:r>
      <w:r w:rsidR="005810D1">
        <w:rPr>
          <w:rFonts w:hint="eastAsia"/>
          <w:szCs w:val="21"/>
        </w:rPr>
        <w:t>システムに</w:t>
      </w:r>
      <w:r w:rsidR="00851C6F">
        <w:rPr>
          <w:rFonts w:hint="eastAsia"/>
          <w:szCs w:val="21"/>
        </w:rPr>
        <w:t>よる学びを提案するようになった。第３章では、</w:t>
      </w:r>
      <w:r w:rsidR="00851C6F">
        <w:rPr>
          <w:szCs w:val="21"/>
        </w:rPr>
        <w:t>1983</w:t>
      </w:r>
      <w:r w:rsidR="00851C6F">
        <w:rPr>
          <w:rFonts w:hint="eastAsia"/>
          <w:szCs w:val="21"/>
        </w:rPr>
        <w:t>年から</w:t>
      </w:r>
      <w:r w:rsidR="00851C6F">
        <w:rPr>
          <w:szCs w:val="21"/>
        </w:rPr>
        <w:t>1999</w:t>
      </w:r>
      <w:r w:rsidR="00851C6F">
        <w:rPr>
          <w:rFonts w:hint="eastAsia"/>
          <w:szCs w:val="21"/>
        </w:rPr>
        <w:t>年までの、佐伯が</w:t>
      </w:r>
      <w:r w:rsidR="00851C6F" w:rsidRPr="00A81CFC">
        <w:rPr>
          <w:rFonts w:asciiTheme="minorEastAsia" w:hAnsiTheme="minorEastAsia" w:cs="`’¡Ã˛"/>
          <w:color w:val="000000" w:themeColor="text1"/>
          <w:kern w:val="0"/>
          <w:szCs w:val="21"/>
        </w:rPr>
        <w:t>⽂化的実践への参加</w:t>
      </w:r>
      <w:r w:rsidR="00851C6F">
        <w:rPr>
          <w:rFonts w:asciiTheme="minorEastAsia" w:hAnsiTheme="minorEastAsia" w:cs="`’¡Ã˛" w:hint="eastAsia"/>
          <w:color w:val="000000" w:themeColor="text1"/>
          <w:kern w:val="0"/>
          <w:szCs w:val="21"/>
        </w:rPr>
        <w:t>としての学びや正統的周辺参加による学びという重要な考えを提起した時代に</w:t>
      </w:r>
      <w:r w:rsidR="00851C6F" w:rsidRPr="00A81CFC">
        <w:rPr>
          <w:rFonts w:asciiTheme="minorEastAsia" w:hAnsiTheme="minorEastAsia" w:cs="`’¡Ã˛"/>
          <w:color w:val="000000" w:themeColor="text1"/>
          <w:kern w:val="0"/>
          <w:szCs w:val="21"/>
        </w:rPr>
        <w:t>ついて</w:t>
      </w:r>
      <w:r w:rsidR="0045065A">
        <w:rPr>
          <w:rFonts w:asciiTheme="minorEastAsia" w:hAnsiTheme="minorEastAsia" w:cs="`’¡Ã˛" w:hint="eastAsia"/>
          <w:color w:val="000000" w:themeColor="text1"/>
          <w:kern w:val="0"/>
          <w:szCs w:val="21"/>
        </w:rPr>
        <w:t>検討した。</w:t>
      </w:r>
      <w:r w:rsidR="00851C6F">
        <w:rPr>
          <w:rFonts w:asciiTheme="minorEastAsia" w:hAnsiTheme="minorEastAsia" w:cs="`’¡Ã˛" w:hint="eastAsia"/>
          <w:color w:val="000000" w:themeColor="text1"/>
          <w:kern w:val="0"/>
          <w:szCs w:val="21"/>
        </w:rPr>
        <w:t>佐伯</w:t>
      </w:r>
      <w:r w:rsidR="0045065A">
        <w:rPr>
          <w:rFonts w:asciiTheme="minorEastAsia" w:hAnsiTheme="minorEastAsia" w:cs="`’¡Ã˛" w:hint="eastAsia"/>
          <w:color w:val="000000" w:themeColor="text1"/>
          <w:kern w:val="0"/>
          <w:szCs w:val="21"/>
        </w:rPr>
        <w:t>は非パーソナル化といった</w:t>
      </w:r>
      <w:r w:rsidR="00851C6F">
        <w:rPr>
          <w:rFonts w:asciiTheme="minorEastAsia" w:hAnsiTheme="minorEastAsia" w:cs="`’¡Ã˛" w:hint="eastAsia"/>
          <w:color w:val="000000" w:themeColor="text1"/>
          <w:kern w:val="0"/>
          <w:szCs w:val="21"/>
        </w:rPr>
        <w:t>コンピュータ</w:t>
      </w:r>
      <w:r w:rsidR="0045065A">
        <w:rPr>
          <w:rFonts w:asciiTheme="minorEastAsia" w:hAnsiTheme="minorEastAsia" w:cs="`’¡Ã˛" w:hint="eastAsia"/>
          <w:color w:val="000000" w:themeColor="text1"/>
          <w:kern w:val="0"/>
          <w:szCs w:val="21"/>
        </w:rPr>
        <w:t>利用</w:t>
      </w:r>
      <w:r w:rsidR="00851C6F">
        <w:rPr>
          <w:rFonts w:asciiTheme="minorEastAsia" w:hAnsiTheme="minorEastAsia" w:cs="`’¡Ã˛" w:hint="eastAsia"/>
          <w:color w:val="000000" w:themeColor="text1"/>
          <w:kern w:val="0"/>
          <w:szCs w:val="21"/>
        </w:rPr>
        <w:t>の負の側面を指摘する一方で、</w:t>
      </w:r>
      <w:r w:rsidR="0045065A">
        <w:rPr>
          <w:rFonts w:asciiTheme="minorEastAsia" w:hAnsiTheme="minorEastAsia" w:cs="`’¡Ã˛" w:hint="eastAsia"/>
          <w:color w:val="000000" w:themeColor="text1"/>
          <w:kern w:val="0"/>
          <w:szCs w:val="21"/>
        </w:rPr>
        <w:t>以上のような学び観に基づき、</w:t>
      </w:r>
      <w:r w:rsidR="00851C6F">
        <w:rPr>
          <w:rFonts w:asciiTheme="minorEastAsia" w:hAnsiTheme="minorEastAsia" w:cs="`’¡Ã˛" w:hint="eastAsia"/>
          <w:color w:val="000000" w:themeColor="text1"/>
          <w:kern w:val="0"/>
          <w:szCs w:val="21"/>
        </w:rPr>
        <w:t>表現のためにコンピュータを用いることや、インターネット等により共同体を形成することを</w:t>
      </w:r>
      <w:r w:rsidR="00E55EFB">
        <w:rPr>
          <w:rFonts w:asciiTheme="minorEastAsia" w:hAnsiTheme="minorEastAsia" w:cs="`’¡Ã˛" w:hint="eastAsia"/>
          <w:color w:val="000000" w:themeColor="text1"/>
          <w:kern w:val="0"/>
          <w:szCs w:val="21"/>
        </w:rPr>
        <w:t>肯定的に検討していた。</w:t>
      </w:r>
    </w:p>
    <w:p w14:paraId="0353738B" w14:textId="61108036" w:rsidR="00E55EFB" w:rsidRDefault="00E55EFB" w:rsidP="00960E50">
      <w:pPr>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以上から</w:t>
      </w:r>
      <w:r w:rsidR="00B700DD">
        <w:rPr>
          <w:rFonts w:asciiTheme="minorEastAsia" w:hAnsiTheme="minorEastAsia" w:cs="`’¡Ã˛" w:hint="eastAsia"/>
          <w:color w:val="000000" w:themeColor="text1"/>
          <w:kern w:val="0"/>
          <w:szCs w:val="21"/>
        </w:rPr>
        <w:t>佐伯が教育工学者らと異なっている点として、学びのあり方を徹底的に考えたことが</w:t>
      </w:r>
      <w:r w:rsidR="00E32AB0">
        <w:rPr>
          <w:rFonts w:asciiTheme="minorEastAsia" w:hAnsiTheme="minorEastAsia" w:cs="`’¡Ã˛" w:hint="eastAsia"/>
          <w:color w:val="000000" w:themeColor="text1"/>
          <w:kern w:val="0"/>
          <w:szCs w:val="21"/>
        </w:rPr>
        <w:t>無論</w:t>
      </w:r>
      <w:r w:rsidR="00B700DD">
        <w:rPr>
          <w:rFonts w:asciiTheme="minorEastAsia" w:hAnsiTheme="minorEastAsia" w:cs="`’¡Ã˛" w:hint="eastAsia"/>
          <w:color w:val="000000" w:themeColor="text1"/>
          <w:kern w:val="0"/>
          <w:szCs w:val="21"/>
        </w:rPr>
        <w:t>挙げられる。その結果、</w:t>
      </w:r>
      <w:r w:rsidR="00E32AB0">
        <w:rPr>
          <w:rFonts w:asciiTheme="minorEastAsia" w:hAnsiTheme="minorEastAsia" w:cs="`’¡Ã˛" w:hint="eastAsia"/>
          <w:color w:val="000000" w:themeColor="text1"/>
          <w:kern w:val="0"/>
          <w:szCs w:val="21"/>
        </w:rPr>
        <w:t>表現にコンピュータを用いることで「わかる」を深めることができると主張しており、これは情報技術が進歩しても変わることのない</w:t>
      </w:r>
      <w:r w:rsidR="00F602E2">
        <w:rPr>
          <w:rFonts w:asciiTheme="minorEastAsia" w:hAnsiTheme="minorEastAsia" w:cs="`’¡Ã˛" w:hint="eastAsia"/>
          <w:color w:val="000000" w:themeColor="text1"/>
          <w:kern w:val="0"/>
          <w:szCs w:val="21"/>
        </w:rPr>
        <w:t>核となる考えだといえ、</w:t>
      </w:r>
      <w:r w:rsidR="00E32AB0">
        <w:rPr>
          <w:rFonts w:asciiTheme="minorEastAsia" w:hAnsiTheme="minorEastAsia" w:cs="`’¡Ã˛" w:hint="eastAsia"/>
          <w:color w:val="000000" w:themeColor="text1"/>
          <w:kern w:val="0"/>
          <w:szCs w:val="21"/>
        </w:rPr>
        <w:t>ある種普遍的な主張だと</w:t>
      </w:r>
      <w:r w:rsidR="00F602E2">
        <w:rPr>
          <w:rFonts w:asciiTheme="minorEastAsia" w:hAnsiTheme="minorEastAsia" w:cs="`’¡Ã˛" w:hint="eastAsia"/>
          <w:color w:val="000000" w:themeColor="text1"/>
          <w:kern w:val="0"/>
          <w:szCs w:val="21"/>
        </w:rPr>
        <w:t>論じることができるだろう。</w:t>
      </w:r>
    </w:p>
    <w:p w14:paraId="4D4D6F28" w14:textId="77777777" w:rsidR="00E55EFB" w:rsidRPr="005810D1" w:rsidRDefault="00E55EFB" w:rsidP="00960E50"/>
    <w:p w14:paraId="32D46AA4" w14:textId="2EAE424D" w:rsidR="001219F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第２節　本論文の示唆と課題</w:t>
      </w:r>
    </w:p>
    <w:p w14:paraId="6E32459B" w14:textId="2B109AB6" w:rsidR="00E55EFB" w:rsidRDefault="00E55EFB" w:rsidP="00E55EFB">
      <w:r>
        <w:rPr>
          <w:rFonts w:hint="eastAsia"/>
        </w:rPr>
        <w:t xml:space="preserve">　本節では、佐伯のコンピュータ論に基づき</w:t>
      </w:r>
      <w:r w:rsidR="00636B0B">
        <w:rPr>
          <w:rFonts w:hint="eastAsia"/>
        </w:rPr>
        <w:t>現在の</w:t>
      </w:r>
      <w:r w:rsidR="00636B0B">
        <w:t>ICT</w:t>
      </w:r>
      <w:r w:rsidR="00636B0B">
        <w:rPr>
          <w:rFonts w:hint="eastAsia"/>
        </w:rPr>
        <w:t>教育のあり方について検討した後に、本論文の課題を</w:t>
      </w:r>
      <w:r w:rsidR="004E2924">
        <w:rPr>
          <w:rFonts w:hint="eastAsia"/>
        </w:rPr>
        <w:t>提示したい</w:t>
      </w:r>
      <w:r w:rsidR="00636B0B">
        <w:rPr>
          <w:rFonts w:hint="eastAsia"/>
        </w:rPr>
        <w:t>。</w:t>
      </w:r>
    </w:p>
    <w:p w14:paraId="02098C0F" w14:textId="157619E7" w:rsidR="00636B0B" w:rsidRDefault="00636B0B" w:rsidP="00707719">
      <w:r>
        <w:rPr>
          <w:rFonts w:hint="eastAsia"/>
        </w:rPr>
        <w:t xml:space="preserve">　現在の</w:t>
      </w:r>
      <w:r>
        <w:t>ICT</w:t>
      </w:r>
      <w:r>
        <w:rPr>
          <w:rFonts w:hint="eastAsia"/>
        </w:rPr>
        <w:t>教育の方針として文部科学省は「</w:t>
      </w:r>
      <w:r w:rsidR="00707719">
        <w:rPr>
          <w:rFonts w:hint="eastAsia"/>
        </w:rPr>
        <w:t>新たに学校における基盤的なツールとなる</w:t>
      </w:r>
      <w:r w:rsidR="00707719">
        <w:t xml:space="preserve"> ICTも最大限活用しながら、多様な子供たちを誰一</w:t>
      </w:r>
      <w:r w:rsidR="00707719">
        <w:rPr>
          <w:rFonts w:hint="eastAsia"/>
        </w:rPr>
        <w:t>人取り残すことなく育成する「個別最適な学び」と、子供たちの多様な個性を最大限に生かす「協働的な学び」の一体的な充実が</w:t>
      </w:r>
      <w:r w:rsidR="00707719">
        <w:rPr>
          <w:rFonts w:hint="eastAsia"/>
        </w:rPr>
        <w:lastRenderedPageBreak/>
        <w:t>図られることが求められる</w:t>
      </w:r>
      <w:r>
        <w:rPr>
          <w:rFonts w:hint="eastAsia"/>
        </w:rPr>
        <w:t>」と述べている</w:t>
      </w:r>
      <w:r w:rsidR="00DB2E89">
        <w:rPr>
          <w:rStyle w:val="ab"/>
        </w:rPr>
        <w:footnoteReference w:id="45"/>
      </w:r>
      <w:r>
        <w:rPr>
          <w:rFonts w:hint="eastAsia"/>
        </w:rPr>
        <w:t>。</w:t>
      </w:r>
      <w:r w:rsidR="00EB632A">
        <w:rPr>
          <w:rFonts w:hint="eastAsia"/>
        </w:rPr>
        <w:t>ここで個別最適な学びに着目してみたい。</w:t>
      </w:r>
      <w:r w:rsidR="008C46EE">
        <w:rPr>
          <w:rFonts w:hint="eastAsia"/>
        </w:rPr>
        <w:t>文部科学省は個別最適な学びとは、指導の個別化と学習の個性化から</w:t>
      </w:r>
      <w:r w:rsidR="00E560CB">
        <w:rPr>
          <w:rFonts w:hint="eastAsia"/>
        </w:rPr>
        <w:t>成る</w:t>
      </w:r>
      <w:r w:rsidR="008C46EE">
        <w:rPr>
          <w:rFonts w:hint="eastAsia"/>
        </w:rPr>
        <w:t>と説明している。指導の個別化とは「一</w:t>
      </w:r>
      <w:r w:rsidR="008C46EE" w:rsidRPr="000441CB">
        <w:rPr>
          <w:rFonts w:hint="eastAsia"/>
        </w:rPr>
        <w:t>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w:t>
      </w:r>
      <w:r w:rsidR="008C46EE">
        <w:rPr>
          <w:rFonts w:hint="eastAsia"/>
        </w:rPr>
        <w:t>」むもので、学習の個性化とは「</w:t>
      </w:r>
      <w:r w:rsidR="008C46EE" w:rsidRPr="000441CB">
        <w:rPr>
          <w:rFonts w:hint="eastAsia"/>
        </w:rPr>
        <w:t>個々の児童生徒の興味・関心等に応じた異なる目標に向けて、学習を深め、広げることを意味し、その中で児童生徒自身が自らどのような方向性で学習を進めていったら良いかを考えていくことなども含</w:t>
      </w:r>
      <w:r w:rsidR="008C46EE">
        <w:rPr>
          <w:rFonts w:hint="eastAsia"/>
        </w:rPr>
        <w:t>」むものだと説明されている</w:t>
      </w:r>
      <w:r w:rsidR="00C26615">
        <w:rPr>
          <w:rStyle w:val="ab"/>
        </w:rPr>
        <w:footnoteReference w:id="46"/>
      </w:r>
      <w:r w:rsidR="008C46EE">
        <w:rPr>
          <w:rFonts w:hint="eastAsia"/>
        </w:rPr>
        <w:t>。</w:t>
      </w:r>
      <w:r w:rsidR="00EB632A">
        <w:rPr>
          <w:rFonts w:hint="eastAsia"/>
        </w:rPr>
        <w:t>この説明は一見すると佐伯の主張と合致したものに思われるが、中身を詳しく検討すると異なる点が存在すると指摘できる。</w:t>
      </w:r>
      <w:r w:rsidR="004245A1">
        <w:rPr>
          <w:rFonts w:hint="eastAsia"/>
        </w:rPr>
        <w:t>学習の個性化は、</w:t>
      </w:r>
      <w:r w:rsidR="00E560CB">
        <w:rPr>
          <w:rFonts w:hint="eastAsia"/>
        </w:rPr>
        <w:t>まずは</w:t>
      </w:r>
      <w:r w:rsidR="004245A1">
        <w:rPr>
          <w:rFonts w:hint="eastAsia"/>
        </w:rPr>
        <w:t>自分のこだわりを</w:t>
      </w:r>
      <w:r w:rsidR="00E560CB">
        <w:rPr>
          <w:rFonts w:hint="eastAsia"/>
        </w:rPr>
        <w:t>突き詰めるべきである</w:t>
      </w:r>
      <w:r w:rsidR="004245A1">
        <w:rPr>
          <w:rFonts w:hint="eastAsia"/>
        </w:rPr>
        <w:t>という第３章での佐伯の議論と類似したものだと言える。一方で</w:t>
      </w:r>
      <w:r w:rsidR="008C46EE">
        <w:rPr>
          <w:rFonts w:hint="eastAsia"/>
        </w:rPr>
        <w:t>指導の個別化に関して、</w:t>
      </w:r>
      <w:r w:rsidR="00E560CB">
        <w:rPr>
          <w:rFonts w:hint="eastAsia"/>
        </w:rPr>
        <w:t>文部科学省はそれを</w:t>
      </w:r>
      <w:r w:rsidR="004245A1">
        <w:rPr>
          <w:rFonts w:hint="eastAsia"/>
        </w:rPr>
        <w:t>実現するもの</w:t>
      </w:r>
      <w:r w:rsidR="008C46EE">
        <w:rPr>
          <w:rFonts w:hint="eastAsia"/>
        </w:rPr>
        <w:t>として</w:t>
      </w:r>
      <w:r w:rsidR="00E560CB">
        <w:rPr>
          <w:rFonts w:hint="eastAsia"/>
        </w:rPr>
        <w:t>ドリルソフトを挙げている</w:t>
      </w:r>
      <w:r w:rsidR="008C46EE">
        <w:rPr>
          <w:rFonts w:hint="eastAsia"/>
        </w:rPr>
        <w:t>。</w:t>
      </w:r>
      <w:r w:rsidR="00E560CB">
        <w:rPr>
          <w:rFonts w:hint="eastAsia"/>
        </w:rPr>
        <w:t>ドリルソフトは</w:t>
      </w:r>
      <w:r w:rsidR="00E560CB">
        <w:t>CAI</w:t>
      </w:r>
      <w:r w:rsidR="00EB632A">
        <w:rPr>
          <w:rFonts w:hint="eastAsia"/>
        </w:rPr>
        <w:t>を発展させたものということができ</w:t>
      </w:r>
      <w:r w:rsidR="00E560CB">
        <w:rPr>
          <w:rFonts w:hint="eastAsia"/>
        </w:rPr>
        <w:t>、佐伯の主張とは大きく異なることが明らかであろう。</w:t>
      </w:r>
      <w:r w:rsidR="004245A1">
        <w:rPr>
          <w:rFonts w:hint="eastAsia"/>
        </w:rPr>
        <w:t>佐伯は</w:t>
      </w:r>
      <w:r w:rsidR="004245A1">
        <w:t>2003</w:t>
      </w:r>
      <w:r w:rsidR="004245A1">
        <w:rPr>
          <w:rFonts w:hint="eastAsia"/>
        </w:rPr>
        <w:t>年に</w:t>
      </w:r>
      <w:r w:rsidR="00E560CB">
        <w:rPr>
          <w:rFonts w:hint="eastAsia"/>
        </w:rPr>
        <w:t>教育の状況に関して</w:t>
      </w:r>
      <w:r w:rsidR="004245A1">
        <w:rPr>
          <w:rFonts w:hint="eastAsia"/>
        </w:rPr>
        <w:t>以下のように述べている。</w:t>
      </w:r>
    </w:p>
    <w:p w14:paraId="0A7A6D45" w14:textId="77777777" w:rsidR="004245A1" w:rsidRDefault="004245A1" w:rsidP="00E55EFB"/>
    <w:p w14:paraId="64BD7C18" w14:textId="6CCCB7E1" w:rsidR="008C46EE" w:rsidRDefault="004245A1" w:rsidP="000E5887">
      <w:pPr>
        <w:ind w:leftChars="200" w:left="420"/>
      </w:pPr>
      <w:r>
        <w:rPr>
          <w:rFonts w:hint="eastAsia"/>
        </w:rPr>
        <w:t>「できる」中心主義が今日復活しつつあります。</w:t>
      </w:r>
      <w:r w:rsidR="00D35200">
        <w:rPr>
          <w:rFonts w:hint="eastAsia"/>
        </w:rPr>
        <w:t>/</w:t>
      </w:r>
      <w:r w:rsidR="00D35200">
        <w:t xml:space="preserve"> </w:t>
      </w:r>
      <w:r>
        <w:rPr>
          <w:rFonts w:hint="eastAsia"/>
        </w:rPr>
        <w:t>学力低下問題などの議論の中で、「わかる」教育、「ゆとり」教育が学力を低下させたのではないか、やはり「できる」ことをちゃんと増やすことが学力なんだという見方が広がってきています</w:t>
      </w:r>
      <w:r w:rsidR="00F05ED8">
        <w:rPr>
          <w:rFonts w:hint="eastAsia"/>
        </w:rPr>
        <w:t>。</w:t>
      </w:r>
      <w:r>
        <w:rPr>
          <w:rFonts w:hint="eastAsia"/>
        </w:rPr>
        <w:t>能力で学力、学ぶことをとらえる見方が、何の疑問ももたれずに受け入れられつつあります。</w:t>
      </w:r>
      <w:r w:rsidR="00D35200">
        <w:rPr>
          <w:rFonts w:hint="eastAsia"/>
        </w:rPr>
        <w:t>/</w:t>
      </w:r>
      <w:r w:rsidR="00D35200">
        <w:t xml:space="preserve"> </w:t>
      </w:r>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r w:rsidR="00D35200">
        <w:rPr>
          <w:rStyle w:val="ab"/>
        </w:rPr>
        <w:footnoteReference w:id="47"/>
      </w:r>
    </w:p>
    <w:p w14:paraId="08828CE4" w14:textId="6ECC7EF8" w:rsidR="00D35200" w:rsidRDefault="00D35200" w:rsidP="00F05ED8"/>
    <w:p w14:paraId="362FD7F2" w14:textId="0F18ABEC" w:rsidR="00EB632A" w:rsidRDefault="00EB632A" w:rsidP="00F05ED8">
      <w:r>
        <w:rPr>
          <w:rFonts w:hint="eastAsia"/>
        </w:rPr>
        <w:t>以上から、</w:t>
      </w:r>
      <w:r w:rsidR="00CE5FF2">
        <w:rPr>
          <w:rFonts w:hint="eastAsia"/>
        </w:rPr>
        <w:t>指導の個別化において</w:t>
      </w:r>
      <w:r>
        <w:rPr>
          <w:rFonts w:hint="eastAsia"/>
        </w:rPr>
        <w:t>皆がある一定の「できる」という目標を達成すること</w:t>
      </w:r>
      <w:r w:rsidR="00CE5FF2">
        <w:rPr>
          <w:rFonts w:hint="eastAsia"/>
        </w:rPr>
        <w:t>が</w:t>
      </w:r>
      <w:r w:rsidR="005A27F6">
        <w:rPr>
          <w:rFonts w:hint="eastAsia"/>
        </w:rPr>
        <w:t>目指されていると指摘でき、それは本論文で検討してきた佐伯の「わかる」ことを学ぶ教育と</w:t>
      </w:r>
      <w:r w:rsidR="005A27F6">
        <w:rPr>
          <w:rFonts w:hint="eastAsia"/>
        </w:rPr>
        <w:lastRenderedPageBreak/>
        <w:t>は大きくかけ離れたものであろう。</w:t>
      </w:r>
    </w:p>
    <w:p w14:paraId="68B000A0" w14:textId="4D324787" w:rsidR="00942F93" w:rsidRDefault="0078031C" w:rsidP="00CE2E4B">
      <w:pPr>
        <w:ind w:firstLineChars="100" w:firstLine="210"/>
      </w:pPr>
      <w:r>
        <w:rPr>
          <w:rFonts w:hint="eastAsia"/>
        </w:rPr>
        <w:t>また</w:t>
      </w:r>
      <w:r w:rsidR="00CE2E4B">
        <w:rPr>
          <w:rFonts w:hint="eastAsia"/>
        </w:rPr>
        <w:t>、</w:t>
      </w:r>
      <w:r>
        <w:rPr>
          <w:rFonts w:hint="eastAsia"/>
        </w:rPr>
        <w:t>教師に対する</w:t>
      </w:r>
      <w:r>
        <w:t>ICT</w:t>
      </w:r>
      <w:r>
        <w:rPr>
          <w:rFonts w:hint="eastAsia"/>
        </w:rPr>
        <w:t>活用指導力や</w:t>
      </w:r>
      <w:r>
        <w:t>ICT</w:t>
      </w:r>
      <w:r>
        <w:rPr>
          <w:rFonts w:hint="eastAsia"/>
        </w:rPr>
        <w:t>機器を導入した場合に行いたい学習指導に関するアンケートを踏まえても、</w:t>
      </w:r>
      <w:r>
        <w:t>ICT</w:t>
      </w:r>
      <w:r>
        <w:rPr>
          <w:rFonts w:hint="eastAsia"/>
        </w:rPr>
        <w:t>機器は教材提示、調べ学習、発表、ドリルに使われることが予想される。</w:t>
      </w:r>
      <w:r w:rsidR="00573398">
        <w:rPr>
          <w:rFonts w:hint="eastAsia"/>
        </w:rPr>
        <w:t>例えば、文部科学省の調査</w:t>
      </w:r>
      <w:r w:rsidR="009271AC">
        <w:rPr>
          <w:rFonts w:hint="eastAsia"/>
        </w:rPr>
        <w:t>では</w:t>
      </w:r>
      <w:r w:rsidR="001F03CD">
        <w:rPr>
          <w:rFonts w:hint="eastAsia"/>
        </w:rPr>
        <w:t>、教員はコンピュータを使用の提示装置として用いることや生徒に情報収集させることに</w:t>
      </w:r>
      <w:r w:rsidR="009271AC">
        <w:rPr>
          <w:rFonts w:hint="eastAsia"/>
        </w:rPr>
        <w:t>比べて、グループの話し合いにコンピュータを用いることに関して、自信がないことが示されている</w:t>
      </w:r>
      <w:r w:rsidR="009271AC">
        <w:rPr>
          <w:rStyle w:val="ab"/>
        </w:rPr>
        <w:footnoteReference w:id="48"/>
      </w:r>
      <w:r w:rsidR="009271AC">
        <w:rPr>
          <w:rFonts w:hint="eastAsia"/>
        </w:rPr>
        <w:t>。また民間の調査においても</w:t>
      </w:r>
      <w:r w:rsidR="008E7C91">
        <w:rPr>
          <w:rFonts w:hint="eastAsia"/>
        </w:rPr>
        <w:t>、教師が</w:t>
      </w:r>
      <w:r w:rsidR="009271AC">
        <w:t>ICT</w:t>
      </w:r>
      <w:r w:rsidR="009271AC">
        <w:rPr>
          <w:rFonts w:hint="eastAsia"/>
        </w:rPr>
        <w:t>機器を用いて行いたい学習指導として</w:t>
      </w:r>
      <w:r w:rsidR="008E7C91">
        <w:rPr>
          <w:rFonts w:hint="eastAsia"/>
        </w:rPr>
        <w:t>多く挙げているのは</w:t>
      </w:r>
      <w:r w:rsidR="009271AC">
        <w:rPr>
          <w:rFonts w:hint="eastAsia"/>
        </w:rPr>
        <w:t>、生徒による情報収集、意見発表、</w:t>
      </w:r>
      <w:r w:rsidR="008E7C91">
        <w:rPr>
          <w:rFonts w:hint="eastAsia"/>
        </w:rPr>
        <w:t>計算等の反復的練習である</w:t>
      </w:r>
      <w:r w:rsidR="008E7C91">
        <w:rPr>
          <w:rStyle w:val="ab"/>
        </w:rPr>
        <w:footnoteReference w:id="49"/>
      </w:r>
      <w:r w:rsidR="008E7C91">
        <w:rPr>
          <w:rFonts w:hint="eastAsia"/>
        </w:rPr>
        <w:t>。</w:t>
      </w:r>
      <w:r w:rsidR="00CE5FF2">
        <w:rPr>
          <w:rFonts w:hint="eastAsia"/>
        </w:rPr>
        <w:t>以上のようなコンピュータを用いた指導のあり方で、</w:t>
      </w:r>
      <w:r w:rsidR="00210AD1">
        <w:rPr>
          <w:rFonts w:hint="eastAsia"/>
        </w:rPr>
        <w:t>佐伯が理想とした</w:t>
      </w:r>
      <w:r w:rsidR="00F05ED8">
        <w:rPr>
          <w:rFonts w:hint="eastAsia"/>
        </w:rPr>
        <w:t>、</w:t>
      </w:r>
      <w:r w:rsidR="00210AD1">
        <w:rPr>
          <w:rFonts w:hint="eastAsia"/>
        </w:rPr>
        <w:t>個人のこだわりを</w:t>
      </w:r>
      <w:r w:rsidR="00F05ED8">
        <w:rPr>
          <w:rFonts w:hint="eastAsia"/>
        </w:rPr>
        <w:t>追求した上で</w:t>
      </w:r>
      <w:r w:rsidR="00210AD1">
        <w:rPr>
          <w:rFonts w:hint="eastAsia"/>
        </w:rPr>
        <w:t>、他者と共同体を形成し</w:t>
      </w:r>
      <w:r w:rsidR="00F05ED8">
        <w:rPr>
          <w:rFonts w:hint="eastAsia"/>
        </w:rPr>
        <w:t>、こだわりの</w:t>
      </w:r>
      <w:r w:rsidR="00210AD1">
        <w:rPr>
          <w:rFonts w:hint="eastAsia"/>
        </w:rPr>
        <w:t>価値を分かち合うという</w:t>
      </w:r>
      <w:r w:rsidR="00F05ED8">
        <w:rPr>
          <w:rFonts w:hint="eastAsia"/>
        </w:rPr>
        <w:t>ことが</w:t>
      </w:r>
      <w:r w:rsidR="00210AD1">
        <w:rPr>
          <w:rFonts w:hint="eastAsia"/>
        </w:rPr>
        <w:t>成立しうる</w:t>
      </w:r>
      <w:r w:rsidR="00F05ED8">
        <w:rPr>
          <w:rFonts w:hint="eastAsia"/>
        </w:rPr>
        <w:t>とは考えにくい。</w:t>
      </w:r>
      <w:r w:rsidR="00210AD1">
        <w:rPr>
          <w:rFonts w:hint="eastAsia"/>
        </w:rPr>
        <w:t>調べ学習</w:t>
      </w:r>
      <w:r w:rsidR="00F05ED8">
        <w:rPr>
          <w:rFonts w:hint="eastAsia"/>
        </w:rPr>
        <w:t>は</w:t>
      </w:r>
      <w:r w:rsidR="00210AD1">
        <w:rPr>
          <w:rFonts w:hint="eastAsia"/>
        </w:rPr>
        <w:t>単に設定されたテーマのことを調べ</w:t>
      </w:r>
      <w:r w:rsidR="00F05ED8">
        <w:rPr>
          <w:rFonts w:hint="eastAsia"/>
        </w:rPr>
        <w:t>、</w:t>
      </w:r>
      <w:r w:rsidR="00210AD1">
        <w:rPr>
          <w:rFonts w:hint="eastAsia"/>
        </w:rPr>
        <w:t>まとめ</w:t>
      </w:r>
      <w:r w:rsidR="00F05ED8">
        <w:rPr>
          <w:rFonts w:hint="eastAsia"/>
        </w:rPr>
        <w:t>るだけになってしまうことが多いが、子ども自身が自発的に関心を持ち、自由に調べ表現できる環境を作ることが重要であろう。</w:t>
      </w:r>
    </w:p>
    <w:p w14:paraId="5230C5C2" w14:textId="5FB9A700" w:rsidR="00702291" w:rsidRDefault="00942F93" w:rsidP="00942F93">
      <w:pPr>
        <w:ind w:firstLineChars="100" w:firstLine="210"/>
      </w:pPr>
      <w:r>
        <w:rPr>
          <w:rFonts w:hint="eastAsia"/>
        </w:rPr>
        <w:t>さらに</w:t>
      </w:r>
      <w:r w:rsidR="00702291">
        <w:t>GIGA</w:t>
      </w:r>
      <w:r w:rsidR="00702291">
        <w:rPr>
          <w:rFonts w:hint="eastAsia"/>
        </w:rPr>
        <w:t>スクール構想によって一人一台端末が配られることが決定し</w:t>
      </w:r>
      <w:r>
        <w:rPr>
          <w:rFonts w:hint="eastAsia"/>
        </w:rPr>
        <w:t>ていることについても議論することができるだろう。一人一台端末を持つこと</w:t>
      </w:r>
      <w:r w:rsidR="00702291">
        <w:rPr>
          <w:rFonts w:hint="eastAsia"/>
        </w:rPr>
        <w:t>自体は良いこと</w:t>
      </w:r>
      <w:r>
        <w:rPr>
          <w:rFonts w:hint="eastAsia"/>
        </w:rPr>
        <w:t>だと捉えられる</w:t>
      </w:r>
      <w:r w:rsidR="00702291">
        <w:rPr>
          <w:rFonts w:hint="eastAsia"/>
        </w:rPr>
        <w:t>が、環境が先に整備され</w:t>
      </w:r>
      <w:r>
        <w:rPr>
          <w:rFonts w:hint="eastAsia"/>
        </w:rPr>
        <w:t>、それ</w:t>
      </w:r>
      <w:r w:rsidR="00702291">
        <w:rPr>
          <w:rFonts w:hint="eastAsia"/>
        </w:rPr>
        <w:t>を用いて何ができるかを後から考えるという学校が多いように思われる。この状況は佐伯の道具の条件の議論を踏まえると、</w:t>
      </w:r>
      <w:r>
        <w:rPr>
          <w:rFonts w:hint="eastAsia"/>
        </w:rPr>
        <w:t>情報機器</w:t>
      </w:r>
      <w:r w:rsidR="00702291">
        <w:rPr>
          <w:rFonts w:hint="eastAsia"/>
        </w:rPr>
        <w:t>端末が道具として使用されるのではなく、</w:t>
      </w:r>
      <w:r>
        <w:rPr>
          <w:rFonts w:hint="eastAsia"/>
        </w:rPr>
        <w:t>端末を使うことが</w:t>
      </w:r>
      <w:r w:rsidR="00702291">
        <w:rPr>
          <w:rFonts w:hint="eastAsia"/>
        </w:rPr>
        <w:t>目的化していると指摘することができるであろう。</w:t>
      </w:r>
      <w:r w:rsidR="00692608">
        <w:rPr>
          <w:rFonts w:hint="eastAsia"/>
        </w:rPr>
        <w:t>以上のような</w:t>
      </w:r>
      <w:r w:rsidR="00702291">
        <w:rPr>
          <w:rFonts w:hint="eastAsia"/>
        </w:rPr>
        <w:t>状況を</w:t>
      </w:r>
      <w:r w:rsidR="00B700DD">
        <w:rPr>
          <w:rFonts w:hint="eastAsia"/>
        </w:rPr>
        <w:t>変革</w:t>
      </w:r>
      <w:r w:rsidR="00702291">
        <w:rPr>
          <w:rFonts w:hint="eastAsia"/>
        </w:rPr>
        <w:t>するためには、</w:t>
      </w:r>
      <w:r w:rsidR="004454B0">
        <w:rPr>
          <w:rFonts w:hint="eastAsia"/>
        </w:rPr>
        <w:t>教師が</w:t>
      </w:r>
      <w:r w:rsidR="00692608">
        <w:rPr>
          <w:rFonts w:hint="eastAsia"/>
        </w:rPr>
        <w:t>目先の</w:t>
      </w:r>
      <w:r w:rsidR="00702291">
        <w:rPr>
          <w:rFonts w:hint="eastAsia"/>
        </w:rPr>
        <w:t>技術</w:t>
      </w:r>
      <w:r w:rsidR="00692608">
        <w:rPr>
          <w:rFonts w:hint="eastAsia"/>
        </w:rPr>
        <w:t>や子どもの「できる」ことを増やすことばかり</w:t>
      </w:r>
      <w:r w:rsidR="00702291">
        <w:rPr>
          <w:rFonts w:hint="eastAsia"/>
        </w:rPr>
        <w:t>にとらわれず、佐伯のように学びとはどうあるべきかを立ち止まって考える必要がある</w:t>
      </w:r>
      <w:r w:rsidR="004454B0">
        <w:rPr>
          <w:rFonts w:hint="eastAsia"/>
        </w:rPr>
        <w:t>のではないかということを提案したい。</w:t>
      </w:r>
    </w:p>
    <w:p w14:paraId="00F08B04" w14:textId="036BBEAA" w:rsidR="00707719" w:rsidRDefault="00707719">
      <w:pPr>
        <w:widowControl/>
        <w:jc w:val="left"/>
      </w:pPr>
      <w:r>
        <w:rPr>
          <w:rFonts w:hint="eastAsia"/>
        </w:rPr>
        <w:t xml:space="preserve">　</w:t>
      </w:r>
      <w:r w:rsidR="0025648F">
        <w:rPr>
          <w:rFonts w:hint="eastAsia"/>
        </w:rPr>
        <w:t>最後に、</w:t>
      </w:r>
      <w:r w:rsidR="00BA7825">
        <w:rPr>
          <w:rFonts w:hint="eastAsia"/>
        </w:rPr>
        <w:t>今後の課題</w:t>
      </w:r>
      <w:r w:rsidR="004E2924">
        <w:rPr>
          <w:rFonts w:hint="eastAsia"/>
        </w:rPr>
        <w:t>である</w:t>
      </w:r>
      <w:r w:rsidR="00BA7825">
        <w:rPr>
          <w:rFonts w:hint="eastAsia"/>
        </w:rPr>
        <w:t>。</w:t>
      </w:r>
      <w:r w:rsidR="0025648F">
        <w:rPr>
          <w:rFonts w:hint="eastAsia"/>
        </w:rPr>
        <w:t>本論文では</w:t>
      </w:r>
      <w:r w:rsidR="004454B0">
        <w:rPr>
          <w:rFonts w:hint="eastAsia"/>
        </w:rPr>
        <w:t>佐伯が教育工学を推進し続けるのではなく、学びとはどうあるべきかという議論に向かわせた要因を明らかにできなかった</w:t>
      </w:r>
      <w:r w:rsidR="0025648F">
        <w:rPr>
          <w:rFonts w:hint="eastAsia"/>
        </w:rPr>
        <w:t>。佐伯の学生時代の師である村井実に関する考察を行うことで、当時管理工学を専攻していた佐伯にどのような教育観を与えたのかを明らかにできた可能性があるため、</w:t>
      </w:r>
      <w:r w:rsidR="00BA7825">
        <w:rPr>
          <w:rFonts w:hint="eastAsia"/>
        </w:rPr>
        <w:t>村井実の思想を追うことが</w:t>
      </w:r>
      <w:r w:rsidR="0025648F">
        <w:rPr>
          <w:rFonts w:hint="eastAsia"/>
        </w:rPr>
        <w:t>今後の課題といえよう。さらに佐伯に多大な影響を与えた認知科学に</w:t>
      </w:r>
      <w:r w:rsidR="00BA7825">
        <w:rPr>
          <w:rFonts w:hint="eastAsia"/>
        </w:rPr>
        <w:t>ついて</w:t>
      </w:r>
      <w:r w:rsidR="0025648F">
        <w:rPr>
          <w:rFonts w:hint="eastAsia"/>
        </w:rPr>
        <w:t>も、</w:t>
      </w:r>
      <w:r w:rsidR="00BA7825">
        <w:rPr>
          <w:rFonts w:hint="eastAsia"/>
        </w:rPr>
        <w:t>認知</w:t>
      </w:r>
      <w:r w:rsidR="00BA7825">
        <w:rPr>
          <w:rFonts w:hint="eastAsia"/>
        </w:rPr>
        <w:lastRenderedPageBreak/>
        <w:t>科学者のコンピュータ教育に関する一般的な考えに関する議論が不十分であったため、その点</w:t>
      </w:r>
      <w:r w:rsidR="00220B1F">
        <w:rPr>
          <w:rFonts w:hint="eastAsia"/>
        </w:rPr>
        <w:t>についても</w:t>
      </w:r>
      <w:r w:rsidR="00BA7825">
        <w:rPr>
          <w:rFonts w:hint="eastAsia"/>
        </w:rPr>
        <w:t>考察を深める必要がある</w:t>
      </w:r>
      <w:r w:rsidR="00220B1F">
        <w:rPr>
          <w:rFonts w:hint="eastAsia"/>
        </w:rPr>
        <w:t>だろう</w:t>
      </w:r>
      <w:r w:rsidR="00BA7825">
        <w:rPr>
          <w:rFonts w:hint="eastAsia"/>
        </w:rPr>
        <w:t>。</w:t>
      </w:r>
    </w:p>
    <w:p w14:paraId="00F8CD5B" w14:textId="198E3E16"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42BDCD0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授業過程における考える⼒の育て⽅―「やり⽅」の教育から「問い直し」の教育へ―</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00C97E9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「わかる」における主観主義―「おぼえる」ことと「わかる」ことの違い―</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7F5CA49E"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「考える」とはどういうことか</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CC6D48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「教師になる」ということ―いま、先⽣に必要なもの・⽋かせないもの―</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1D6B642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3BEF12DA" w14:textId="5DB2FC60" w:rsidR="004965E4" w:rsidRDefault="004965E4" w:rsidP="00EE7A9F">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4965E4">
        <w:rPr>
          <w:rFonts w:asciiTheme="minorEastAsia" w:hAnsiTheme="minorEastAsia" w:cs="`’¡Ã˛"/>
          <w:color w:val="000000" w:themeColor="text1"/>
          <w:kern w:val="0"/>
          <w:szCs w:val="21"/>
        </w:rPr>
        <w:t>ベネッセ教育総合研究所「小中学校の学習指導に関する調査2020」2021年3月12日（https://berd.benesse.jp/shotouchutou/research/detail1.php?id=5558、2021年12月23日情報取得）。</w:t>
      </w:r>
    </w:p>
    <w:p w14:paraId="17339DC4" w14:textId="133B70C1" w:rsidR="00A5130E"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002B8FD2" w14:textId="77777777" w:rsidR="00D91D96" w:rsidRDefault="00D91D9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hint="eastAsia"/>
          <w:color w:val="000000" w:themeColor="text1"/>
          <w:kern w:val="0"/>
          <w:szCs w:val="21"/>
        </w:rPr>
        <w:t>文部科学省「学校における教育の情報化の実態等に関する調査結果」</w:t>
      </w:r>
      <w:r w:rsidRPr="004965E4">
        <w:rPr>
          <w:rFonts w:asciiTheme="minorEastAsia" w:hAnsiTheme="minorEastAsia" w:cs="`’¡Ã˛"/>
          <w:color w:val="000000" w:themeColor="text1"/>
          <w:kern w:val="0"/>
          <w:szCs w:val="21"/>
        </w:rPr>
        <w:t>2020年10月29日（https://www.e-stat.go.jp/、2021年12月23日情報取得）</w:t>
      </w:r>
    </w:p>
    <w:p w14:paraId="6A6159A1" w14:textId="2ED017BE" w:rsidR="004B513C" w:rsidRDefault="004B513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513C">
        <w:rPr>
          <w:rFonts w:asciiTheme="minorEastAsia" w:hAnsiTheme="minorEastAsia" w:cs="`’¡Ã˛" w:hint="eastAsia"/>
          <w:color w:val="000000" w:themeColor="text1"/>
          <w:kern w:val="0"/>
          <w:szCs w:val="21"/>
        </w:rPr>
        <w:t>文部科学省「学習指導要領の趣旨の実現に向けた個別最適な学びと協働的な学びの一体的な充実に関する参考資料」</w:t>
      </w:r>
      <w:r w:rsidRPr="004B513C">
        <w:rPr>
          <w:rFonts w:asciiTheme="minorEastAsia" w:hAnsiTheme="minorEastAsia" w:cs="`’¡Ã˛"/>
          <w:color w:val="000000" w:themeColor="text1"/>
          <w:kern w:val="0"/>
          <w:szCs w:val="21"/>
        </w:rPr>
        <w:t>2021年3月（https://www.mext.go.jp/content/210330-mxt_kyoiku01-000013731_09.pdf、2021年12月23日情報取得）。</w:t>
      </w:r>
    </w:p>
    <w:p w14:paraId="368A31B1" w14:textId="77777777" w:rsidR="00D91D96" w:rsidRPr="00A45C2C" w:rsidRDefault="00D91D96" w:rsidP="00EE7A9F">
      <w:pPr>
        <w:autoSpaceDE w:val="0"/>
        <w:autoSpaceDN w:val="0"/>
        <w:adjustRightInd w:val="0"/>
        <w:ind w:left="210" w:hangingChars="100" w:hanging="210"/>
        <w:jc w:val="left"/>
        <w:rPr>
          <w:rFonts w:asciiTheme="minorEastAsia" w:hAnsiTheme="minorEastAsia" w:cs="`’¡Ã˛" w:hint="eastAsia"/>
          <w:color w:val="000000" w:themeColor="text1"/>
          <w:kern w:val="0"/>
          <w:szCs w:val="21"/>
        </w:rPr>
      </w:pPr>
    </w:p>
    <w:p w14:paraId="6362871A" w14:textId="01D1969B" w:rsidR="0054566A" w:rsidRDefault="00A45C2C" w:rsidP="00D91D96">
      <w:pPr>
        <w:autoSpaceDE w:val="0"/>
        <w:autoSpaceDN w:val="0"/>
        <w:adjustRightInd w:val="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52ACFADC" w:rsid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p w14:paraId="6A182D17" w14:textId="77BF3627" w:rsidR="004965E4" w:rsidRPr="004965E4" w:rsidRDefault="004965E4" w:rsidP="004965E4">
      <w:pPr>
        <w:autoSpaceDE w:val="0"/>
        <w:autoSpaceDN w:val="0"/>
        <w:adjustRightInd w:val="0"/>
        <w:ind w:left="210" w:hangingChars="100" w:hanging="210"/>
        <w:jc w:val="left"/>
        <w:rPr>
          <w:rFonts w:asciiTheme="minorEastAsia" w:hAnsiTheme="minorEastAsia" w:cs="`’¡Ã˛"/>
          <w:color w:val="000000" w:themeColor="text1"/>
          <w:kern w:val="0"/>
          <w:szCs w:val="21"/>
        </w:rPr>
      </w:pPr>
    </w:p>
    <w:p w14:paraId="5120B55E" w14:textId="6C8DF7E1" w:rsidR="004965E4" w:rsidRPr="0054566A" w:rsidRDefault="004965E4" w:rsidP="004965E4">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4965E4">
        <w:rPr>
          <w:rFonts w:asciiTheme="minorEastAsia" w:hAnsiTheme="minorEastAsia" w:cs="`’¡Ã˛"/>
          <w:color w:val="000000" w:themeColor="text1"/>
          <w:kern w:val="0"/>
          <w:szCs w:val="21"/>
        </w:rPr>
        <w:t xml:space="preserve">  </w:t>
      </w:r>
    </w:p>
    <w:sectPr w:rsidR="004965E4"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00C43" w14:textId="77777777" w:rsidR="00BE60A0" w:rsidRDefault="00BE60A0" w:rsidP="00B674F1">
      <w:r>
        <w:separator/>
      </w:r>
    </w:p>
  </w:endnote>
  <w:endnote w:type="continuationSeparator" w:id="0">
    <w:p w14:paraId="3B531040" w14:textId="77777777" w:rsidR="00BE60A0" w:rsidRDefault="00BE60A0"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3C5E" w14:textId="77777777" w:rsidR="00BE60A0" w:rsidRDefault="00BE60A0" w:rsidP="00B674F1">
      <w:r>
        <w:separator/>
      </w:r>
    </w:p>
  </w:footnote>
  <w:footnote w:type="continuationSeparator" w:id="0">
    <w:p w14:paraId="60358115" w14:textId="77777777" w:rsidR="00BE60A0" w:rsidRDefault="00BE60A0"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636BEAF9" w14:textId="1BE293C9" w:rsidR="00C60AFA" w:rsidRPr="006449B8" w:rsidRDefault="00C60AFA" w:rsidP="00C60AFA">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r w:rsidRPr="00C60AFA">
        <w:rPr>
          <w:rFonts w:hint="eastAsia"/>
          <w:color w:val="FF0000"/>
        </w:rPr>
        <w:t>ここ確認</w:t>
      </w:r>
    </w:p>
  </w:footnote>
  <w:footnote w:id="8">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075BDBF3" w:rsidR="00DB76C4" w:rsidRPr="00DB76C4" w:rsidRDefault="00DB76C4">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31</w:t>
      </w:r>
      <w:r w:rsidRPr="00D7321F">
        <w:t>頁。</w:t>
      </w:r>
    </w:p>
  </w:footnote>
  <w:footnote w:id="12">
    <w:p w14:paraId="09F91CBC" w14:textId="42C6FDAA" w:rsidR="006C0C4D" w:rsidRPr="00D7321F" w:rsidRDefault="006C0C4D" w:rsidP="006C0C4D">
      <w:pPr>
        <w:pStyle w:val="a9"/>
      </w:pPr>
      <w:r>
        <w:rPr>
          <w:rStyle w:val="ab"/>
        </w:rPr>
        <w:footnoteRef/>
      </w:r>
      <w:r>
        <w:t xml:space="preserve"> </w:t>
      </w:r>
      <w:r>
        <w:rPr>
          <w:rFonts w:hint="eastAsia"/>
        </w:rPr>
        <w:t>佐伯胖「</w:t>
      </w:r>
      <w:r w:rsidR="00D91D96">
        <w:rPr>
          <w:rFonts w:hint="eastAsia"/>
        </w:rPr>
        <w:t>「わかる」における主観主義―「おぼえる」ことと「わかる」ことの違い―</w:t>
      </w:r>
      <w:r>
        <w:rPr>
          <w:rFonts w:hint="eastAsia"/>
        </w:rPr>
        <w:t>」</w:t>
      </w:r>
      <w:r w:rsidRPr="00D7321F">
        <w:rPr>
          <w:rFonts w:hint="eastAsia"/>
        </w:rPr>
        <w:t>『現代教育科学』第</w:t>
      </w:r>
      <w:r w:rsidRPr="00D7321F">
        <w:t>18巻第12号、明治図書出版、1975年11月、</w:t>
      </w:r>
      <w:r>
        <w:t>37</w:t>
      </w:r>
      <w:r w:rsidRPr="00D7321F">
        <w:t>頁。</w:t>
      </w:r>
    </w:p>
  </w:footnote>
  <w:footnote w:id="13">
    <w:p w14:paraId="0F2A45AD" w14:textId="078B69C3" w:rsidR="00A90D42" w:rsidRPr="00A90D42" w:rsidRDefault="00A90D42">
      <w:pPr>
        <w:pStyle w:val="a9"/>
        <w:rPr>
          <w:rFonts w:hint="eastAsia"/>
        </w:rPr>
      </w:pPr>
      <w:r>
        <w:rPr>
          <w:rStyle w:val="ab"/>
        </w:rPr>
        <w:footnoteRef/>
      </w:r>
      <w:r>
        <w:t xml:space="preserve"> </w:t>
      </w:r>
      <w:r>
        <w:rPr>
          <w:rFonts w:hint="eastAsia"/>
        </w:rPr>
        <w:t>なお</w:t>
      </w:r>
      <w:r w:rsidRPr="00A90D42">
        <w:rPr>
          <w:rFonts w:hint="eastAsia"/>
        </w:rPr>
        <w:t>佐伯</w:t>
      </w:r>
      <w:r>
        <w:rPr>
          <w:rFonts w:hint="eastAsia"/>
        </w:rPr>
        <w:t>は</w:t>
      </w:r>
      <w:r w:rsidRPr="00A90D42">
        <w:t>CAI</w:t>
      </w:r>
      <w:r w:rsidRPr="00A90D42">
        <w:t>システム</w:t>
      </w:r>
      <w:r>
        <w:rPr>
          <w:rFonts w:hint="eastAsia"/>
        </w:rPr>
        <w:t>を肯定していたが</w:t>
      </w:r>
      <w:r w:rsidRPr="00A90D42">
        <w:t>、</w:t>
      </w:r>
      <w:r>
        <w:rPr>
          <w:rFonts w:hint="eastAsia"/>
        </w:rPr>
        <w:t>これは</w:t>
      </w:r>
      <w:r w:rsidRPr="00A90D42">
        <w:t>個別学習を一定程度認める</w:t>
      </w:r>
      <w:r>
        <w:rPr>
          <w:rFonts w:hint="eastAsia"/>
        </w:rPr>
        <w:t>ということである。こ</w:t>
      </w:r>
      <w:r w:rsidR="00EB1F59">
        <w:rPr>
          <w:rFonts w:hint="eastAsia"/>
        </w:rPr>
        <w:t>れ</w:t>
      </w:r>
      <w:r>
        <w:rPr>
          <w:rFonts w:hint="eastAsia"/>
        </w:rPr>
        <w:t>は、</w:t>
      </w:r>
      <w:r w:rsidRPr="00A90D42">
        <w:t>広岡亮蔵の子どもの能力の個人差に応じて学習のテンポを変える必要があるため個別指導を行うべきだという意見</w:t>
      </w:r>
      <w:r>
        <w:rPr>
          <w:rFonts w:hint="eastAsia"/>
        </w:rPr>
        <w:t>を</w:t>
      </w:r>
      <w:r w:rsidRPr="00A90D42">
        <w:t>、</w:t>
      </w:r>
      <w:r>
        <w:rPr>
          <w:rFonts w:hint="eastAsia"/>
        </w:rPr>
        <w:t>佐伯が</w:t>
      </w:r>
      <w:r w:rsidRPr="00A90D42">
        <w:t>概ね</w:t>
      </w:r>
      <w:r w:rsidR="00EB1F59">
        <w:rPr>
          <w:rFonts w:hint="eastAsia"/>
        </w:rPr>
        <w:t>支持</w:t>
      </w:r>
      <w:r>
        <w:rPr>
          <w:rFonts w:hint="eastAsia"/>
        </w:rPr>
        <w:t>していたことから読み取れる。</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36898E9E" w14:textId="439DFD49" w:rsidR="002A6C59" w:rsidRPr="002A6C59" w:rsidRDefault="002A6C59">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36</w:t>
      </w:r>
      <w:r w:rsidRPr="00D7321F">
        <w:t>頁。</w:t>
      </w:r>
    </w:p>
  </w:footnote>
  <w:footnote w:id="16">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7">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8">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9">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0">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1">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2">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3">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4">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5">
    <w:p w14:paraId="3F49BA60" w14:textId="27E1BAB2" w:rsidR="008A3100" w:rsidRPr="008A3100" w:rsidRDefault="008A3100">
      <w:pPr>
        <w:pStyle w:val="a9"/>
        <w:rPr>
          <w:rFonts w:hint="eastAsia"/>
        </w:rPr>
      </w:pPr>
      <w:r>
        <w:rPr>
          <w:rStyle w:val="ab"/>
        </w:rPr>
        <w:footnoteRef/>
      </w:r>
      <w:r>
        <w:t xml:space="preserve"> </w:t>
      </w:r>
      <w:r w:rsidRPr="008A3100">
        <w:rPr>
          <w:rFonts w:hint="eastAsia"/>
        </w:rPr>
        <w:t>佐伯胖「</w:t>
      </w:r>
      <w:r w:rsidR="00D91D96">
        <w:rPr>
          <w:rFonts w:hint="eastAsia"/>
        </w:rPr>
        <w:t>「考える」とはどういうことか</w:t>
      </w:r>
      <w:r w:rsidRPr="008A3100">
        <w:rPr>
          <w:rFonts w:hint="eastAsia"/>
        </w:rPr>
        <w:t>」『児童⼼理』第</w:t>
      </w:r>
      <w:r w:rsidRPr="008A3100">
        <w:t>34巻第11号、</w:t>
      </w:r>
      <w:r w:rsidRPr="008A3100">
        <w:rPr>
          <w:rFonts w:hint="eastAsia"/>
        </w:rPr>
        <w:t>⾦⼦書房、</w:t>
      </w:r>
      <w:r w:rsidRPr="008A3100">
        <w:t>1980年10</w:t>
      </w:r>
      <w:r w:rsidRPr="008A3100">
        <w:rPr>
          <w:rFonts w:hint="eastAsia"/>
        </w:rPr>
        <w:t>⽉、</w:t>
      </w:r>
      <w:r w:rsidRPr="008A3100">
        <w:t>1730-1737</w:t>
      </w:r>
      <w:r w:rsidRPr="008A3100">
        <w:rPr>
          <w:rFonts w:hint="eastAsia"/>
        </w:rPr>
        <w:t>⾴。</w:t>
      </w:r>
    </w:p>
  </w:footnote>
  <w:footnote w:id="26">
    <w:p w14:paraId="34BA4317" w14:textId="0E77B1E1" w:rsidR="006C0C4D" w:rsidRDefault="006C0C4D" w:rsidP="006C0C4D">
      <w:pPr>
        <w:pStyle w:val="a9"/>
      </w:pPr>
      <w:r>
        <w:rPr>
          <w:rStyle w:val="ab"/>
        </w:rPr>
        <w:footnoteRef/>
      </w:r>
      <w:r>
        <w:t xml:space="preserve"> </w:t>
      </w:r>
      <w:r w:rsidRPr="009D434A">
        <w:rPr>
          <w:rFonts w:hint="eastAsia"/>
        </w:rPr>
        <w:t>佐伯胖</w:t>
      </w:r>
      <w:r>
        <w:rPr>
          <w:rFonts w:hint="eastAsia"/>
        </w:rPr>
        <w:t>「</w:t>
      </w:r>
      <w:r w:rsidR="00D91D96">
        <w:rPr>
          <w:rFonts w:hint="eastAsia"/>
        </w:rPr>
        <w:t>「考える」とはどういうことか</w:t>
      </w:r>
      <w:r>
        <w:rPr>
          <w:rFonts w:hint="eastAsia"/>
        </w:rPr>
        <w:t>」</w:t>
      </w:r>
      <w:r w:rsidRPr="009D434A">
        <w:rPr>
          <w:rFonts w:hint="eastAsia"/>
        </w:rPr>
        <w:t>『児童心理』第</w:t>
      </w:r>
      <w:r w:rsidRPr="009D434A">
        <w:t>34巻第11号、金子書房、1980年10月、173</w:t>
      </w:r>
      <w:r>
        <w:t>7</w:t>
      </w:r>
      <w:r w:rsidRPr="009D434A">
        <w:t>頁。</w:t>
      </w:r>
    </w:p>
  </w:footnote>
  <w:footnote w:id="27">
    <w:p w14:paraId="3E1AB5FD" w14:textId="2B211D9F" w:rsidR="00EC11A0" w:rsidRDefault="00EC11A0">
      <w:pPr>
        <w:pStyle w:val="a9"/>
      </w:pPr>
      <w:r>
        <w:rPr>
          <w:rStyle w:val="ab"/>
        </w:rPr>
        <w:footnoteRef/>
      </w:r>
      <w:r>
        <w:t xml:space="preserve"> </w:t>
      </w:r>
      <w:r w:rsidRPr="009D434A">
        <w:rPr>
          <w:rFonts w:hint="eastAsia"/>
        </w:rPr>
        <w:t>佐伯胖</w:t>
      </w:r>
      <w:r w:rsidR="004B1D06">
        <w:rPr>
          <w:rFonts w:hint="eastAsia"/>
        </w:rPr>
        <w:t>「</w:t>
      </w:r>
      <w:r w:rsidR="00D91D96">
        <w:rPr>
          <w:rFonts w:hint="eastAsia"/>
        </w:rPr>
        <w:t>「考える」とはどういうことか</w:t>
      </w:r>
      <w:r w:rsidR="004B1D06">
        <w:rPr>
          <w:rFonts w:hint="eastAsia"/>
        </w:rPr>
        <w:t>」</w:t>
      </w:r>
      <w:r w:rsidRPr="009D434A">
        <w:rPr>
          <w:rFonts w:hint="eastAsia"/>
        </w:rPr>
        <w:t>『児童心理』第</w:t>
      </w:r>
      <w:r w:rsidRPr="009D434A">
        <w:t>34巻第11号、金子書房、1980年10月、173</w:t>
      </w:r>
      <w:r>
        <w:t>5</w:t>
      </w:r>
      <w:r w:rsidRPr="009D434A">
        <w:rPr>
          <w:rFonts w:hint="eastAsia"/>
        </w:rPr>
        <w:t>頁</w:t>
      </w:r>
      <w:r w:rsidRPr="009D434A">
        <w:t>。</w:t>
      </w:r>
    </w:p>
  </w:footnote>
  <w:footnote w:id="28">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9">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30">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31">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2">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4">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5">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6">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7">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8">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9">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40">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41">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2">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3">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4">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 w:id="45">
    <w:p w14:paraId="1A0E8451" w14:textId="4CF2B077" w:rsidR="00DB2E89" w:rsidRPr="00C26615" w:rsidRDefault="00DB2E89" w:rsidP="00DB2E89">
      <w:pPr>
        <w:pStyle w:val="a9"/>
        <w:rPr>
          <w:color w:val="000000" w:themeColor="text1"/>
        </w:rPr>
      </w:pPr>
      <w:r>
        <w:rPr>
          <w:rStyle w:val="ab"/>
        </w:rPr>
        <w:footnoteRef/>
      </w:r>
      <w:r>
        <w:t xml:space="preserve"> </w:t>
      </w:r>
      <w:r w:rsidR="004B513C" w:rsidRPr="00C26615">
        <w:rPr>
          <w:rFonts w:hint="eastAsia"/>
        </w:rPr>
        <w:t>文部科学省「学習指導要領の趣旨の実現に向けた個別最適な学びと協働的な学びの一体的な充実に関する参考資料」</w:t>
      </w:r>
      <w:r w:rsidR="004B513C" w:rsidRPr="00C26615">
        <w:t>2021年3月（https://www.mext.go.jp/content/210330-mxt_kyoiku01-000013731_09.pdf、2021年12月23日情報取得）</w:t>
      </w:r>
      <w:r w:rsidR="004B513C">
        <w:rPr>
          <w:rFonts w:hint="eastAsia"/>
        </w:rPr>
        <w:t>、</w:t>
      </w:r>
      <w:r w:rsidR="00C26615">
        <w:t>1</w:t>
      </w:r>
      <w:r w:rsidR="00C26615">
        <w:rPr>
          <w:rFonts w:hint="eastAsia"/>
        </w:rPr>
        <w:t>頁</w:t>
      </w:r>
      <w:r>
        <w:rPr>
          <w:rFonts w:hint="eastAsia"/>
        </w:rPr>
        <w:t>。</w:t>
      </w:r>
    </w:p>
  </w:footnote>
  <w:footnote w:id="46">
    <w:p w14:paraId="6392C0E1" w14:textId="04E089DE" w:rsidR="00C26615" w:rsidRPr="00C26615" w:rsidRDefault="00C26615">
      <w:pPr>
        <w:pStyle w:val="a9"/>
      </w:pPr>
      <w:r>
        <w:rPr>
          <w:rStyle w:val="ab"/>
        </w:rPr>
        <w:footnoteRef/>
      </w:r>
      <w:r>
        <w:t xml:space="preserve"> </w:t>
      </w:r>
      <w:r w:rsidR="004B513C">
        <w:rPr>
          <w:rFonts w:hint="eastAsia"/>
        </w:rPr>
        <w:t>同上</w:t>
      </w:r>
      <w:r>
        <w:rPr>
          <w:rFonts w:hint="eastAsia"/>
        </w:rPr>
        <w:t>、7</w:t>
      </w:r>
      <w:r>
        <w:t>-8</w:t>
      </w:r>
      <w:r>
        <w:rPr>
          <w:rFonts w:hint="eastAsia"/>
        </w:rPr>
        <w:t>頁</w:t>
      </w:r>
      <w:r w:rsidRPr="00C26615">
        <w:t>。</w:t>
      </w:r>
    </w:p>
  </w:footnote>
  <w:footnote w:id="47">
    <w:p w14:paraId="4D86DDD6" w14:textId="2C6FE5D8" w:rsidR="00D35200" w:rsidRDefault="00D35200">
      <w:pPr>
        <w:pStyle w:val="a9"/>
      </w:pPr>
      <w:r>
        <w:rPr>
          <w:rStyle w:val="ab"/>
        </w:rPr>
        <w:footnoteRef/>
      </w:r>
      <w:r>
        <w:t xml:space="preserve"> </w:t>
      </w:r>
      <w:r w:rsidRPr="00D35200">
        <w:rPr>
          <w:rFonts w:hint="eastAsia"/>
        </w:rPr>
        <w:t>佐伯胖、若林靖永「</w:t>
      </w:r>
      <w:r w:rsidRPr="00D35200">
        <w:t>INTERVIEW 無</w:t>
      </w:r>
      <w:r w:rsidRPr="00D35200">
        <w:rPr>
          <w:rFonts w:hint="eastAsia"/>
        </w:rPr>
        <w:t>⼼に遊べ！―『遊び⼼』を学びに取り戻そう</w:t>
      </w:r>
      <w:r w:rsidRPr="00D35200">
        <w:t xml:space="preserve"> 佐伯胖CIEC 会</w:t>
      </w:r>
      <w:r w:rsidRPr="00D35200">
        <w:rPr>
          <w:rFonts w:hint="eastAsia"/>
        </w:rPr>
        <w:t>⻑に聞く―」『コンピュータ</w:t>
      </w:r>
      <w:r w:rsidRPr="00D35200">
        <w:t>&amp;エデュケーション』第15巻、CIEC、2003年、</w:t>
      </w:r>
      <w:r w:rsidR="007C039E">
        <w:t>4</w:t>
      </w:r>
      <w:r w:rsidRPr="00D35200">
        <w:rPr>
          <w:rFonts w:hint="eastAsia"/>
        </w:rPr>
        <w:t>⾴。</w:t>
      </w:r>
    </w:p>
  </w:footnote>
  <w:footnote w:id="48">
    <w:p w14:paraId="6CE7F754" w14:textId="55754EA1" w:rsidR="009271AC" w:rsidRDefault="009271AC" w:rsidP="009271AC">
      <w:pPr>
        <w:pStyle w:val="a9"/>
        <w:rPr>
          <w:rFonts w:hint="eastAsia"/>
        </w:rPr>
      </w:pPr>
      <w:r>
        <w:rPr>
          <w:rStyle w:val="ab"/>
        </w:rPr>
        <w:footnoteRef/>
      </w:r>
      <w:r>
        <w:t xml:space="preserve"> </w:t>
      </w:r>
      <w:r>
        <w:rPr>
          <w:rFonts w:hint="eastAsia"/>
        </w:rPr>
        <w:t>文部科学省「学校における教育の情報化の実態等に関する調査結果」</w:t>
      </w:r>
      <w:r w:rsidR="00C867DF">
        <w:t>2020</w:t>
      </w:r>
      <w:r w:rsidR="00C867DF">
        <w:rPr>
          <w:rFonts w:hint="eastAsia"/>
        </w:rPr>
        <w:t>年</w:t>
      </w:r>
      <w:r w:rsidR="00C867DF">
        <w:t>10</w:t>
      </w:r>
      <w:r w:rsidR="00C867DF">
        <w:rPr>
          <w:rFonts w:hint="eastAsia"/>
        </w:rPr>
        <w:t>月</w:t>
      </w:r>
      <w:r w:rsidR="00C867DF">
        <w:t>29</w:t>
      </w:r>
      <w:r w:rsidR="00C867DF">
        <w:rPr>
          <w:rFonts w:hint="eastAsia"/>
        </w:rPr>
        <w:t>日</w:t>
      </w:r>
      <w:r>
        <w:rPr>
          <w:rFonts w:hint="eastAsia"/>
        </w:rPr>
        <w:t>（</w:t>
      </w:r>
      <w:r w:rsidR="0002023A" w:rsidRPr="0002023A">
        <w:t>https://www.e-stat.go.jp/、2021年12月23</w:t>
      </w:r>
      <w:r w:rsidR="0002023A">
        <w:rPr>
          <w:rFonts w:hint="eastAsia"/>
        </w:rPr>
        <w:t>日情報取得）</w:t>
      </w:r>
    </w:p>
  </w:footnote>
  <w:footnote w:id="49">
    <w:p w14:paraId="1CEEE547" w14:textId="1CE09D38" w:rsidR="008E7C91" w:rsidRDefault="008E7C91" w:rsidP="008E7C91">
      <w:pPr>
        <w:pStyle w:val="a9"/>
      </w:pPr>
      <w:r>
        <w:rPr>
          <w:rStyle w:val="ab"/>
        </w:rPr>
        <w:footnoteRef/>
      </w:r>
      <w:r>
        <w:t xml:space="preserve"> </w:t>
      </w:r>
      <w:r>
        <w:rPr>
          <w:rFonts w:hint="eastAsia"/>
        </w:rPr>
        <w:t>ベネッセ教育総合研究所</w:t>
      </w:r>
      <w:r w:rsidR="0002023A">
        <w:rPr>
          <w:rFonts w:hint="eastAsia"/>
        </w:rPr>
        <w:t>「</w:t>
      </w:r>
      <w:r>
        <w:rPr>
          <w:rFonts w:hint="eastAsia"/>
        </w:rPr>
        <w:t>小中学校の学習指導に関する調査</w:t>
      </w:r>
      <w:r>
        <w:t>2020</w:t>
      </w:r>
      <w:r w:rsidR="0002023A">
        <w:rPr>
          <w:rFonts w:hint="eastAsia"/>
        </w:rPr>
        <w:t>」</w:t>
      </w:r>
      <w:r w:rsidR="00C867DF">
        <w:t>2021</w:t>
      </w:r>
      <w:r w:rsidR="00C867DF">
        <w:rPr>
          <w:rFonts w:hint="eastAsia"/>
        </w:rPr>
        <w:t>年</w:t>
      </w:r>
      <w:r w:rsidR="00C867DF">
        <w:t>3</w:t>
      </w:r>
      <w:r w:rsidR="00C867DF">
        <w:rPr>
          <w:rFonts w:hint="eastAsia"/>
        </w:rPr>
        <w:t>月</w:t>
      </w:r>
      <w:r w:rsidR="00C867DF">
        <w:t>12</w:t>
      </w:r>
      <w:r w:rsidR="00C867DF">
        <w:rPr>
          <w:rFonts w:hint="eastAsia"/>
        </w:rPr>
        <w:t>日</w:t>
      </w:r>
      <w:r w:rsidR="0002023A">
        <w:rPr>
          <w:rFonts w:hint="eastAsia"/>
        </w:rPr>
        <w:t>（</w:t>
      </w:r>
      <w:r w:rsidR="0002023A" w:rsidRPr="0002023A">
        <w:t>https://berd.benesse.jp/shotouchutou/research/detail1.php?id=5558、2021年12月23日</w:t>
      </w:r>
      <w:r w:rsidR="0002023A">
        <w:rPr>
          <w:rFonts w:hint="eastAsia"/>
        </w:rPr>
        <w:t>情報取得）</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23A"/>
    <w:rsid w:val="0002049B"/>
    <w:rsid w:val="0003188D"/>
    <w:rsid w:val="00036E7A"/>
    <w:rsid w:val="00040B00"/>
    <w:rsid w:val="000436E9"/>
    <w:rsid w:val="000441CB"/>
    <w:rsid w:val="00046EAE"/>
    <w:rsid w:val="000477B7"/>
    <w:rsid w:val="0005247E"/>
    <w:rsid w:val="000526B8"/>
    <w:rsid w:val="00072FB1"/>
    <w:rsid w:val="00076966"/>
    <w:rsid w:val="00080D6D"/>
    <w:rsid w:val="00087193"/>
    <w:rsid w:val="0009524A"/>
    <w:rsid w:val="000967B6"/>
    <w:rsid w:val="000A3D96"/>
    <w:rsid w:val="000B3C55"/>
    <w:rsid w:val="000C0E33"/>
    <w:rsid w:val="000C5AAE"/>
    <w:rsid w:val="000C78B2"/>
    <w:rsid w:val="000D19BD"/>
    <w:rsid w:val="000E5887"/>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A3249"/>
    <w:rsid w:val="001A6ACB"/>
    <w:rsid w:val="001A7810"/>
    <w:rsid w:val="001B130A"/>
    <w:rsid w:val="001C0AE5"/>
    <w:rsid w:val="001C350E"/>
    <w:rsid w:val="001C4445"/>
    <w:rsid w:val="001D0112"/>
    <w:rsid w:val="001D069B"/>
    <w:rsid w:val="001D76BA"/>
    <w:rsid w:val="001E7F5D"/>
    <w:rsid w:val="001F03CD"/>
    <w:rsid w:val="001F5BCB"/>
    <w:rsid w:val="00201D38"/>
    <w:rsid w:val="00210AD1"/>
    <w:rsid w:val="00212439"/>
    <w:rsid w:val="00220B1F"/>
    <w:rsid w:val="00221E7B"/>
    <w:rsid w:val="00226E24"/>
    <w:rsid w:val="002308D8"/>
    <w:rsid w:val="002357ED"/>
    <w:rsid w:val="0023641D"/>
    <w:rsid w:val="00245374"/>
    <w:rsid w:val="00245542"/>
    <w:rsid w:val="0025648F"/>
    <w:rsid w:val="00266F47"/>
    <w:rsid w:val="00272325"/>
    <w:rsid w:val="0027498F"/>
    <w:rsid w:val="002801CF"/>
    <w:rsid w:val="002832BD"/>
    <w:rsid w:val="002A5339"/>
    <w:rsid w:val="002A6C59"/>
    <w:rsid w:val="002B1C45"/>
    <w:rsid w:val="002B50A5"/>
    <w:rsid w:val="002B556F"/>
    <w:rsid w:val="002C2C13"/>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771AF"/>
    <w:rsid w:val="00392130"/>
    <w:rsid w:val="00394C3E"/>
    <w:rsid w:val="00395120"/>
    <w:rsid w:val="003A61BB"/>
    <w:rsid w:val="003A7B64"/>
    <w:rsid w:val="003B54C0"/>
    <w:rsid w:val="003C5D14"/>
    <w:rsid w:val="003D3566"/>
    <w:rsid w:val="003E22F1"/>
    <w:rsid w:val="003E3720"/>
    <w:rsid w:val="003F1DD4"/>
    <w:rsid w:val="00402737"/>
    <w:rsid w:val="004032BD"/>
    <w:rsid w:val="004144B1"/>
    <w:rsid w:val="00420629"/>
    <w:rsid w:val="00423920"/>
    <w:rsid w:val="004245A1"/>
    <w:rsid w:val="00441FDB"/>
    <w:rsid w:val="00444B7E"/>
    <w:rsid w:val="004454B0"/>
    <w:rsid w:val="0045065A"/>
    <w:rsid w:val="00454C47"/>
    <w:rsid w:val="004556AC"/>
    <w:rsid w:val="00481954"/>
    <w:rsid w:val="004965E4"/>
    <w:rsid w:val="00497501"/>
    <w:rsid w:val="004A37CB"/>
    <w:rsid w:val="004B0405"/>
    <w:rsid w:val="004B1D06"/>
    <w:rsid w:val="004B3607"/>
    <w:rsid w:val="004B513C"/>
    <w:rsid w:val="004B690E"/>
    <w:rsid w:val="004C0CEC"/>
    <w:rsid w:val="004C5B13"/>
    <w:rsid w:val="004C6C82"/>
    <w:rsid w:val="004D3880"/>
    <w:rsid w:val="004D56A4"/>
    <w:rsid w:val="004E2924"/>
    <w:rsid w:val="004E3F2D"/>
    <w:rsid w:val="004F5877"/>
    <w:rsid w:val="005157E4"/>
    <w:rsid w:val="005215F3"/>
    <w:rsid w:val="005275E5"/>
    <w:rsid w:val="00533896"/>
    <w:rsid w:val="00536324"/>
    <w:rsid w:val="005368F5"/>
    <w:rsid w:val="0054566A"/>
    <w:rsid w:val="00550BA4"/>
    <w:rsid w:val="00553699"/>
    <w:rsid w:val="00573398"/>
    <w:rsid w:val="005810D1"/>
    <w:rsid w:val="005814E0"/>
    <w:rsid w:val="00583CB9"/>
    <w:rsid w:val="00584B57"/>
    <w:rsid w:val="005861B0"/>
    <w:rsid w:val="005A1363"/>
    <w:rsid w:val="005A27F6"/>
    <w:rsid w:val="005D2145"/>
    <w:rsid w:val="005E2566"/>
    <w:rsid w:val="005E55E3"/>
    <w:rsid w:val="005E5730"/>
    <w:rsid w:val="005F0A5C"/>
    <w:rsid w:val="006309A1"/>
    <w:rsid w:val="00631CE0"/>
    <w:rsid w:val="00636B0B"/>
    <w:rsid w:val="00636E29"/>
    <w:rsid w:val="00637373"/>
    <w:rsid w:val="006449B8"/>
    <w:rsid w:val="00654EBC"/>
    <w:rsid w:val="00654EEF"/>
    <w:rsid w:val="00664A02"/>
    <w:rsid w:val="006808F1"/>
    <w:rsid w:val="00681F4E"/>
    <w:rsid w:val="0069204F"/>
    <w:rsid w:val="00692212"/>
    <w:rsid w:val="00692608"/>
    <w:rsid w:val="006A6101"/>
    <w:rsid w:val="006A69CB"/>
    <w:rsid w:val="006A6F3C"/>
    <w:rsid w:val="006A728E"/>
    <w:rsid w:val="006B1728"/>
    <w:rsid w:val="006B56E7"/>
    <w:rsid w:val="006C0C4D"/>
    <w:rsid w:val="006C5C37"/>
    <w:rsid w:val="006D3648"/>
    <w:rsid w:val="006E1FEA"/>
    <w:rsid w:val="006E4CFE"/>
    <w:rsid w:val="006F4370"/>
    <w:rsid w:val="006F76E9"/>
    <w:rsid w:val="00702291"/>
    <w:rsid w:val="00707719"/>
    <w:rsid w:val="00712DCB"/>
    <w:rsid w:val="007140E5"/>
    <w:rsid w:val="00715469"/>
    <w:rsid w:val="00715E90"/>
    <w:rsid w:val="00726F20"/>
    <w:rsid w:val="00730934"/>
    <w:rsid w:val="00736A4F"/>
    <w:rsid w:val="00761871"/>
    <w:rsid w:val="00763F0C"/>
    <w:rsid w:val="007646D5"/>
    <w:rsid w:val="00772114"/>
    <w:rsid w:val="00772166"/>
    <w:rsid w:val="00776656"/>
    <w:rsid w:val="0078031C"/>
    <w:rsid w:val="00780F2E"/>
    <w:rsid w:val="007A0F60"/>
    <w:rsid w:val="007A7051"/>
    <w:rsid w:val="007C039E"/>
    <w:rsid w:val="007C06E4"/>
    <w:rsid w:val="007C3C1B"/>
    <w:rsid w:val="007C5219"/>
    <w:rsid w:val="007C5CED"/>
    <w:rsid w:val="007C72F0"/>
    <w:rsid w:val="007E3625"/>
    <w:rsid w:val="007E5B66"/>
    <w:rsid w:val="007F2DD8"/>
    <w:rsid w:val="007F66C4"/>
    <w:rsid w:val="007F7494"/>
    <w:rsid w:val="00805345"/>
    <w:rsid w:val="00814EA8"/>
    <w:rsid w:val="00815A21"/>
    <w:rsid w:val="00826D9A"/>
    <w:rsid w:val="00830216"/>
    <w:rsid w:val="0083188B"/>
    <w:rsid w:val="008336A3"/>
    <w:rsid w:val="00836C33"/>
    <w:rsid w:val="00837BE4"/>
    <w:rsid w:val="00843B32"/>
    <w:rsid w:val="00851C6F"/>
    <w:rsid w:val="008524B9"/>
    <w:rsid w:val="0085658C"/>
    <w:rsid w:val="00862DD4"/>
    <w:rsid w:val="008663D1"/>
    <w:rsid w:val="00884572"/>
    <w:rsid w:val="00887B8C"/>
    <w:rsid w:val="008955FC"/>
    <w:rsid w:val="008A3100"/>
    <w:rsid w:val="008A7C90"/>
    <w:rsid w:val="008B4670"/>
    <w:rsid w:val="008B6DFC"/>
    <w:rsid w:val="008B766D"/>
    <w:rsid w:val="008C21F9"/>
    <w:rsid w:val="008C46EE"/>
    <w:rsid w:val="008D1D9B"/>
    <w:rsid w:val="008D7403"/>
    <w:rsid w:val="008E7C91"/>
    <w:rsid w:val="008F4BED"/>
    <w:rsid w:val="00905AF5"/>
    <w:rsid w:val="00915358"/>
    <w:rsid w:val="009271AC"/>
    <w:rsid w:val="00927F6C"/>
    <w:rsid w:val="0094054D"/>
    <w:rsid w:val="0094160A"/>
    <w:rsid w:val="00942F93"/>
    <w:rsid w:val="009455F8"/>
    <w:rsid w:val="00960E50"/>
    <w:rsid w:val="00970373"/>
    <w:rsid w:val="00971BD5"/>
    <w:rsid w:val="00976324"/>
    <w:rsid w:val="00981869"/>
    <w:rsid w:val="0098639B"/>
    <w:rsid w:val="009907CA"/>
    <w:rsid w:val="0099441E"/>
    <w:rsid w:val="009A0F5F"/>
    <w:rsid w:val="009B492D"/>
    <w:rsid w:val="009B632F"/>
    <w:rsid w:val="009C6280"/>
    <w:rsid w:val="009D156E"/>
    <w:rsid w:val="009D434A"/>
    <w:rsid w:val="009D75D9"/>
    <w:rsid w:val="009E02B3"/>
    <w:rsid w:val="009E25EF"/>
    <w:rsid w:val="009E52BC"/>
    <w:rsid w:val="009F4203"/>
    <w:rsid w:val="009F57F8"/>
    <w:rsid w:val="00A01B45"/>
    <w:rsid w:val="00A05B53"/>
    <w:rsid w:val="00A1715C"/>
    <w:rsid w:val="00A2443E"/>
    <w:rsid w:val="00A25845"/>
    <w:rsid w:val="00A265BF"/>
    <w:rsid w:val="00A31368"/>
    <w:rsid w:val="00A33088"/>
    <w:rsid w:val="00A434FE"/>
    <w:rsid w:val="00A45C2C"/>
    <w:rsid w:val="00A5130E"/>
    <w:rsid w:val="00A564ED"/>
    <w:rsid w:val="00A60DF6"/>
    <w:rsid w:val="00A60F1B"/>
    <w:rsid w:val="00A663D5"/>
    <w:rsid w:val="00A71A4E"/>
    <w:rsid w:val="00A76AB8"/>
    <w:rsid w:val="00A81CFC"/>
    <w:rsid w:val="00A87D8E"/>
    <w:rsid w:val="00A87EE3"/>
    <w:rsid w:val="00A90D42"/>
    <w:rsid w:val="00AA29C7"/>
    <w:rsid w:val="00AA4981"/>
    <w:rsid w:val="00AA6779"/>
    <w:rsid w:val="00AB0CD3"/>
    <w:rsid w:val="00AB2D80"/>
    <w:rsid w:val="00AC140E"/>
    <w:rsid w:val="00AC2475"/>
    <w:rsid w:val="00AD297A"/>
    <w:rsid w:val="00AD2B4F"/>
    <w:rsid w:val="00AD3D1E"/>
    <w:rsid w:val="00AE176F"/>
    <w:rsid w:val="00AE59F2"/>
    <w:rsid w:val="00AE68FD"/>
    <w:rsid w:val="00AF020F"/>
    <w:rsid w:val="00B06CA1"/>
    <w:rsid w:val="00B12A5C"/>
    <w:rsid w:val="00B23F99"/>
    <w:rsid w:val="00B23FD3"/>
    <w:rsid w:val="00B30050"/>
    <w:rsid w:val="00B40932"/>
    <w:rsid w:val="00B674F1"/>
    <w:rsid w:val="00B67A14"/>
    <w:rsid w:val="00B700DD"/>
    <w:rsid w:val="00B75B4A"/>
    <w:rsid w:val="00B91262"/>
    <w:rsid w:val="00B925BB"/>
    <w:rsid w:val="00B93EF4"/>
    <w:rsid w:val="00BA18BB"/>
    <w:rsid w:val="00BA27CC"/>
    <w:rsid w:val="00BA3DE1"/>
    <w:rsid w:val="00BA7139"/>
    <w:rsid w:val="00BA7825"/>
    <w:rsid w:val="00BB107E"/>
    <w:rsid w:val="00BB6251"/>
    <w:rsid w:val="00BC2F7A"/>
    <w:rsid w:val="00BC4DD7"/>
    <w:rsid w:val="00BD0805"/>
    <w:rsid w:val="00BD3D72"/>
    <w:rsid w:val="00BD43B6"/>
    <w:rsid w:val="00BD67B1"/>
    <w:rsid w:val="00BE60A0"/>
    <w:rsid w:val="00BE6BF9"/>
    <w:rsid w:val="00BE7CAB"/>
    <w:rsid w:val="00C00F14"/>
    <w:rsid w:val="00C03683"/>
    <w:rsid w:val="00C26615"/>
    <w:rsid w:val="00C26C91"/>
    <w:rsid w:val="00C27404"/>
    <w:rsid w:val="00C30F10"/>
    <w:rsid w:val="00C31005"/>
    <w:rsid w:val="00C430A3"/>
    <w:rsid w:val="00C443F1"/>
    <w:rsid w:val="00C463C5"/>
    <w:rsid w:val="00C50C61"/>
    <w:rsid w:val="00C60AFA"/>
    <w:rsid w:val="00C75AF7"/>
    <w:rsid w:val="00C84303"/>
    <w:rsid w:val="00C867DF"/>
    <w:rsid w:val="00C87DC1"/>
    <w:rsid w:val="00CA29B3"/>
    <w:rsid w:val="00CA3716"/>
    <w:rsid w:val="00CA6294"/>
    <w:rsid w:val="00CB7637"/>
    <w:rsid w:val="00CC5266"/>
    <w:rsid w:val="00CD2548"/>
    <w:rsid w:val="00CE2E4B"/>
    <w:rsid w:val="00CE5FF2"/>
    <w:rsid w:val="00CE718B"/>
    <w:rsid w:val="00CE7CDD"/>
    <w:rsid w:val="00D04226"/>
    <w:rsid w:val="00D07139"/>
    <w:rsid w:val="00D07815"/>
    <w:rsid w:val="00D1078B"/>
    <w:rsid w:val="00D1220E"/>
    <w:rsid w:val="00D222F5"/>
    <w:rsid w:val="00D35200"/>
    <w:rsid w:val="00D37A68"/>
    <w:rsid w:val="00D44CA5"/>
    <w:rsid w:val="00D541BA"/>
    <w:rsid w:val="00D5797A"/>
    <w:rsid w:val="00D7249F"/>
    <w:rsid w:val="00D7321F"/>
    <w:rsid w:val="00D74307"/>
    <w:rsid w:val="00D75166"/>
    <w:rsid w:val="00D75DEB"/>
    <w:rsid w:val="00D8148E"/>
    <w:rsid w:val="00D91D96"/>
    <w:rsid w:val="00D94CCE"/>
    <w:rsid w:val="00D96DE7"/>
    <w:rsid w:val="00DA435D"/>
    <w:rsid w:val="00DB0119"/>
    <w:rsid w:val="00DB2505"/>
    <w:rsid w:val="00DB2E89"/>
    <w:rsid w:val="00DB76C4"/>
    <w:rsid w:val="00DC7ECD"/>
    <w:rsid w:val="00DD21BA"/>
    <w:rsid w:val="00DD68BB"/>
    <w:rsid w:val="00DE14B8"/>
    <w:rsid w:val="00DE70E3"/>
    <w:rsid w:val="00E010FD"/>
    <w:rsid w:val="00E04121"/>
    <w:rsid w:val="00E048C5"/>
    <w:rsid w:val="00E05236"/>
    <w:rsid w:val="00E1467F"/>
    <w:rsid w:val="00E22D3F"/>
    <w:rsid w:val="00E236C5"/>
    <w:rsid w:val="00E30C69"/>
    <w:rsid w:val="00E32AB0"/>
    <w:rsid w:val="00E33547"/>
    <w:rsid w:val="00E348E5"/>
    <w:rsid w:val="00E414F7"/>
    <w:rsid w:val="00E44A57"/>
    <w:rsid w:val="00E50F5C"/>
    <w:rsid w:val="00E55EFB"/>
    <w:rsid w:val="00E560CB"/>
    <w:rsid w:val="00E631C8"/>
    <w:rsid w:val="00E674D1"/>
    <w:rsid w:val="00E735D1"/>
    <w:rsid w:val="00E75CAA"/>
    <w:rsid w:val="00E877BB"/>
    <w:rsid w:val="00E93687"/>
    <w:rsid w:val="00EB1F59"/>
    <w:rsid w:val="00EB5CC8"/>
    <w:rsid w:val="00EB632A"/>
    <w:rsid w:val="00EC11A0"/>
    <w:rsid w:val="00EC526D"/>
    <w:rsid w:val="00ED0665"/>
    <w:rsid w:val="00ED1034"/>
    <w:rsid w:val="00ED59DD"/>
    <w:rsid w:val="00EE24EA"/>
    <w:rsid w:val="00EE2C9A"/>
    <w:rsid w:val="00EE6F4A"/>
    <w:rsid w:val="00EE7A9F"/>
    <w:rsid w:val="00EE7F22"/>
    <w:rsid w:val="00EF0D55"/>
    <w:rsid w:val="00EF663F"/>
    <w:rsid w:val="00F05ED8"/>
    <w:rsid w:val="00F12295"/>
    <w:rsid w:val="00F13417"/>
    <w:rsid w:val="00F20237"/>
    <w:rsid w:val="00F2277C"/>
    <w:rsid w:val="00F25C3C"/>
    <w:rsid w:val="00F32406"/>
    <w:rsid w:val="00F34D2D"/>
    <w:rsid w:val="00F4297A"/>
    <w:rsid w:val="00F52DAF"/>
    <w:rsid w:val="00F562C4"/>
    <w:rsid w:val="00F602E2"/>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 w:type="character" w:styleId="af2">
    <w:name w:val="Unresolved Mention"/>
    <w:basedOn w:val="a0"/>
    <w:uiPriority w:val="99"/>
    <w:semiHidden/>
    <w:unhideWhenUsed/>
    <w:rsid w:val="00DB2E89"/>
    <w:rPr>
      <w:color w:val="605E5C"/>
      <w:shd w:val="clear" w:color="auto" w:fill="E1DFDD"/>
    </w:rPr>
  </w:style>
  <w:style w:type="character" w:styleId="af3">
    <w:name w:val="FollowedHyperlink"/>
    <w:basedOn w:val="a0"/>
    <w:uiPriority w:val="99"/>
    <w:semiHidden/>
    <w:unhideWhenUsed/>
    <w:rsid w:val="00DB2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37</Pages>
  <Words>4671</Words>
  <Characters>26626</Characters>
  <Application>Microsoft Office Word</Application>
  <DocSecurity>0</DocSecurity>
  <Lines>221</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5</cp:revision>
  <cp:lastPrinted>2021-12-27T02:28:00Z</cp:lastPrinted>
  <dcterms:created xsi:type="dcterms:W3CDTF">2021-12-27T02:28:00Z</dcterms:created>
  <dcterms:modified xsi:type="dcterms:W3CDTF">2021-12-27T07:56:00Z</dcterms:modified>
</cp:coreProperties>
</file>