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601A90FB" w:rsidR="00C443F1" w:rsidRDefault="00C443F1" w:rsidP="00CC5266">
      <w:pPr>
        <w:widowControl/>
        <w:rPr>
          <w:rFonts w:hint="eastAsia"/>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…４頁</w:t>
      </w:r>
    </w:p>
    <w:p w14:paraId="758CEE35" w14:textId="4B35A38D" w:rsidR="00CC5266" w:rsidRDefault="00CC5266" w:rsidP="00CC5266">
      <w:pPr>
        <w:widowControl/>
        <w:rPr>
          <w:rFonts w:hint="eastAsia"/>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…６頁</w:t>
      </w:r>
    </w:p>
    <w:p w14:paraId="1CA6E8B7" w14:textId="77777777" w:rsidR="00CC5266" w:rsidRDefault="00CC5266" w:rsidP="00CC5266">
      <w:pPr>
        <w:widowControl/>
        <w:rPr>
          <w:szCs w:val="21"/>
        </w:rPr>
      </w:pPr>
    </w:p>
    <w:p w14:paraId="1C698CE0" w14:textId="12342CD1" w:rsidR="00CC5266" w:rsidRDefault="00CC5266" w:rsidP="00CC5266">
      <w:pPr>
        <w:widowControl/>
        <w:rPr>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p>
    <w:p w14:paraId="427E5C74" w14:textId="024E964A" w:rsidR="00CC5266" w:rsidRDefault="00CC5266" w:rsidP="00CC5266">
      <w:pPr>
        <w:widowControl/>
        <w:rPr>
          <w:szCs w:val="21"/>
        </w:rPr>
      </w:pPr>
      <w:r>
        <w:rPr>
          <w:rFonts w:hint="eastAsia"/>
          <w:szCs w:val="21"/>
        </w:rPr>
        <w:t xml:space="preserve">　第１節</w:t>
      </w:r>
      <w:r w:rsidR="0017300C">
        <w:rPr>
          <w:rFonts w:hint="eastAsia"/>
          <w:szCs w:val="21"/>
        </w:rPr>
        <w:t xml:space="preserve">　認知科学をもとにした「わかる」</w:t>
      </w:r>
    </w:p>
    <w:p w14:paraId="042D5C74" w14:textId="2E0CB3A3" w:rsidR="00CC5266" w:rsidRDefault="00CC5266" w:rsidP="00CC5266">
      <w:pPr>
        <w:widowControl/>
        <w:rPr>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批判</w:t>
      </w:r>
    </w:p>
    <w:p w14:paraId="21C4DD0C" w14:textId="77777777" w:rsidR="00CC5266" w:rsidRDefault="00CC5266" w:rsidP="00CC5266">
      <w:pPr>
        <w:widowControl/>
        <w:rPr>
          <w:szCs w:val="21"/>
        </w:rPr>
      </w:pPr>
    </w:p>
    <w:p w14:paraId="1E68D21A" w14:textId="4D9A522C"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83-92</w:t>
      </w:r>
      <w:r w:rsidR="00D96DE7">
        <w:rPr>
          <w:szCs w:val="21"/>
        </w:rPr>
        <w:t>~</w:t>
      </w:r>
      <w:r w:rsidR="00A81CFC">
        <w:rPr>
          <w:rFonts w:hint="eastAsia"/>
          <w:szCs w:val="21"/>
        </w:rPr>
        <w:t>）</w:t>
      </w:r>
    </w:p>
    <w:p w14:paraId="55335DD5" w14:textId="0019B967" w:rsidR="00CC5266" w:rsidRDefault="00CC5266" w:rsidP="00CC5266">
      <w:pPr>
        <w:widowControl/>
        <w:rPr>
          <w:szCs w:val="21"/>
        </w:rPr>
      </w:pPr>
      <w:r>
        <w:rPr>
          <w:rFonts w:hint="eastAsia"/>
          <w:szCs w:val="21"/>
        </w:rPr>
        <w:t xml:space="preserve">　第１節</w:t>
      </w:r>
      <w:r w:rsidR="0017300C">
        <w:rPr>
          <w:rFonts w:hint="eastAsia"/>
          <w:szCs w:val="21"/>
        </w:rPr>
        <w:t xml:space="preserve">　文化的実践への参加としての学び</w:t>
      </w:r>
    </w:p>
    <w:p w14:paraId="3F5A36F3" w14:textId="1B266AA2" w:rsidR="00CC5266" w:rsidRDefault="00CC5266" w:rsidP="00CC5266">
      <w:pPr>
        <w:widowControl/>
        <w:ind w:firstLineChars="100" w:firstLine="210"/>
        <w:rPr>
          <w:szCs w:val="21"/>
        </w:rPr>
      </w:pPr>
      <w:r>
        <w:rPr>
          <w:rFonts w:hint="eastAsia"/>
          <w:szCs w:val="21"/>
        </w:rPr>
        <w:t>第２節</w:t>
      </w:r>
      <w:r w:rsidR="0017300C">
        <w:rPr>
          <w:rFonts w:hint="eastAsia"/>
          <w:szCs w:val="21"/>
        </w:rPr>
        <w:t xml:space="preserve">　教育におけるコンピュータ使用のあり方を模索</w:t>
      </w:r>
    </w:p>
    <w:p w14:paraId="538D8E05" w14:textId="19B5F09A" w:rsidR="00CC5266" w:rsidRDefault="00CC5266" w:rsidP="00CC5266">
      <w:pPr>
        <w:widowControl/>
        <w:ind w:firstLineChars="100" w:firstLine="210"/>
        <w:rPr>
          <w:szCs w:val="21"/>
        </w:rPr>
      </w:pPr>
      <w:r>
        <w:rPr>
          <w:rFonts w:hint="eastAsia"/>
          <w:szCs w:val="21"/>
        </w:rPr>
        <w:t>第３節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6741D632" w:rsidR="00CC5266" w:rsidRPr="001C4445" w:rsidRDefault="00A81CFC" w:rsidP="00CC5266">
      <w:pPr>
        <w:widowControl/>
        <w:rPr>
          <w:szCs w:val="21"/>
        </w:rPr>
      </w:pPr>
      <w:r>
        <w:rPr>
          <w:rFonts w:hint="eastAsia"/>
          <w:szCs w:val="21"/>
        </w:rPr>
        <w:t>終章</w:t>
      </w:r>
    </w:p>
    <w:p w14:paraId="2E935EFE" w14:textId="55172203" w:rsidR="00B674F1" w:rsidRPr="007A7051" w:rsidRDefault="00B674F1">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3E2D90BD"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意⾒の変遷を考察し、佐伯が批判やコンピュータ教育の負の側⾯を指摘するに⾄った原因は何か明らかにするとともに、現在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lastRenderedPageBreak/>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反省的に</w:t>
      </w:r>
      <w:r>
        <w:rPr>
          <w:rFonts w:hint="eastAsia"/>
          <w:szCs w:val="21"/>
        </w:rPr>
        <w:t>教育工学の歴史を捉え直したい。</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7FFBF951" w14:textId="77777777"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203DE21B"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p>
    <w:p w14:paraId="1CA1F29F" w14:textId="38F350E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を受け、佐伯胖が学ぶとはどういうことだと捉えていたのか、また教育においてコンピュータがどのような役割を担うべきだと考えていたのかに関する変遷を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w:t>
      </w:r>
      <w:r w:rsidR="00A81CFC" w:rsidRPr="00A81CFC">
        <w:rPr>
          <w:rFonts w:asciiTheme="minorEastAsia" w:hAnsiTheme="minorEastAsia" w:cs="`’¡Ã˛"/>
          <w:color w:val="000000" w:themeColor="text1"/>
          <w:kern w:val="0"/>
          <w:szCs w:val="21"/>
        </w:rPr>
        <w:lastRenderedPageBreak/>
        <w:t>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6CFF8C61" w:rsidR="00C443F1" w:rsidRDefault="00C443F1" w:rsidP="00C443F1">
      <w:pPr>
        <w:rPr>
          <w:rFonts w:ascii="ヒラギノ角ゴシック W4" w:eastAsia="ヒラギノ角ゴシック W4" w:hAnsi="ヒラギノ角ゴシック W4"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第１節　コンピュータ教育の実態</w:t>
      </w:r>
    </w:p>
    <w:p w14:paraId="22B967FE" w14:textId="5C27BAB1"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年において、教育においてどのようにコンピュータが捉えられ使用されていたのかについて見ていきたい。</w:t>
      </w:r>
    </w:p>
    <w:p w14:paraId="1FE0C718" w14:textId="79E7F370" w:rsidR="00116860" w:rsidRDefault="00116860" w:rsidP="009E02B3">
      <w:r>
        <w:rPr>
          <w:rFonts w:hint="eastAsia"/>
        </w:rPr>
        <w:t xml:space="preserve">　1</w:t>
      </w:r>
      <w:r>
        <w:t>971</w:t>
      </w:r>
      <w:r>
        <w:rPr>
          <w:rFonts w:hint="eastAsia"/>
        </w:rPr>
        <w:t>年に</w:t>
      </w:r>
      <w:r w:rsidR="005861B0">
        <w:rPr>
          <w:rFonts w:hint="eastAsia"/>
        </w:rPr>
        <w:t>教育工学関連の単行本が複数出版され、日本教育工学協会も設立されており、文部省からも</w:t>
      </w:r>
      <w:r w:rsidR="009E02B3">
        <w:rPr>
          <w:rFonts w:hint="eastAsia"/>
        </w:rPr>
        <w:t>教育工学研究に対して助成が行われるようになっていった。</w:t>
      </w:r>
      <w:r w:rsidR="005861B0">
        <w:rPr>
          <w:rFonts w:hint="eastAsia"/>
        </w:rPr>
        <w:t>その頃の教育工学界においては、教育におけるシステム的研究の立場に立ち、マルチメディアやティーチング・マシン、</w:t>
      </w:r>
      <w:r w:rsidR="005861B0">
        <w:t>CAI</w:t>
      </w:r>
      <w:r w:rsidR="005861B0">
        <w:rPr>
          <w:rFonts w:hint="eastAsia"/>
        </w:rPr>
        <w:t>（</w:t>
      </w:r>
      <w:r w:rsidR="005861B0">
        <w:t>Computer Assisted Instruction</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はあらかじめ問題と答えが用意されたシステムにおいて、生徒の回答から適切な指示を出し、理解度に合わせた問題を選択できるものであり、個別学習を可能にするものである。</w:t>
      </w:r>
      <w:r w:rsidR="000967B6">
        <w:rPr>
          <w:rFonts w:hint="eastAsia"/>
        </w:rPr>
        <w:t>教育現場においては、</w:t>
      </w:r>
      <w:r w:rsidR="00726F20">
        <w:rPr>
          <w:rFonts w:hint="eastAsia"/>
        </w:rPr>
        <w:t>情報機器を用いた教育といえば視聴覚機器を用いた映像による授業であったが、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3"/>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9E02B3">
        <w:rPr>
          <w:rFonts w:hint="eastAsia"/>
        </w:rPr>
        <w:t>。</w:t>
      </w:r>
    </w:p>
    <w:p w14:paraId="1DB734CF" w14:textId="09867A64" w:rsidR="00C443F1" w:rsidRPr="00C443F1" w:rsidRDefault="00862DD4" w:rsidP="00C443F1">
      <w:r>
        <w:rPr>
          <w:rFonts w:hint="eastAsia"/>
        </w:rPr>
        <w:t xml:space="preserve">　</w:t>
      </w:r>
    </w:p>
    <w:p w14:paraId="220C264E" w14:textId="52242A2F"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r w:rsidR="009D75D9">
        <w:rPr>
          <w:rFonts w:ascii="ヒラギノ角ゴシック W4" w:eastAsia="ヒラギノ角ゴシック W4" w:hAnsi="ヒラギノ角ゴシック W4" w:cs="ＭＳ 明朝" w:hint="eastAsia"/>
        </w:rPr>
        <w:t xml:space="preserve">　</w:t>
      </w:r>
      <w:r w:rsidR="009D75D9" w:rsidRPr="007646D5">
        <w:rPr>
          <w:rFonts w:hint="eastAsia"/>
          <w:color w:val="FF0000"/>
        </w:rPr>
        <w:t>一貫性・実在感の重要視、</w:t>
      </w:r>
      <w:r w:rsidR="009D75D9">
        <w:rPr>
          <w:rFonts w:ascii="ＭＳ 明朝" w:eastAsia="ＭＳ 明朝" w:hAnsi="ＭＳ 明朝" w:cs="ＭＳ 明朝" w:hint="eastAsia"/>
          <w:color w:val="FF0000"/>
        </w:rPr>
        <w:t>「</w:t>
      </w:r>
      <w:r w:rsidR="009D75D9" w:rsidRPr="007646D5">
        <w:rPr>
          <w:rFonts w:hint="eastAsia"/>
          <w:color w:val="FF0000"/>
        </w:rPr>
        <w:t>おぼえる</w:t>
      </w:r>
      <w:r w:rsidR="009D75D9">
        <w:rPr>
          <w:rFonts w:ascii="ＭＳ 明朝" w:eastAsia="ＭＳ 明朝" w:hAnsi="ＭＳ 明朝" w:cs="ＭＳ 明朝" w:hint="eastAsia"/>
          <w:color w:val="FF0000"/>
        </w:rPr>
        <w:t>」</w:t>
      </w:r>
      <w:r w:rsidR="009D75D9" w:rsidRPr="007646D5">
        <w:rPr>
          <w:rFonts w:hint="eastAsia"/>
          <w:color w:val="FF0000"/>
        </w:rPr>
        <w:t>と</w:t>
      </w:r>
      <w:r w:rsidR="009D75D9">
        <w:rPr>
          <w:rFonts w:ascii="ＭＳ 明朝" w:eastAsia="ＭＳ 明朝" w:hAnsi="ＭＳ 明朝" w:cs="ＭＳ 明朝" w:hint="eastAsia"/>
          <w:color w:val="FF0000"/>
        </w:rPr>
        <w:t>「</w:t>
      </w:r>
      <w:r w:rsidR="009D75D9" w:rsidRPr="007646D5">
        <w:rPr>
          <w:rFonts w:hint="eastAsia"/>
          <w:color w:val="FF0000"/>
        </w:rPr>
        <w:t>わかる</w:t>
      </w:r>
      <w:r w:rsidR="009D75D9">
        <w:rPr>
          <w:rFonts w:ascii="ＭＳ 明朝" w:eastAsia="ＭＳ 明朝" w:hAnsi="ＭＳ 明朝" w:cs="ＭＳ 明朝" w:hint="eastAsia"/>
          <w:color w:val="FF0000"/>
        </w:rPr>
        <w:t>」</w:t>
      </w:r>
      <w:r w:rsidR="009D75D9" w:rsidRPr="007646D5">
        <w:rPr>
          <w:rFonts w:hint="eastAsia"/>
          <w:color w:val="FF0000"/>
        </w:rPr>
        <w:t>の対比→おぼえる段階</w:t>
      </w:r>
      <w:r w:rsidR="009D75D9">
        <w:rPr>
          <w:rFonts w:hint="eastAsia"/>
          <w:color w:val="FF0000"/>
        </w:rPr>
        <w:t>の必要性</w:t>
      </w:r>
      <w:r w:rsidR="009D75D9">
        <w:rPr>
          <w:rFonts w:ascii="ＭＳ 明朝" w:eastAsia="ＭＳ 明朝" w:hAnsi="ＭＳ 明朝" w:cs="ＭＳ 明朝" w:hint="eastAsia"/>
          <w:color w:val="FF0000"/>
        </w:rPr>
        <w:t>も肯定</w:t>
      </w:r>
    </w:p>
    <w:p w14:paraId="08870356" w14:textId="3D9D15FD" w:rsidR="00FE0BAA" w:rsidRDefault="00FE0BAA" w:rsidP="00FE0BAA">
      <w:r>
        <w:rPr>
          <w:rFonts w:hint="eastAsia"/>
        </w:rPr>
        <w:t xml:space="preserve">　本節では、認知心理学を学び始めた佐伯が、どのような学び観を形成していったのかを見ていきたい。</w:t>
      </w:r>
    </w:p>
    <w:p w14:paraId="2237F0D6" w14:textId="7481A3BE"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教育に関して雑誌に寄稿して以来、知識の一貫性や</w:t>
      </w:r>
      <w:r w:rsidR="00B91262">
        <w:rPr>
          <w:rFonts w:hint="eastAsia"/>
        </w:rPr>
        <w:t>真理</w:t>
      </w:r>
      <w:r w:rsidR="00CA3716">
        <w:rPr>
          <w:rFonts w:hint="eastAsia"/>
        </w:rPr>
        <w:t>の実在感を重要視してい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w:t>
      </w:r>
      <w:r>
        <w:rPr>
          <w:rFonts w:hint="eastAsia"/>
        </w:rPr>
        <w:lastRenderedPageBreak/>
        <w:t>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4"/>
      </w:r>
    </w:p>
    <w:p w14:paraId="3ACED30C" w14:textId="63B6A648" w:rsidR="008B4670" w:rsidRDefault="008B4670" w:rsidP="00A25845"/>
    <w:p w14:paraId="7115F73D" w14:textId="7992393A" w:rsidR="00A25845" w:rsidRDefault="00157C66" w:rsidP="00A25845">
      <w:r>
        <w:rPr>
          <w:rFonts w:hint="eastAsia"/>
        </w:rPr>
        <w:t>また、</w:t>
      </w:r>
      <w:r w:rsidR="000C5AAE">
        <w:rPr>
          <w:rFonts w:hint="eastAsia"/>
        </w:rPr>
        <w:t>真理の実在感の重要性については</w:t>
      </w:r>
      <w:r>
        <w:rPr>
          <w:rFonts w:hint="eastAsia"/>
        </w:rPr>
        <w:t>、真理はそれを信じる人の心の中にあると日本人が考えがちな状況を批判し、真理とは「主観を離れて、そこにあるものとしての真実性」</w:t>
      </w:r>
      <w:r>
        <w:rPr>
          <w:rStyle w:val="ab"/>
        </w:rPr>
        <w:footnoteReference w:id="5"/>
      </w:r>
      <w:r>
        <w:rPr>
          <w:rFonts w:hint="eastAsia"/>
        </w:rPr>
        <w:t>が必要であるとしている。</w:t>
      </w:r>
    </w:p>
    <w:p w14:paraId="202EBF0E" w14:textId="455CDF5F" w:rsidR="00DD68BB" w:rsidRDefault="00036E7A" w:rsidP="00FE0BAA">
      <w:r>
        <w:rPr>
          <w:rFonts w:hint="eastAsia"/>
        </w:rPr>
        <w:t xml:space="preserve"> </w:t>
      </w:r>
      <w:r>
        <w:t xml:space="preserve"> </w:t>
      </w:r>
      <w:r>
        <w:rPr>
          <w:rFonts w:hint="eastAsia"/>
        </w:rPr>
        <w:t>さらに、佐伯はこのころ「おぼえる」と「わかる」を対比させて、「わかる」とはということを説明している。佐伯の</w:t>
      </w:r>
      <w:r w:rsidR="00176C35">
        <w:rPr>
          <w:rFonts w:hint="eastAsia"/>
        </w:rPr>
        <w:t>主著である『学びの構造』において、</w:t>
      </w:r>
      <w:r>
        <w:rPr>
          <w:rFonts w:hint="eastAsia"/>
        </w:rPr>
        <w:t>心理学をもとにそのことについて述べている。この本ではまず</w:t>
      </w:r>
      <w:r w:rsidR="00CA3716">
        <w:rPr>
          <w:rFonts w:hint="eastAsia"/>
        </w:rPr>
        <w:t>、前提として心理学において</w:t>
      </w:r>
      <w:r w:rsidR="00E631C8">
        <w:rPr>
          <w:rFonts w:hint="eastAsia"/>
        </w:rPr>
        <w:t>長期記憶</w:t>
      </w:r>
      <w:r>
        <w:rPr>
          <w:rFonts w:hint="eastAsia"/>
        </w:rPr>
        <w:t>は</w:t>
      </w:r>
      <w:r w:rsidR="00E631C8">
        <w:rPr>
          <w:rFonts w:hint="eastAsia"/>
        </w:rPr>
        <w:t>エピソード</w:t>
      </w:r>
      <w:r>
        <w:rPr>
          <w:rFonts w:hint="eastAsia"/>
        </w:rPr>
        <w:t>的</w:t>
      </w:r>
      <w:r w:rsidR="00E631C8">
        <w:rPr>
          <w:rFonts w:hint="eastAsia"/>
        </w:rPr>
        <w:t>記憶と意味論的記憶の二つに分け</w:t>
      </w:r>
      <w:r>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DD68BB">
        <w:rPr>
          <w:rFonts w:hint="eastAsia"/>
        </w:rPr>
        <w:t>そ</w:t>
      </w:r>
      <w:r>
        <w:rPr>
          <w:rFonts w:hint="eastAsia"/>
        </w:rPr>
        <w:t>のこと</w:t>
      </w:r>
      <w:r w:rsidR="00CA3716">
        <w:rPr>
          <w:rFonts w:hint="eastAsia"/>
        </w:rPr>
        <w:t>を踏まえ</w:t>
      </w:r>
      <w:r>
        <w:rPr>
          <w:rFonts w:hint="eastAsia"/>
        </w:rPr>
        <w:t>、</w:t>
      </w:r>
      <w:r w:rsidR="00DD68BB">
        <w:rPr>
          <w:rFonts w:hint="eastAsia"/>
        </w:rPr>
        <w:t>「おぼえる」とは一時的に短期記憶に貯蔵することと、エピソード的記憶に情報を入れる二つの場合があると</w:t>
      </w:r>
      <w:r>
        <w:rPr>
          <w:rFonts w:hint="eastAsia"/>
        </w:rPr>
        <w:t>説明する</w:t>
      </w:r>
      <w:r w:rsidR="00DD68BB">
        <w:rPr>
          <w:rFonts w:hint="eastAsia"/>
        </w:rPr>
        <w:t>。後者に</w:t>
      </w:r>
      <w:r w:rsidR="008336A3">
        <w:rPr>
          <w:rFonts w:hint="eastAsia"/>
        </w:rPr>
        <w:t>関して、</w:t>
      </w:r>
      <w:r>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378D03B8" w:rsidR="008336A3" w:rsidRPr="00087193" w:rsidRDefault="008336A3" w:rsidP="008336A3">
      <w:pPr>
        <w:ind w:leftChars="100" w:left="210"/>
      </w:pPr>
      <w:r>
        <w:rPr>
          <w:rFonts w:hint="eastAsia"/>
        </w:rPr>
        <w:t>この場合、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Pr>
          <w:rStyle w:val="ab"/>
        </w:rPr>
        <w:footnoteReference w:id="6"/>
      </w:r>
    </w:p>
    <w:p w14:paraId="1E36FC53" w14:textId="67A8BB52" w:rsidR="004F5877" w:rsidRPr="004F5877" w:rsidRDefault="004F5877" w:rsidP="004F5877">
      <w:pPr>
        <w:autoSpaceDE w:val="0"/>
        <w:autoSpaceDN w:val="0"/>
        <w:adjustRightInd w:val="0"/>
        <w:jc w:val="left"/>
        <w:rPr>
          <w:rFonts w:asciiTheme="minorEastAsia" w:hAnsiTheme="minorEastAsia" w:cs="AppleSystemUIFont"/>
          <w:kern w:val="0"/>
          <w:szCs w:val="21"/>
        </w:rPr>
      </w:pPr>
    </w:p>
    <w:p w14:paraId="23FF702B" w14:textId="24887CE4"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「わかる」ということを本来の「わかる」ではなく「おぼえる」に近い形で理解している状況を批判し、「わかる」ということについて</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w:t>
      </w:r>
      <w:r>
        <w:rPr>
          <w:rFonts w:asciiTheme="minorEastAsia" w:hAnsiTheme="minorEastAsia" w:hint="eastAsia"/>
          <w:color w:val="000000" w:themeColor="text1"/>
          <w:szCs w:val="21"/>
        </w:rPr>
        <w:lastRenderedPageBreak/>
        <w:t>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7"/>
      </w:r>
    </w:p>
    <w:p w14:paraId="54332002" w14:textId="0D3D4E3C" w:rsidR="008336A3" w:rsidRDefault="008336A3" w:rsidP="004F5877">
      <w:pPr>
        <w:rPr>
          <w:rFonts w:asciiTheme="minorEastAsia" w:hAnsiTheme="minorEastAsia"/>
          <w:color w:val="000000" w:themeColor="text1"/>
          <w:szCs w:val="21"/>
        </w:rPr>
      </w:pPr>
    </w:p>
    <w:p w14:paraId="03EF040E" w14:textId="2439CC0A" w:rsidR="00454C47" w:rsidRDefault="00454C47" w:rsidP="00454C47">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その一方で、「おぼえる」段階がなければ「わかる」段階に行くことができない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036E7A">
        <w:rPr>
          <w:rFonts w:asciiTheme="minorEastAsia" w:hAnsiTheme="minorEastAsia" w:hint="eastAsia"/>
          <w:color w:val="000000" w:themeColor="text1"/>
          <w:szCs w:val="21"/>
        </w:rPr>
        <w:t>つまり、学びにおいて「おぼえる」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として行われている日本の教育現場を危機的に捉え、</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とを意識する必要があることを</w:t>
      </w:r>
      <w:r w:rsidR="00036E7A">
        <w:rPr>
          <w:rFonts w:asciiTheme="minorEastAsia" w:hAnsiTheme="minorEastAsia" w:hint="eastAsia"/>
          <w:color w:val="000000" w:themeColor="text1"/>
          <w:szCs w:val="21"/>
        </w:rPr>
        <w:t>主張しているのだ。そして、</w:t>
      </w:r>
      <w:r w:rsidR="00DE14B8">
        <w:rPr>
          <w:rFonts w:asciiTheme="minorEastAsia" w:hAnsiTheme="minorEastAsia" w:hint="eastAsia"/>
          <w:color w:val="000000" w:themeColor="text1"/>
          <w:szCs w:val="21"/>
        </w:rPr>
        <w:t>佐伯が重要視していた</w:t>
      </w:r>
      <w:r w:rsidR="00036E7A">
        <w:rPr>
          <w:rFonts w:asciiTheme="minorEastAsia" w:hAnsiTheme="minorEastAsia" w:hint="eastAsia"/>
          <w:color w:val="000000" w:themeColor="text1"/>
          <w:szCs w:val="21"/>
        </w:rPr>
        <w:t>知識の一貫性や真理の実在感というものも、この「わかる」感覚</w:t>
      </w:r>
      <w:r w:rsidR="00927F6C">
        <w:rPr>
          <w:rFonts w:asciiTheme="minorEastAsia" w:hAnsiTheme="minorEastAsia" w:hint="eastAsia"/>
          <w:color w:val="000000" w:themeColor="text1"/>
          <w:szCs w:val="21"/>
        </w:rPr>
        <w:t>を子どもが得る</w:t>
      </w:r>
      <w:r w:rsidR="00036E7A">
        <w:rPr>
          <w:rFonts w:asciiTheme="minorEastAsia" w:hAnsiTheme="minorEastAsia" w:hint="eastAsia"/>
          <w:color w:val="000000" w:themeColor="text1"/>
          <w:szCs w:val="21"/>
        </w:rPr>
        <w:t>ために必要なことである</w:t>
      </w:r>
      <w:r w:rsidR="00DE14B8">
        <w:rPr>
          <w:rFonts w:asciiTheme="minorEastAsia" w:hAnsiTheme="minorEastAsia" w:hint="eastAsia"/>
          <w:color w:val="000000" w:themeColor="text1"/>
          <w:szCs w:val="21"/>
        </w:rPr>
        <w:t>といえよう</w:t>
      </w:r>
      <w:r w:rsidR="00036E7A">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5894648B"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C443F1">
        <w:rPr>
          <w:rFonts w:ascii="ヒラギノ角ゴシック W4" w:eastAsia="ヒラギノ角ゴシック W4" w:hAnsi="ヒラギノ角ゴシック W4" w:cs="ＭＳ 明朝" w:hint="eastAsia"/>
        </w:rPr>
        <w:t>の研究</w:t>
      </w:r>
      <w:r w:rsidR="00927F6C">
        <w:rPr>
          <w:rFonts w:ascii="ヒラギノ角ゴシック W4" w:eastAsia="ヒラギノ角ゴシック W4" w:hAnsi="ヒラギノ角ゴシック W4" w:cs="ＭＳ 明朝" w:hint="eastAsia"/>
        </w:rPr>
        <w:t xml:space="preserve">　</w:t>
      </w:r>
      <w:r w:rsidR="007646D5" w:rsidRPr="007646D5">
        <w:rPr>
          <w:rFonts w:ascii="ＭＳ 明朝" w:eastAsia="ＭＳ 明朝" w:hAnsi="ＭＳ 明朝" w:cs="ＭＳ 明朝" w:hint="eastAsia"/>
          <w:color w:val="FF0000"/>
        </w:rPr>
        <w:t>おぼえる際において</w:t>
      </w:r>
      <w:r w:rsidR="007646D5" w:rsidRPr="007646D5">
        <w:rPr>
          <w:color w:val="FF0000"/>
        </w:rPr>
        <w:t>CAI</w:t>
      </w:r>
      <w:r w:rsidR="007646D5" w:rsidRPr="007646D5">
        <w:rPr>
          <w:rFonts w:ascii="ＭＳ 明朝" w:eastAsia="ＭＳ 明朝" w:hAnsi="ＭＳ 明朝" w:cs="ＭＳ 明朝" w:hint="eastAsia"/>
          <w:color w:val="FF0000"/>
        </w:rPr>
        <w:t>有効、</w:t>
      </w:r>
      <w:r w:rsidR="007646D5" w:rsidRPr="007646D5">
        <w:rPr>
          <w:rFonts w:hint="eastAsia"/>
          <w:color w:val="FF0000"/>
        </w:rPr>
        <w:t>C</w:t>
      </w:r>
      <w:r w:rsidR="007646D5" w:rsidRPr="007646D5">
        <w:rPr>
          <w:color w:val="FF0000"/>
        </w:rPr>
        <w:t>AI</w:t>
      </w:r>
      <w:r w:rsidR="007646D5" w:rsidRPr="007646D5">
        <w:rPr>
          <w:rFonts w:ascii="ＭＳ 明朝" w:eastAsia="ＭＳ 明朝" w:hAnsi="ＭＳ 明朝" w:cs="ＭＳ 明朝" w:hint="eastAsia"/>
          <w:color w:val="FF0000"/>
        </w:rPr>
        <w:t>の研究</w:t>
      </w:r>
    </w:p>
    <w:p w14:paraId="6C038733" w14:textId="0D04DA44"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本節では、前節で説明した学び観を築いた佐伯が、教育におけるコンピュータの使用に対してどのように考えていったのかを明らかにしたい。</w:t>
      </w:r>
    </w:p>
    <w:p w14:paraId="0E3619C7" w14:textId="2311092C" w:rsidR="00927F6C"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2308D8">
        <w:rPr>
          <w:rFonts w:asciiTheme="minorEastAsia" w:hAnsiTheme="minorEastAsia" w:cs="`’¡Ã˛" w:hint="eastAsia"/>
          <w:color w:val="000000" w:themeColor="text1"/>
          <w:kern w:val="0"/>
          <w:szCs w:val="21"/>
        </w:rPr>
        <w:t>佐伯自身が</w:t>
      </w:r>
      <w:r w:rsidR="002308D8">
        <w:rPr>
          <w:rFonts w:asciiTheme="minorEastAsia" w:hAnsiTheme="minorEastAsia" w:cs="`’¡Ã˛"/>
          <w:color w:val="000000" w:themeColor="text1"/>
          <w:kern w:val="0"/>
          <w:szCs w:val="21"/>
        </w:rPr>
        <w:t>CAI</w:t>
      </w:r>
      <w:r w:rsidR="002308D8">
        <w:rPr>
          <w:rFonts w:asciiTheme="minorEastAsia" w:hAnsiTheme="minorEastAsia" w:cs="`’¡Ã˛" w:hint="eastAsia"/>
          <w:color w:val="000000" w:themeColor="text1"/>
          <w:kern w:val="0"/>
          <w:szCs w:val="21"/>
        </w:rPr>
        <w:t>システムの開発に関する研究をしている。</w:t>
      </w:r>
      <w:r w:rsidR="00D94CCE">
        <w:rPr>
          <w:rFonts w:asciiTheme="minorEastAsia" w:hAnsiTheme="minorEastAsia" w:cs="`’¡Ã˛" w:hint="eastAsia"/>
          <w:color w:val="000000" w:themeColor="text1"/>
          <w:kern w:val="0"/>
          <w:szCs w:val="21"/>
        </w:rPr>
        <w:t>まず東京理科大学での同僚であった溝口文雄との共同研究</w:t>
      </w:r>
      <w:r w:rsidR="00D94CCE">
        <w:rPr>
          <w:rStyle w:val="ab"/>
          <w:rFonts w:asciiTheme="minorEastAsia" w:hAnsiTheme="minorEastAsia" w:cs="`’¡Ã˛"/>
          <w:color w:val="000000" w:themeColor="text1"/>
          <w:kern w:val="0"/>
          <w:szCs w:val="21"/>
        </w:rPr>
        <w:footnoteReference w:id="8"/>
      </w:r>
      <w:r w:rsidR="00D94CCE">
        <w:rPr>
          <w:rFonts w:asciiTheme="minorEastAsia" w:hAnsiTheme="minorEastAsia" w:cs="`’¡Ã˛" w:hint="eastAsia"/>
          <w:color w:val="000000" w:themeColor="text1"/>
          <w:kern w:val="0"/>
          <w:szCs w:val="21"/>
        </w:rPr>
        <w:t>について見ていく。</w:t>
      </w:r>
      <w:r w:rsidR="007C3C1B">
        <w:rPr>
          <w:rFonts w:asciiTheme="minorEastAsia" w:hAnsiTheme="minorEastAsia" w:cs="`’¡Ã˛" w:hint="eastAsia"/>
          <w:color w:val="000000" w:themeColor="text1"/>
          <w:kern w:val="0"/>
          <w:szCs w:val="21"/>
        </w:rPr>
        <w:t>それ</w:t>
      </w:r>
      <w:r w:rsidR="001460DB">
        <w:rPr>
          <w:rFonts w:asciiTheme="minorEastAsia" w:hAnsiTheme="minorEastAsia" w:cs="`’¡Ã˛" w:hint="eastAsia"/>
          <w:color w:val="000000" w:themeColor="text1"/>
          <w:kern w:val="0"/>
          <w:szCs w:val="21"/>
        </w:rPr>
        <w:t>までのC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w:t>
      </w:r>
      <w:r w:rsidR="00553699">
        <w:rPr>
          <w:rFonts w:asciiTheme="minorEastAsia" w:hAnsiTheme="minorEastAsia" w:cs="`’¡Ã˛" w:hint="eastAsia"/>
          <w:color w:val="000000" w:themeColor="text1"/>
          <w:kern w:val="0"/>
          <w:szCs w:val="21"/>
        </w:rPr>
        <w:t>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w:t>
      </w:r>
      <w:r w:rsidR="00553699">
        <w:rPr>
          <w:rFonts w:asciiTheme="minorEastAsia" w:hAnsiTheme="minorEastAsia" w:cs="`’¡Ã˛" w:hint="eastAsia"/>
          <w:color w:val="000000" w:themeColor="text1"/>
          <w:kern w:val="0"/>
          <w:szCs w:val="21"/>
        </w:rPr>
        <w:t>だけでなく</w:t>
      </w:r>
      <w:r w:rsidR="00553699">
        <w:rPr>
          <w:rFonts w:asciiTheme="minorEastAsia" w:hAnsiTheme="minorEastAsia" w:cs="`’¡Ã˛" w:hint="eastAsia"/>
          <w:color w:val="000000" w:themeColor="text1"/>
          <w:kern w:val="0"/>
          <w:szCs w:val="21"/>
        </w:rPr>
        <w:t>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w:t>
      </w:r>
      <w:r w:rsidR="00553699">
        <w:rPr>
          <w:rFonts w:asciiTheme="minorEastAsia" w:hAnsiTheme="minorEastAsia" w:cs="`’¡Ã˛" w:hint="eastAsia"/>
          <w:color w:val="000000" w:themeColor="text1"/>
          <w:kern w:val="0"/>
          <w:szCs w:val="21"/>
        </w:rPr>
        <w:t>る</w:t>
      </w:r>
      <w:proofErr w:type="spellStart"/>
      <w:r w:rsidR="00553699">
        <w:rPr>
          <w:rFonts w:asciiTheme="minorEastAsia" w:hAnsiTheme="minorEastAsia" w:cs="`’¡Ã˛" w:hint="eastAsia"/>
          <w:color w:val="000000" w:themeColor="text1"/>
          <w:kern w:val="0"/>
          <w:szCs w:val="21"/>
        </w:rPr>
        <w:t>CAI</w:t>
      </w:r>
      <w:proofErr w:type="spellEnd"/>
      <w:r w:rsidR="00553699">
        <w:rPr>
          <w:rFonts w:asciiTheme="minorEastAsia" w:hAnsiTheme="minorEastAsia" w:cs="`’¡Ã˛" w:hint="eastAsia"/>
          <w:color w:val="000000" w:themeColor="text1"/>
          <w:kern w:val="0"/>
          <w:szCs w:val="21"/>
        </w:rPr>
        <w:t>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CAIシステムに対しては受動的になって</w:t>
      </w:r>
      <w:r w:rsidR="007C3C1B">
        <w:rPr>
          <w:rFonts w:asciiTheme="minorEastAsia" w:hAnsiTheme="minorEastAsia" w:cs="`’¡Ã˛" w:hint="eastAsia"/>
          <w:color w:val="000000" w:themeColor="text1"/>
          <w:kern w:val="0"/>
          <w:szCs w:val="21"/>
        </w:rPr>
        <w:lastRenderedPageBreak/>
        <w:t>しまうのではないかという批判もあるが、</w:t>
      </w:r>
      <w:r w:rsidR="00C50C61">
        <w:rPr>
          <w:rFonts w:asciiTheme="minorEastAsia" w:hAnsiTheme="minorEastAsia" w:cs="`’¡Ã˛" w:hint="eastAsia"/>
          <w:color w:val="000000" w:themeColor="text1"/>
          <w:kern w:val="0"/>
          <w:szCs w:val="21"/>
        </w:rPr>
        <w:t>CAIシステムは必ずしも受動的になるものではないということを示しているのであろう。</w:t>
      </w:r>
      <w:r w:rsidR="000477B7">
        <w:rPr>
          <w:rFonts w:asciiTheme="minorEastAsia" w:hAnsiTheme="minorEastAsia" w:cs="`’¡Ã˛" w:hint="eastAsia"/>
          <w:color w:val="000000" w:themeColor="text1"/>
          <w:kern w:val="0"/>
          <w:szCs w:val="21"/>
        </w:rPr>
        <w:t>またC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を用いた教授コースの自動生成を研究したもの</w:t>
      </w:r>
      <w:r w:rsidR="000477B7">
        <w:rPr>
          <w:rStyle w:val="ab"/>
          <w:rFonts w:asciiTheme="minorEastAsia" w:hAnsiTheme="minorEastAsia" w:cs="`’¡Ã˛"/>
          <w:color w:val="000000" w:themeColor="text1"/>
          <w:kern w:val="0"/>
          <w:szCs w:val="21"/>
        </w:rPr>
        <w:footnoteReference w:id="9"/>
      </w:r>
      <w:r w:rsidR="000477B7">
        <w:rPr>
          <w:rFonts w:asciiTheme="minorEastAsia" w:hAnsiTheme="minorEastAsia" w:cs="`’¡Ã˛" w:hint="eastAsia"/>
          <w:color w:val="000000" w:themeColor="text1"/>
          <w:kern w:val="0"/>
          <w:szCs w:val="21"/>
        </w:rPr>
        <w:t>もある。</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p>
    <w:p w14:paraId="1DF90770" w14:textId="7BCA53F0" w:rsidR="00637373" w:rsidRPr="00927F6C" w:rsidRDefault="00E44A57"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00DD21BA">
        <w:rPr>
          <w:rFonts w:asciiTheme="minorEastAsia" w:hAnsiTheme="minorEastAsia" w:cs="`’¡Ã˛" w:hint="eastAsia"/>
          <w:color w:val="000000" w:themeColor="text1"/>
          <w:kern w:val="0"/>
          <w:szCs w:val="21"/>
        </w:rPr>
        <w:t>佐伯は「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sidR="00BD67B1">
        <w:rPr>
          <w:rFonts w:asciiTheme="minorEastAsia" w:hAnsiTheme="minorEastAsia" w:cs="`’¡Ã˛" w:hint="eastAsia"/>
          <w:color w:val="000000" w:themeColor="text1"/>
          <w:kern w:val="0"/>
          <w:szCs w:val="21"/>
        </w:rPr>
        <w:t>と述べている。しかし機械的な原理が固定化され、常に同じ発想・プロセスに閉じてしまったら、その工学を進めている人間が非人間化・非道徳化してしまっているとしている。ティーチング</w:t>
      </w:r>
      <w:r w:rsidR="002B50A5">
        <w:rPr>
          <w:rFonts w:asciiTheme="minorEastAsia" w:hAnsiTheme="minorEastAsia" w:cs="`’¡Ã˛" w:hint="eastAsia"/>
          <w:color w:val="000000" w:themeColor="text1"/>
          <w:kern w:val="0"/>
          <w:szCs w:val="21"/>
        </w:rPr>
        <w:t>・</w:t>
      </w:r>
      <w:r w:rsidR="00BD67B1">
        <w:rPr>
          <w:rFonts w:asciiTheme="minorEastAsia" w:hAnsiTheme="minorEastAsia" w:cs="`’¡Ã˛" w:hint="eastAsia"/>
          <w:color w:val="000000" w:themeColor="text1"/>
          <w:kern w:val="0"/>
          <w:szCs w:val="21"/>
        </w:rPr>
        <w:t>マシンは</w:t>
      </w:r>
      <w:r w:rsidR="002B50A5">
        <w:rPr>
          <w:rFonts w:asciiTheme="minorEastAsia" w:hAnsiTheme="minorEastAsia" w:cs="`’¡Ã˛" w:hint="eastAsia"/>
          <w:color w:val="000000" w:themeColor="text1"/>
          <w:kern w:val="0"/>
          <w:szCs w:val="21"/>
        </w:rPr>
        <w:t>スキナーが開発したものであり、そこには三つの原則があると佐伯は説明する。まず一つ目は「学習はつねに生体の偶発的先行によって行われるべきである」ということであり、さらにその行動が望ましい行動に少しでも近いものであれば即座に強化が行われるべきだということが二つ目の原則である。そして三つ目が目標行動の計画をあらかじめ作成することである。</w:t>
      </w:r>
      <w:r w:rsidR="00637373">
        <w:rPr>
          <w:rFonts w:asciiTheme="minorEastAsia" w:hAnsiTheme="minorEastAsia" w:cs="`’¡Ã˛" w:hint="eastAsia"/>
          <w:color w:val="000000" w:themeColor="text1"/>
          <w:kern w:val="0"/>
          <w:szCs w:val="21"/>
        </w:rPr>
        <w:t>佐伯はこの三つの原則のうち「目標の明確化」は絶対に必要な条件であり、教育の目標は学習者の行動のことばで表現されるべきだと指摘する。ここで佐伯はシェフラ―</w:t>
      </w:r>
      <w:r w:rsidR="00F60C47">
        <w:rPr>
          <w:rFonts w:asciiTheme="minorEastAsia" w:hAnsiTheme="minorEastAsia" w:cs="`’¡Ã˛" w:hint="eastAsia"/>
          <w:color w:val="000000" w:themeColor="text1"/>
          <w:kern w:val="0"/>
          <w:szCs w:val="21"/>
        </w:rPr>
        <w:t>による、</w:t>
      </w:r>
      <w:r w:rsidR="00F60C47">
        <w:rPr>
          <w:rFonts w:asciiTheme="minorEastAsia" w:hAnsiTheme="minorEastAsia" w:cs="`’¡Ã˛" w:hint="eastAsia"/>
          <w:color w:val="000000" w:themeColor="text1"/>
          <w:kern w:val="0"/>
          <w:szCs w:val="21"/>
        </w:rPr>
        <w:t>教える</w:t>
      </w:r>
      <w:r w:rsidR="00F60C47">
        <w:rPr>
          <w:rFonts w:asciiTheme="minorEastAsia" w:hAnsiTheme="minorEastAsia" w:cs="`’¡Ã˛" w:hint="eastAsia"/>
          <w:color w:val="000000" w:themeColor="text1"/>
          <w:kern w:val="0"/>
          <w:szCs w:val="21"/>
        </w:rPr>
        <w:t>ものには</w:t>
      </w:r>
      <w:r w:rsidR="00F60C47">
        <w:rPr>
          <w:rFonts w:asciiTheme="minorEastAsia" w:hAnsiTheme="minorEastAsia" w:cs="`’¡Ã˛" w:hint="eastAsia"/>
          <w:color w:val="000000" w:themeColor="text1"/>
          <w:kern w:val="0"/>
          <w:szCs w:val="21"/>
        </w:rPr>
        <w:t>命題、行為、スキルがある</w:t>
      </w:r>
      <w:r w:rsidR="00F60C47">
        <w:rPr>
          <w:rFonts w:asciiTheme="minorEastAsia" w:hAnsiTheme="minorEastAsia" w:cs="`’¡Ã˛" w:hint="eastAsia"/>
          <w:color w:val="000000" w:themeColor="text1"/>
          <w:kern w:val="0"/>
          <w:szCs w:val="21"/>
        </w:rPr>
        <w:t>とする分類</w:t>
      </w:r>
      <w:r w:rsidR="00637373">
        <w:rPr>
          <w:rFonts w:asciiTheme="minorEastAsia" w:hAnsiTheme="minorEastAsia" w:cs="`’¡Ã˛" w:hint="eastAsia"/>
          <w:color w:val="000000" w:themeColor="text1"/>
          <w:kern w:val="0"/>
          <w:szCs w:val="21"/>
        </w:rPr>
        <w:t>を持ち出してこう説明する。</w:t>
      </w:r>
      <w:r w:rsidR="00F60C47">
        <w:rPr>
          <w:rFonts w:asciiTheme="minorEastAsia" w:hAnsiTheme="minorEastAsia" w:cs="`’¡Ã˛" w:hint="eastAsia"/>
          <w:color w:val="000000" w:themeColor="text1"/>
          <w:kern w:val="0"/>
          <w:szCs w:val="21"/>
        </w:rPr>
        <w:t>行為やスキルを教える場合は、その教育目標は学習者の行動のことばで表すことができ、教えたか否かが検証でき、これがスキナーがティーチング・マシンを用いて教えていたことであると説明している。またこれは前章で説明した「おぼえる」に対応した学習である。一方、命題を教える場合は</w:t>
      </w:r>
      <w:r w:rsidR="00730934">
        <w:rPr>
          <w:rFonts w:asciiTheme="minorEastAsia" w:hAnsiTheme="minorEastAsia" w:cs="`’¡Ã˛" w:hint="eastAsia"/>
          <w:color w:val="000000" w:themeColor="text1"/>
          <w:kern w:val="0"/>
          <w:szCs w:val="21"/>
        </w:rPr>
        <w:t>「わかる」に対応しており、教育目標を学習者の行動のことばで表すことは不可能であり、それを認めていなかったスキナーを否定している。そこで佐伯は確かに目標を行動のことばで明確化することはできないが、</w:t>
      </w:r>
      <w:r w:rsidR="00BA27CC">
        <w:rPr>
          <w:rFonts w:asciiTheme="minorEastAsia" w:hAnsiTheme="minorEastAsia" w:cs="`’¡Ã˛" w:hint="eastAsia"/>
          <w:color w:val="000000" w:themeColor="text1"/>
          <w:kern w:val="0"/>
          <w:szCs w:val="21"/>
        </w:rPr>
        <w:t>教育目標を達成する兆候を行動として明確化・系列化することは可能であり、それが重要だと指摘する。</w:t>
      </w:r>
    </w:p>
    <w:p w14:paraId="7C1F723D" w14:textId="77777777" w:rsidR="007646D5" w:rsidRPr="00FC20A7" w:rsidRDefault="007646D5" w:rsidP="00FC20A7">
      <w:pPr>
        <w:autoSpaceDE w:val="0"/>
        <w:autoSpaceDN w:val="0"/>
        <w:adjustRightInd w:val="0"/>
        <w:jc w:val="left"/>
        <w:rPr>
          <w:rFonts w:asciiTheme="minorEastAsia" w:hAnsiTheme="minorEastAsia" w:cs="`’¡Ã˛"/>
          <w:color w:val="000000" w:themeColor="text1"/>
          <w:kern w:val="0"/>
          <w:szCs w:val="21"/>
        </w:rPr>
      </w:pPr>
    </w:p>
    <w:sectPr w:rsidR="007646D5" w:rsidRPr="00FC20A7"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40B2" w14:textId="77777777" w:rsidR="008955FC" w:rsidRDefault="008955FC" w:rsidP="00B674F1">
      <w:r>
        <w:separator/>
      </w:r>
    </w:p>
  </w:endnote>
  <w:endnote w:type="continuationSeparator" w:id="0">
    <w:p w14:paraId="7204BB63" w14:textId="77777777" w:rsidR="008955FC" w:rsidRDefault="008955FC"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iragino Sans W4">
    <w:altName w:val="Cambria"/>
    <w:panose1 w:val="00000000000000000000"/>
    <w:charset w:val="00"/>
    <w:family w:val="roman"/>
    <w:notTrueType/>
    <w:pitch w:val="default"/>
  </w:font>
  <w:font w:name="Times New Roman (見出しのフォント - コンプ">
    <w:altName w:val="ＭＳ 明朝"/>
    <w:charset w:val="80"/>
    <w:family w:val="roman"/>
    <w:pitch w:val="default"/>
  </w:font>
  <w:font w:name="ＭＳ Ｐゴシック">
    <w:altName w:val="MS PGothic"/>
    <w:panose1 w:val="020B0600070205080204"/>
    <w:charset w:val="80"/>
    <w:family w:val="modern"/>
    <w:pitch w:val="variable"/>
    <w:sig w:usb0="E00002FF" w:usb1="6AC7FDFB" w:usb2="08000012" w:usb3="00000000" w:csb0="0002009F" w:csb1="00000000"/>
  </w:font>
  <w:font w:name="ヒラギノ角ゴシック W4">
    <w:altName w:val="游ゴシック"/>
    <w:charset w:val="80"/>
    <w:family w:val="swiss"/>
    <w:pitch w:val="variable"/>
    <w:sig w:usb0="E00002FF" w:usb1="7AC7FFFF" w:usb2="00000012" w:usb3="00000000" w:csb0="0002000D" w:csb1="00000000"/>
  </w:font>
  <w:font w:name="ＭＳ 明朝">
    <w:altName w:val="MS Mincho"/>
    <w:panose1 w:val="02020609040205080304"/>
    <w:charset w:val="80"/>
    <w:family w:val="roman"/>
    <w:pitch w:val="fixed"/>
    <w:sig w:usb0="E00002FF" w:usb1="6AC7FDFB" w:usb2="08000012" w:usb3="00000000" w:csb0="0002009F" w:csb1="00000000"/>
  </w:font>
  <w:font w:name="`’¡Ã˛">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B81A" w14:textId="77777777" w:rsidR="008955FC" w:rsidRDefault="008955FC" w:rsidP="00B674F1">
      <w:r>
        <w:separator/>
      </w:r>
    </w:p>
  </w:footnote>
  <w:footnote w:type="continuationSeparator" w:id="0">
    <w:p w14:paraId="78F3117F" w14:textId="77777777" w:rsidR="008955FC" w:rsidRDefault="008955FC"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728DE53" w14:textId="02903C35" w:rsidR="00D07139" w:rsidRPr="00D07139" w:rsidRDefault="00D07139"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46DB33D0" w14:textId="1F344271" w:rsidR="009E02B3" w:rsidRPr="009E02B3" w:rsidRDefault="009E02B3">
      <w:pPr>
        <w:pStyle w:val="a9"/>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18</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4">
    <w:p w14:paraId="31840CBF" w14:textId="31E9C0B2" w:rsidR="000967B6" w:rsidRPr="008B4670" w:rsidRDefault="008B4670">
      <w:pPr>
        <w:pStyle w:val="a9"/>
      </w:pPr>
      <w:r>
        <w:rPr>
          <w:rStyle w:val="ab"/>
        </w:rPr>
        <w:footnoteRef/>
      </w:r>
      <w:r>
        <w:t xml:space="preserve"> </w:t>
      </w:r>
      <w:r w:rsidRPr="008B4670">
        <w:rPr>
          <w:rFonts w:hint="eastAsia"/>
        </w:rPr>
        <w:t>佐伯胖「知的好奇心をころす授業ー子どもはきわめて意図的に、しかも理性的にバカになっていくー</w:t>
      </w:r>
      <w:r w:rsidRPr="008B4670">
        <w:t>」『児童心理』第27巻第8号、金子書房、1973年8月、</w:t>
      </w:r>
      <w:r w:rsidR="00A25845">
        <w:t>71</w:t>
      </w:r>
      <w:r w:rsidRPr="008B4670">
        <w:t>頁。</w:t>
      </w:r>
    </w:p>
  </w:footnote>
  <w:footnote w:id="5">
    <w:p w14:paraId="79AA59FB" w14:textId="0BE41369" w:rsidR="00157C66" w:rsidRPr="00157C66" w:rsidRDefault="00157C66">
      <w:pPr>
        <w:pStyle w:val="a9"/>
      </w:pPr>
      <w:r>
        <w:rPr>
          <w:rStyle w:val="ab"/>
        </w:rPr>
        <w:footnoteRef/>
      </w:r>
      <w:r>
        <w:t xml:space="preserve"> </w:t>
      </w:r>
      <w:r w:rsidRPr="00157C66">
        <w:rPr>
          <w:rFonts w:hint="eastAsia"/>
        </w:rPr>
        <w:t>佐伯胖「「わかる」における主観主義ー「おぼえる」ことと「わかる」ことの違いー」『現代教育科学』第</w:t>
      </w:r>
      <w:r w:rsidRPr="00157C66">
        <w:t>18巻第12号、明治図書出版、1975年11月、</w:t>
      </w:r>
      <w:r>
        <w:t>37</w:t>
      </w:r>
      <w:r w:rsidRPr="00157C66">
        <w:t>頁。</w:t>
      </w:r>
    </w:p>
  </w:footnote>
  <w:footnote w:id="6">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7">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8">
    <w:p w14:paraId="19B940D6" w14:textId="0035B4C2" w:rsidR="00D94CCE" w:rsidRDefault="00D94CCE">
      <w:pPr>
        <w:pStyle w:val="a9"/>
        <w:rPr>
          <w:rFonts w:hint="eastAsia"/>
        </w:rPr>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9">
    <w:p w14:paraId="53B2EF32" w14:textId="3A5D763D" w:rsidR="000477B7" w:rsidRDefault="000477B7">
      <w:pPr>
        <w:pStyle w:val="a9"/>
        <w:rPr>
          <w:rFonts w:hint="eastAsia"/>
        </w:rPr>
      </w:pPr>
      <w:r>
        <w:rPr>
          <w:rStyle w:val="ab"/>
        </w:rPr>
        <w:footnoteRef/>
      </w:r>
      <w:r>
        <w:t xml:space="preserve"> </w:t>
      </w:r>
      <w:r w:rsidRPr="000477B7">
        <w:rPr>
          <w:rFonts w:hint="eastAsia"/>
        </w:rPr>
        <w:t>佐伯胖『学習者の理解度診断にもとずく</w:t>
      </w:r>
      <w:r w:rsidRPr="000477B7">
        <w:t>CAI教授コースの自動作成』東京理科大学理工学部、1976年。</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36E7A"/>
    <w:rsid w:val="000477B7"/>
    <w:rsid w:val="00087193"/>
    <w:rsid w:val="000967B6"/>
    <w:rsid w:val="000C5AAE"/>
    <w:rsid w:val="00116860"/>
    <w:rsid w:val="001460DB"/>
    <w:rsid w:val="00157C66"/>
    <w:rsid w:val="0017300C"/>
    <w:rsid w:val="00176C35"/>
    <w:rsid w:val="001C0AE5"/>
    <w:rsid w:val="001C4445"/>
    <w:rsid w:val="001E7F5D"/>
    <w:rsid w:val="00221E7B"/>
    <w:rsid w:val="002308D8"/>
    <w:rsid w:val="002A5339"/>
    <w:rsid w:val="002B50A5"/>
    <w:rsid w:val="003A7B64"/>
    <w:rsid w:val="004032BD"/>
    <w:rsid w:val="00454C47"/>
    <w:rsid w:val="004F5877"/>
    <w:rsid w:val="00533896"/>
    <w:rsid w:val="00553699"/>
    <w:rsid w:val="005861B0"/>
    <w:rsid w:val="00636E29"/>
    <w:rsid w:val="00637373"/>
    <w:rsid w:val="00664A02"/>
    <w:rsid w:val="00692212"/>
    <w:rsid w:val="006B56E7"/>
    <w:rsid w:val="006F76E9"/>
    <w:rsid w:val="00712DCB"/>
    <w:rsid w:val="00726F20"/>
    <w:rsid w:val="00730934"/>
    <w:rsid w:val="007646D5"/>
    <w:rsid w:val="007A7051"/>
    <w:rsid w:val="007C06E4"/>
    <w:rsid w:val="007C3C1B"/>
    <w:rsid w:val="008336A3"/>
    <w:rsid w:val="00836C33"/>
    <w:rsid w:val="00862DD4"/>
    <w:rsid w:val="008955FC"/>
    <w:rsid w:val="008B4670"/>
    <w:rsid w:val="008B766D"/>
    <w:rsid w:val="00927F6C"/>
    <w:rsid w:val="0094160A"/>
    <w:rsid w:val="009907CA"/>
    <w:rsid w:val="009B492D"/>
    <w:rsid w:val="009D75D9"/>
    <w:rsid w:val="009E02B3"/>
    <w:rsid w:val="00A05B53"/>
    <w:rsid w:val="00A25845"/>
    <w:rsid w:val="00A434FE"/>
    <w:rsid w:val="00A60DF6"/>
    <w:rsid w:val="00A81CFC"/>
    <w:rsid w:val="00A87D8E"/>
    <w:rsid w:val="00AA6779"/>
    <w:rsid w:val="00B12A5C"/>
    <w:rsid w:val="00B674F1"/>
    <w:rsid w:val="00B91262"/>
    <w:rsid w:val="00BA27CC"/>
    <w:rsid w:val="00BA7139"/>
    <w:rsid w:val="00BD67B1"/>
    <w:rsid w:val="00C00F14"/>
    <w:rsid w:val="00C443F1"/>
    <w:rsid w:val="00C50C61"/>
    <w:rsid w:val="00C75AF7"/>
    <w:rsid w:val="00CA3716"/>
    <w:rsid w:val="00CC5266"/>
    <w:rsid w:val="00CE718B"/>
    <w:rsid w:val="00D07139"/>
    <w:rsid w:val="00D1078B"/>
    <w:rsid w:val="00D1220E"/>
    <w:rsid w:val="00D94CCE"/>
    <w:rsid w:val="00D96DE7"/>
    <w:rsid w:val="00DA435D"/>
    <w:rsid w:val="00DD21BA"/>
    <w:rsid w:val="00DD68BB"/>
    <w:rsid w:val="00DE14B8"/>
    <w:rsid w:val="00E44A57"/>
    <w:rsid w:val="00E631C8"/>
    <w:rsid w:val="00E674D1"/>
    <w:rsid w:val="00EC526D"/>
    <w:rsid w:val="00F2277C"/>
    <w:rsid w:val="00F25C3C"/>
    <w:rsid w:val="00F60C47"/>
    <w:rsid w:val="00FC20A7"/>
    <w:rsid w:val="00FE0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semiHidden/>
    <w:unhideWhenUsed/>
    <w:rsid w:val="007A7051"/>
    <w:pPr>
      <w:snapToGrid w:val="0"/>
      <w:jc w:val="left"/>
    </w:pPr>
  </w:style>
  <w:style w:type="character" w:customStyle="1" w:styleId="aa">
    <w:name w:val="脚注文字列 (文字)"/>
    <w:basedOn w:val="a0"/>
    <w:link w:val="a9"/>
    <w:uiPriority w:val="99"/>
    <w:semiHidden/>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67D5-B24C-D842-97AD-AC5918F2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9</Pages>
  <Words>900</Words>
  <Characters>5135</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歩桂 伊藤</cp:lastModifiedBy>
  <cp:revision>12</cp:revision>
  <cp:lastPrinted>2021-11-07T01:20:00Z</cp:lastPrinted>
  <dcterms:created xsi:type="dcterms:W3CDTF">2021-11-05T00:46:00Z</dcterms:created>
  <dcterms:modified xsi:type="dcterms:W3CDTF">2021-11-15T04:00:00Z</dcterms:modified>
</cp:coreProperties>
</file>