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79BDA706"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F76E9">
        <w:rPr>
          <w:rFonts w:hint="eastAsia"/>
          <w:szCs w:val="21"/>
        </w:rPr>
        <w:t>２</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601A90FB"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…４頁</w:t>
      </w:r>
    </w:p>
    <w:p w14:paraId="758CEE35" w14:textId="4B35A38D"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…６頁</w:t>
      </w:r>
    </w:p>
    <w:p w14:paraId="1CA6E8B7" w14:textId="77777777" w:rsidR="00CC5266" w:rsidRDefault="00CC5266" w:rsidP="00CC5266">
      <w:pPr>
        <w:widowControl/>
        <w:rPr>
          <w:szCs w:val="21"/>
        </w:rPr>
      </w:pPr>
    </w:p>
    <w:p w14:paraId="1C698CE0" w14:textId="12342CD1" w:rsidR="00CC5266" w:rsidRDefault="00CC5266" w:rsidP="00CC5266">
      <w:pPr>
        <w:widowControl/>
        <w:rPr>
          <w:szCs w:val="21"/>
        </w:rPr>
      </w:pPr>
      <w:r>
        <w:rPr>
          <w:rFonts w:hint="eastAsia"/>
          <w:szCs w:val="21"/>
        </w:rPr>
        <w:t>第２章</w:t>
      </w:r>
      <w:r w:rsidR="001C4445">
        <w:rPr>
          <w:rFonts w:hint="eastAsia"/>
          <w:szCs w:val="21"/>
        </w:rPr>
        <w:t xml:space="preserve">　認知科学を基盤とした学び観と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p>
    <w:p w14:paraId="427E5C74" w14:textId="024E964A" w:rsidR="00CC5266" w:rsidRDefault="00CC5266" w:rsidP="00CC5266">
      <w:pPr>
        <w:widowControl/>
        <w:rPr>
          <w:szCs w:val="21"/>
        </w:rPr>
      </w:pPr>
      <w:r>
        <w:rPr>
          <w:rFonts w:hint="eastAsia"/>
          <w:szCs w:val="21"/>
        </w:rPr>
        <w:t xml:space="preserve">　第１節</w:t>
      </w:r>
      <w:r w:rsidR="0017300C">
        <w:rPr>
          <w:rFonts w:hint="eastAsia"/>
          <w:szCs w:val="21"/>
        </w:rPr>
        <w:t xml:space="preserve">　認知科学をもとにした「わかる」</w:t>
      </w:r>
    </w:p>
    <w:p w14:paraId="042D5C74" w14:textId="2E0CB3A3" w:rsidR="00CC5266" w:rsidRDefault="00CC5266" w:rsidP="00CC5266">
      <w:pPr>
        <w:widowControl/>
        <w:rPr>
          <w:szCs w:val="21"/>
        </w:rPr>
      </w:pPr>
      <w:r>
        <w:rPr>
          <w:rFonts w:hint="eastAsia"/>
          <w:szCs w:val="21"/>
        </w:rPr>
        <w:t xml:space="preserve">　第２節</w:t>
      </w:r>
      <w:r w:rsidR="0017300C">
        <w:rPr>
          <w:rFonts w:hint="eastAsia"/>
          <w:szCs w:val="21"/>
        </w:rPr>
        <w:t xml:space="preserve">　C</w:t>
      </w:r>
      <w:r w:rsidR="0017300C">
        <w:rPr>
          <w:szCs w:val="21"/>
        </w:rPr>
        <w:t>AI</w:t>
      </w:r>
      <w:r w:rsidR="0017300C">
        <w:rPr>
          <w:rFonts w:hint="eastAsia"/>
          <w:szCs w:val="21"/>
        </w:rPr>
        <w:t>批判</w:t>
      </w:r>
    </w:p>
    <w:p w14:paraId="21C4DD0C" w14:textId="77777777" w:rsidR="00CC5266" w:rsidRDefault="00CC5266" w:rsidP="00CC5266">
      <w:pPr>
        <w:widowControl/>
        <w:rPr>
          <w:szCs w:val="21"/>
        </w:rPr>
      </w:pPr>
    </w:p>
    <w:p w14:paraId="1E68D21A" w14:textId="4D9A522C"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83-92</w:t>
      </w:r>
      <w:r w:rsidR="00D96DE7">
        <w:rPr>
          <w:szCs w:val="21"/>
        </w:rPr>
        <w:t>~</w:t>
      </w:r>
      <w:r w:rsidR="00A81CFC">
        <w:rPr>
          <w:rFonts w:hint="eastAsia"/>
          <w:szCs w:val="21"/>
        </w:rPr>
        <w:t>）</w:t>
      </w:r>
    </w:p>
    <w:p w14:paraId="55335DD5" w14:textId="0019B967" w:rsidR="00CC5266" w:rsidRDefault="00CC5266" w:rsidP="00CC5266">
      <w:pPr>
        <w:widowControl/>
        <w:rPr>
          <w:szCs w:val="21"/>
        </w:rPr>
      </w:pPr>
      <w:r>
        <w:rPr>
          <w:rFonts w:hint="eastAsia"/>
          <w:szCs w:val="21"/>
        </w:rPr>
        <w:t xml:space="preserve">　第１節</w:t>
      </w:r>
      <w:r w:rsidR="0017300C">
        <w:rPr>
          <w:rFonts w:hint="eastAsia"/>
          <w:szCs w:val="21"/>
        </w:rPr>
        <w:t xml:space="preserve">　文化的実践への参加としての学び</w:t>
      </w:r>
    </w:p>
    <w:p w14:paraId="3F5A36F3" w14:textId="1B266AA2" w:rsidR="00CC5266" w:rsidRDefault="00CC5266" w:rsidP="00CC5266">
      <w:pPr>
        <w:widowControl/>
        <w:ind w:firstLineChars="100" w:firstLine="210"/>
        <w:rPr>
          <w:szCs w:val="21"/>
        </w:rPr>
      </w:pPr>
      <w:r>
        <w:rPr>
          <w:rFonts w:hint="eastAsia"/>
          <w:szCs w:val="21"/>
        </w:rPr>
        <w:t>第２節</w:t>
      </w:r>
      <w:r w:rsidR="0017300C">
        <w:rPr>
          <w:rFonts w:hint="eastAsia"/>
          <w:szCs w:val="21"/>
        </w:rPr>
        <w:t xml:space="preserve">　教育におけるコンピュータ使用のあり方を模索</w:t>
      </w:r>
    </w:p>
    <w:p w14:paraId="538D8E05" w14:textId="19B5F09A" w:rsidR="00CC5266" w:rsidRDefault="00CC5266" w:rsidP="00CC5266">
      <w:pPr>
        <w:widowControl/>
        <w:ind w:firstLineChars="100" w:firstLine="210"/>
        <w:rPr>
          <w:szCs w:val="21"/>
        </w:rPr>
      </w:pPr>
      <w:r>
        <w:rPr>
          <w:rFonts w:hint="eastAsia"/>
          <w:szCs w:val="21"/>
        </w:rPr>
        <w:t>第３節</w:t>
      </w:r>
      <w:r w:rsidR="0017300C">
        <w:rPr>
          <w:rFonts w:hint="eastAsia"/>
          <w:szCs w:val="21"/>
        </w:rPr>
        <w:t xml:space="preserve">　協同学習</w:t>
      </w:r>
    </w:p>
    <w:p w14:paraId="176042C9" w14:textId="62EEC633" w:rsidR="00A81CFC" w:rsidRDefault="00A81CFC" w:rsidP="00CC5266">
      <w:pPr>
        <w:widowControl/>
        <w:ind w:firstLineChars="100" w:firstLine="210"/>
        <w:rPr>
          <w:szCs w:val="21"/>
        </w:rPr>
      </w:pPr>
    </w:p>
    <w:p w14:paraId="33D74FD2" w14:textId="6741D632" w:rsidR="00CC5266" w:rsidRPr="001C4445" w:rsidRDefault="00A81CFC" w:rsidP="00CC5266">
      <w:pPr>
        <w:widowControl/>
        <w:rPr>
          <w:szCs w:val="21"/>
        </w:rPr>
      </w:pPr>
      <w:r>
        <w:rPr>
          <w:rFonts w:hint="eastAsia"/>
          <w:szCs w:val="21"/>
        </w:rPr>
        <w:t>終章</w:t>
      </w:r>
    </w:p>
    <w:p w14:paraId="2E935EFE" w14:textId="55172203" w:rsidR="00B674F1" w:rsidRPr="007A7051" w:rsidRDefault="00B674F1">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7E32C6B7" w:rsidR="002A5339" w:rsidRPr="002A5339" w:rsidRDefault="002A5339" w:rsidP="002A5339">
      <w:pPr>
        <w:autoSpaceDE w:val="0"/>
        <w:autoSpaceDN w:val="0"/>
        <w:adjustRightInd w:val="0"/>
        <w:jc w:val="left"/>
        <w:rPr>
          <w:rFonts w:ascii="`’¡Ã˛" w:hAnsi="`’¡Ã˛"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年代から使われるようになり、その後情報技術の開発とともに現在に⾄るまでその勢いを増してきたが、教育⼯学の歴史について研究したものは少ない。そこで</w:t>
      </w:r>
      <w:r>
        <w:rPr>
          <w:rFonts w:ascii="`’¡Ã˛" w:hAnsi="`’¡Ã˛" w:cs="`’¡Ã˛" w:hint="eastAsia"/>
          <w:kern w:val="0"/>
          <w:szCs w:val="21"/>
        </w:rPr>
        <w:t>本論文</w:t>
      </w:r>
      <w:r>
        <w:rPr>
          <w:rFonts w:ascii="`’¡Ã˛" w:hAnsi="`’¡Ã˛" w:cs="`’¡Ã˛"/>
          <w:kern w:val="0"/>
          <w:szCs w:val="21"/>
        </w:rPr>
        <w:t>では、もともと⼯学部出⾝で教育⼯学を推進していたが、学びとはどうあるべきか、わかるとは何かということを研究したことを経て、教育⼯学の進展を反省的に捉え、コンピュータ教育の負の側⾯を指摘するに⾄った佐伯胖の思想に着⽬する。佐伯の</w:t>
      </w:r>
      <w:r>
        <w:rPr>
          <w:rFonts w:ascii="`’¡Ã˛" w:hAnsi="`’¡Ã˛" w:cs="`’¡Ã˛" w:hint="eastAsia"/>
          <w:kern w:val="0"/>
          <w:szCs w:val="21"/>
        </w:rPr>
        <w:t>学びそのものやコンピュータ教育に対する</w:t>
      </w:r>
      <w:r>
        <w:rPr>
          <w:rFonts w:ascii="`’¡Ã˛" w:hAnsi="`’¡Ã˛" w:cs="`’¡Ã˛"/>
          <w:kern w:val="0"/>
          <w:szCs w:val="21"/>
        </w:rPr>
        <w:t>意⾒の変遷</w:t>
      </w:r>
      <w:r w:rsidR="008A7C90">
        <w:rPr>
          <w:rFonts w:ascii="`’¡Ã˛" w:hAnsi="`’¡Ã˛" w:cs="`’¡Ã˛" w:hint="eastAsia"/>
          <w:kern w:val="0"/>
          <w:szCs w:val="21"/>
        </w:rPr>
        <w:t>を</w:t>
      </w:r>
      <w:r>
        <w:rPr>
          <w:rFonts w:ascii="`’¡Ã˛" w:hAnsi="`’¡Ã˛" w:cs="`’¡Ã˛"/>
          <w:kern w:val="0"/>
          <w:szCs w:val="21"/>
        </w:rPr>
        <w:t>明らかにするとともに、現在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教育にも何か提⾔を与えられないか検討したい。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2C2FA6F2" w:rsidR="00CC5266" w:rsidRDefault="00533896" w:rsidP="00B674F1">
      <w:pPr>
        <w:rPr>
          <w:szCs w:val="21"/>
        </w:rPr>
      </w:pPr>
      <w:r>
        <w:rPr>
          <w:rFonts w:hint="eastAsia"/>
          <w:szCs w:val="21"/>
        </w:rPr>
        <w:t xml:space="preserve">　教育工学の歴史</w:t>
      </w:r>
      <w:r w:rsidR="007A7051">
        <w:rPr>
          <w:rFonts w:hint="eastAsia"/>
          <w:szCs w:val="21"/>
        </w:rPr>
        <w:t>に関する研究</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観に照らし合わせて教育工学の歴史を研究するなど、客観的に事実を捉えるに留まっており、学びとはどうあるべきかという考察とともに反省的に教育工学の歴史を語ったものはない。</w:t>
      </w:r>
    </w:p>
    <w:p w14:paraId="08EEE656" w14:textId="224F0CB7"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w:t>
      </w:r>
      <w:r w:rsidR="009B492D">
        <w:rPr>
          <w:rStyle w:val="ab"/>
          <w:szCs w:val="21"/>
        </w:rPr>
        <w:footnoteReference w:id="1"/>
      </w:r>
      <w:r w:rsidR="009B492D">
        <w:rPr>
          <w:rFonts w:hint="eastAsia"/>
          <w:szCs w:val="21"/>
        </w:rPr>
        <w:t>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DA435D">
        <w:rPr>
          <w:rFonts w:hint="eastAsia"/>
          <w:szCs w:val="21"/>
        </w:rPr>
        <w:t>また、</w:t>
      </w:r>
      <w:r w:rsidR="00BA7139">
        <w:rPr>
          <w:rFonts w:hint="eastAsia"/>
          <w:szCs w:val="21"/>
        </w:rPr>
        <w:t>山西・赤堀・大久保</w:t>
      </w:r>
      <w:r w:rsidR="00D07139">
        <w:rPr>
          <w:rStyle w:val="ab"/>
          <w:szCs w:val="21"/>
        </w:rPr>
        <w:footnoteReference w:id="2"/>
      </w:r>
      <w:r w:rsidR="00BA7139">
        <w:rPr>
          <w:rFonts w:hint="eastAsia"/>
          <w:szCs w:val="21"/>
        </w:rPr>
        <w:t>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16ACF5FD" w:rsidR="0094160A" w:rsidRPr="00BA7139" w:rsidRDefault="0094160A" w:rsidP="00B674F1">
      <w:pPr>
        <w:rPr>
          <w:szCs w:val="21"/>
        </w:rPr>
      </w:pPr>
      <w:r>
        <w:rPr>
          <w:rFonts w:hint="eastAsia"/>
          <w:szCs w:val="21"/>
        </w:rPr>
        <w:t xml:space="preserve">　そこで、</w:t>
      </w:r>
      <w:r>
        <w:rPr>
          <w:szCs w:val="21"/>
        </w:rPr>
        <w:t>CAI</w:t>
      </w:r>
      <w:r>
        <w:rPr>
          <w:rFonts w:hint="eastAsia"/>
          <w:szCs w:val="21"/>
        </w:rPr>
        <w:t>を肯定していたがその批判に転じた佐伯胖の思想の変遷を追うことで、</w:t>
      </w:r>
      <w:r w:rsidR="006F76E9">
        <w:rPr>
          <w:rFonts w:hint="eastAsia"/>
          <w:szCs w:val="21"/>
        </w:rPr>
        <w:t>反</w:t>
      </w:r>
      <w:r w:rsidR="006F76E9">
        <w:rPr>
          <w:rFonts w:hint="eastAsia"/>
          <w:szCs w:val="21"/>
        </w:rPr>
        <w:lastRenderedPageBreak/>
        <w:t>省的に</w:t>
      </w:r>
      <w:r>
        <w:rPr>
          <w:rFonts w:hint="eastAsia"/>
          <w:szCs w:val="21"/>
        </w:rPr>
        <w:t>教育工学の歴史を捉え直したい。</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7FFBF951" w14:textId="77777777"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315F0F3F" w:rsidR="00CC5266" w:rsidRPr="00EC526D" w:rsidRDefault="00CC5266" w:rsidP="00EC526D">
      <w:pPr>
        <w:pStyle w:val="2"/>
        <w:rPr>
          <w:rFonts w:ascii="ヒラギノ角ゴシック W4" w:eastAsia="ヒラギノ角ゴシック W4" w:hAnsi="ヒラギノ角ゴシック W4" w:hint="eastAsia"/>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r w:rsidR="008A7C90" w:rsidRPr="008A7C90">
        <w:rPr>
          <w:rFonts w:asciiTheme="minorEastAsia" w:eastAsiaTheme="minorEastAsia" w:hAnsiTheme="minorEastAsia" w:cs="ＭＳ 明朝" w:hint="eastAsia"/>
          <w:color w:val="FF0000"/>
        </w:rPr>
        <w:t>本文を書いてから書き加えたい</w:t>
      </w:r>
    </w:p>
    <w:p w14:paraId="1CA1F29F" w14:textId="38F350ED"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を受け、佐伯胖が学ぶとはどういうことだと捉えていたのか、また教育においてコンピュータがどのような役割を担うべきだと考えていたのかに関する変遷を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2B4931E3" w14:textId="03514C80" w:rsidR="00A81CFC" w:rsidRPr="00A81CFC" w:rsidRDefault="001C4445" w:rsidP="00A81CFC">
      <w:pPr>
        <w:autoSpaceDE w:val="0"/>
        <w:autoSpaceDN w:val="0"/>
        <w:adjustRightInd w:val="0"/>
        <w:jc w:val="left"/>
        <w:rPr>
          <w:rFonts w:asciiTheme="minorEastAsia" w:hAnsiTheme="minorEastAsia" w:cs="`’¡Ã˛"/>
          <w:color w:val="000000" w:themeColor="text1"/>
          <w:kern w:val="0"/>
          <w:szCs w:val="21"/>
        </w:rPr>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 年から1976 年までのCAI システムに賛成している時代について検討する。この時代では佐伯⾃らコンピュータを⽤いて個別指導を実現するCAI システムの</w:t>
      </w:r>
      <w:r w:rsidR="00A81CFC" w:rsidRPr="00A81CFC">
        <w:rPr>
          <w:rFonts w:asciiTheme="minorEastAsia" w:hAnsiTheme="minorEastAsia" w:cs="`’¡Ã˛"/>
          <w:color w:val="000000" w:themeColor="text1"/>
          <w:kern w:val="0"/>
          <w:szCs w:val="21"/>
        </w:rPr>
        <w:lastRenderedPageBreak/>
        <w:t>開発にも取り組み、コンピュータを教育に積極的に使⽤する姿勢を取っている。「わかる」とはということに関しては、「おぼえる」と対⽐しつつ議論している。</w:t>
      </w:r>
    </w:p>
    <w:p w14:paraId="157DE43E" w14:textId="2C277B1E" w:rsidR="00A81CFC" w:rsidRPr="00A81CFC"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第⼆章では、1977 年から1982 年までの認知科学を基盤とし「わかる」とはということを考察したうえで、CAI 批判に転じた時代について検討する。</w:t>
      </w:r>
    </w:p>
    <w:p w14:paraId="6047E5B8" w14:textId="1A80DED6" w:rsidR="001C4445"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 年から1992 年までの「わかる」とは⽂化的実践への参加であるということを提起し、教育におけるコンピュータ使⽤の負の⾯を指摘しつつも、そのあり⽅を模索した時代について検討する。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69013E0C" w:rsidR="00C443F1" w:rsidRDefault="00C443F1" w:rsidP="00C443F1">
      <w:pPr>
        <w:rPr>
          <w:rFonts w:ascii="ヒラギノ角ゴシック W4" w:eastAsia="ヒラギノ角ゴシック W4" w:hAnsi="ヒラギノ角ゴシック W4"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第１節　コンピュータ教育の実態</w:t>
      </w:r>
      <w:r w:rsidR="00B93EF4">
        <w:rPr>
          <w:rFonts w:ascii="ヒラギノ角ゴシック W4" w:eastAsia="ヒラギノ角ゴシック W4" w:hAnsi="ヒラギノ角ゴシック W4" w:cs="Times New Roman (見出しのフォント - コンプ" w:hint="eastAsia"/>
          <w:szCs w:val="21"/>
        </w:rPr>
        <w:t xml:space="preserve">　</w:t>
      </w:r>
      <w:r w:rsidR="008A7C90" w:rsidRPr="008A7C90">
        <w:rPr>
          <w:rFonts w:asciiTheme="minorEastAsia" w:hAnsiTheme="minorEastAsia" w:cs="Times New Roman (見出しのフォント - コンプ" w:hint="eastAsia"/>
          <w:color w:val="FF0000"/>
          <w:szCs w:val="21"/>
        </w:rPr>
        <w:t>もう少し書き加えたい</w:t>
      </w:r>
    </w:p>
    <w:p w14:paraId="22B967FE" w14:textId="5C27BAB1"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年において、教育においてどのようにコンピュータが捉えられ使用されていたのかについて見ていきたい。</w:t>
      </w:r>
    </w:p>
    <w:p w14:paraId="1FE0C718" w14:textId="0FF953D0" w:rsidR="00116860" w:rsidRDefault="00116860" w:rsidP="009E02B3">
      <w:r>
        <w:rPr>
          <w:rFonts w:hint="eastAsia"/>
        </w:rPr>
        <w:t xml:space="preserve">　1</w:t>
      </w:r>
      <w:r>
        <w:t>971</w:t>
      </w:r>
      <w:r>
        <w:rPr>
          <w:rFonts w:hint="eastAsia"/>
        </w:rPr>
        <w:t>年に</w:t>
      </w:r>
      <w:r w:rsidR="005861B0">
        <w:rPr>
          <w:rFonts w:hint="eastAsia"/>
        </w:rPr>
        <w:t>教育工学関連の単行本が複数出版され、日本教育工学協会も設立されており、文部省からも</w:t>
      </w:r>
      <w:r w:rsidR="009E02B3">
        <w:rPr>
          <w:rFonts w:hint="eastAsia"/>
        </w:rPr>
        <w:t>教育工学研究に対して助成が行われるようになっていった。</w:t>
      </w:r>
      <w:r w:rsidR="005861B0">
        <w:rPr>
          <w:rFonts w:hint="eastAsia"/>
        </w:rPr>
        <w:t>その頃の教育工学界においては、教育におけるシステム的研究の立場に立ち、マルチメディアやティーチング・マシン、</w:t>
      </w:r>
      <w:r w:rsidR="005861B0">
        <w:t>CAI</w:t>
      </w:r>
      <w:r w:rsidR="005861B0">
        <w:rPr>
          <w:rFonts w:hint="eastAsia"/>
        </w:rPr>
        <w:t>（</w:t>
      </w:r>
      <w:r w:rsidR="005861B0">
        <w:t>Computer Assisted Instruction</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はあらかじめ問題と答えが用意されたシステムにおいて、生徒の回答から適切な指示を出し、理解度に合わせた問題を選択できるものであり、個別学習を可能にするものである。</w:t>
      </w:r>
      <w:r w:rsidR="00B93EF4">
        <w:rPr>
          <w:rFonts w:hint="eastAsia"/>
        </w:rPr>
        <w:t>この頃</w:t>
      </w:r>
      <w:r w:rsidR="000967B6">
        <w:rPr>
          <w:rFonts w:hint="eastAsia"/>
        </w:rPr>
        <w:t>教育現場においては、</w:t>
      </w:r>
      <w:r w:rsidR="00726F20">
        <w:rPr>
          <w:rFonts w:hint="eastAsia"/>
        </w:rPr>
        <w:t>情報機器を用いた教育といえば視聴覚機器を用いた映像による授業であったが、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Style w:val="ab"/>
        </w:rPr>
        <w:footnoteReference w:id="3"/>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9E02B3">
        <w:rPr>
          <w:rFonts w:hint="eastAsia"/>
        </w:rPr>
        <w:t>。</w:t>
      </w:r>
    </w:p>
    <w:p w14:paraId="1DB734CF" w14:textId="09867A64" w:rsidR="00C443F1" w:rsidRPr="00C443F1" w:rsidRDefault="00862DD4" w:rsidP="00C443F1">
      <w:r>
        <w:rPr>
          <w:rFonts w:hint="eastAsia"/>
        </w:rPr>
        <w:t xml:space="preserve">　</w:t>
      </w:r>
    </w:p>
    <w:p w14:paraId="220C264E" w14:textId="52242A2F"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r w:rsidR="009D75D9">
        <w:rPr>
          <w:rFonts w:ascii="ヒラギノ角ゴシック W4" w:eastAsia="ヒラギノ角ゴシック W4" w:hAnsi="ヒラギノ角ゴシック W4" w:cs="ＭＳ 明朝" w:hint="eastAsia"/>
        </w:rPr>
        <w:t xml:space="preserve">　</w:t>
      </w:r>
      <w:r w:rsidR="009D75D9" w:rsidRPr="00B75B4A">
        <w:rPr>
          <w:rFonts w:hint="eastAsia"/>
          <w:color w:val="FF0000"/>
          <w:sz w:val="17"/>
          <w:szCs w:val="17"/>
        </w:rPr>
        <w:t>一貫性・実在感の重要視、</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おぼえる</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と</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わかる</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の対比→おぼえる段階の必要性</w:t>
      </w:r>
      <w:r w:rsidR="009D75D9" w:rsidRPr="00B75B4A">
        <w:rPr>
          <w:rFonts w:ascii="ＭＳ 明朝" w:eastAsia="ＭＳ 明朝" w:hAnsi="ＭＳ 明朝" w:cs="ＭＳ 明朝" w:hint="eastAsia"/>
          <w:color w:val="FF0000"/>
          <w:sz w:val="17"/>
          <w:szCs w:val="17"/>
        </w:rPr>
        <w:t>も肯定</w:t>
      </w:r>
    </w:p>
    <w:p w14:paraId="08870356" w14:textId="3D9D15FD" w:rsidR="00FE0BAA" w:rsidRDefault="00FE0BAA" w:rsidP="00FE0BAA">
      <w:r>
        <w:rPr>
          <w:rFonts w:hint="eastAsia"/>
        </w:rPr>
        <w:t xml:space="preserve">　本節では、認知心理学を学び始めた佐伯が、どのような学び観を形成していったのかを見ていきたい。</w:t>
      </w:r>
    </w:p>
    <w:p w14:paraId="2237F0D6" w14:textId="7481A3BE"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教育に関して雑誌に寄稿して以来、知識の一貫性や</w:t>
      </w:r>
      <w:r w:rsidR="00B91262">
        <w:rPr>
          <w:rFonts w:hint="eastAsia"/>
        </w:rPr>
        <w:t>真理</w:t>
      </w:r>
      <w:r w:rsidR="00CA3716">
        <w:rPr>
          <w:rFonts w:hint="eastAsia"/>
        </w:rPr>
        <w:t>の実在感を重要視してい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w:t>
      </w:r>
      <w:r>
        <w:rPr>
          <w:rFonts w:hint="eastAsia"/>
        </w:rPr>
        <w:lastRenderedPageBreak/>
        <w:t>とに関心を向けているかということで、これに対する関心が失われたら、その時点でその子供は知識のゲームからそれていく。</w:t>
      </w:r>
      <w:r>
        <w:rPr>
          <w:rStyle w:val="ab"/>
        </w:rPr>
        <w:footnoteReference w:id="4"/>
      </w:r>
    </w:p>
    <w:p w14:paraId="3ACED30C" w14:textId="63B6A648" w:rsidR="008B4670" w:rsidRDefault="008B4670" w:rsidP="00A25845"/>
    <w:p w14:paraId="7115F73D" w14:textId="7992393A" w:rsidR="00A25845" w:rsidRDefault="00157C66" w:rsidP="00A25845">
      <w:r>
        <w:rPr>
          <w:rFonts w:hint="eastAsia"/>
        </w:rPr>
        <w:t>また、</w:t>
      </w:r>
      <w:r w:rsidR="000C5AAE">
        <w:rPr>
          <w:rFonts w:hint="eastAsia"/>
        </w:rPr>
        <w:t>真理の実在感の重要性については</w:t>
      </w:r>
      <w:r>
        <w:rPr>
          <w:rFonts w:hint="eastAsia"/>
        </w:rPr>
        <w:t>、真理はそれを信じる人の心の中にあると日本人が考えがちな状況を批判し、真理とは「主観を離れて、そこにあるものとしての真実性」</w:t>
      </w:r>
      <w:r>
        <w:rPr>
          <w:rStyle w:val="ab"/>
        </w:rPr>
        <w:footnoteReference w:id="5"/>
      </w:r>
      <w:r>
        <w:rPr>
          <w:rFonts w:hint="eastAsia"/>
        </w:rPr>
        <w:t>が必要であるとしている。</w:t>
      </w:r>
    </w:p>
    <w:p w14:paraId="202EBF0E" w14:textId="455CDF5F" w:rsidR="00DD68BB" w:rsidRDefault="00036E7A" w:rsidP="00FE0BAA">
      <w:r>
        <w:rPr>
          <w:rFonts w:hint="eastAsia"/>
        </w:rPr>
        <w:t xml:space="preserve"> </w:t>
      </w:r>
      <w:r>
        <w:t xml:space="preserve"> </w:t>
      </w:r>
      <w:r>
        <w:rPr>
          <w:rFonts w:hint="eastAsia"/>
        </w:rPr>
        <w:t>さらに、佐伯はこのころ「おぼえる」と「わかる」を対比させて、「わかる」とはということを説明している。佐伯の</w:t>
      </w:r>
      <w:r w:rsidR="00176C35">
        <w:rPr>
          <w:rFonts w:hint="eastAsia"/>
        </w:rPr>
        <w:t>主著である『学びの構造』において、</w:t>
      </w:r>
      <w:r>
        <w:rPr>
          <w:rFonts w:hint="eastAsia"/>
        </w:rPr>
        <w:t>心理学をもとにそのことについて述べている。この本ではまず</w:t>
      </w:r>
      <w:r w:rsidR="00CA3716">
        <w:rPr>
          <w:rFonts w:hint="eastAsia"/>
        </w:rPr>
        <w:t>、前提として心理学において</w:t>
      </w:r>
      <w:r w:rsidR="00E631C8">
        <w:rPr>
          <w:rFonts w:hint="eastAsia"/>
        </w:rPr>
        <w:t>長期記憶</w:t>
      </w:r>
      <w:r>
        <w:rPr>
          <w:rFonts w:hint="eastAsia"/>
        </w:rPr>
        <w:t>は</w:t>
      </w:r>
      <w:r w:rsidR="00E631C8">
        <w:rPr>
          <w:rFonts w:hint="eastAsia"/>
        </w:rPr>
        <w:t>エピソード</w:t>
      </w:r>
      <w:r>
        <w:rPr>
          <w:rFonts w:hint="eastAsia"/>
        </w:rPr>
        <w:t>的</w:t>
      </w:r>
      <w:r w:rsidR="00E631C8">
        <w:rPr>
          <w:rFonts w:hint="eastAsia"/>
        </w:rPr>
        <w:t>記憶と意味論的記憶の二つに分け</w:t>
      </w:r>
      <w:r>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DD68BB">
        <w:rPr>
          <w:rFonts w:hint="eastAsia"/>
        </w:rPr>
        <w:t>そ</w:t>
      </w:r>
      <w:r>
        <w:rPr>
          <w:rFonts w:hint="eastAsia"/>
        </w:rPr>
        <w:t>のこと</w:t>
      </w:r>
      <w:r w:rsidR="00CA3716">
        <w:rPr>
          <w:rFonts w:hint="eastAsia"/>
        </w:rPr>
        <w:t>を踏まえ</w:t>
      </w:r>
      <w:r>
        <w:rPr>
          <w:rFonts w:hint="eastAsia"/>
        </w:rPr>
        <w:t>、</w:t>
      </w:r>
      <w:r w:rsidR="00DD68BB">
        <w:rPr>
          <w:rFonts w:hint="eastAsia"/>
        </w:rPr>
        <w:t>「おぼえる」とは一時的に短期記憶に貯蔵することと、エピソード的記憶に情報を入れる二つの場合があると</w:t>
      </w:r>
      <w:r>
        <w:rPr>
          <w:rFonts w:hint="eastAsia"/>
        </w:rPr>
        <w:t>説明する</w:t>
      </w:r>
      <w:r w:rsidR="00DD68BB">
        <w:rPr>
          <w:rFonts w:hint="eastAsia"/>
        </w:rPr>
        <w:t>。後者に</w:t>
      </w:r>
      <w:r w:rsidR="008336A3">
        <w:rPr>
          <w:rFonts w:hint="eastAsia"/>
        </w:rPr>
        <w:t>関して、</w:t>
      </w:r>
      <w:r>
        <w:rPr>
          <w:rFonts w:hint="eastAsia"/>
        </w:rPr>
        <w:t>佐伯は</w:t>
      </w:r>
      <w:r w:rsidR="008336A3">
        <w:rPr>
          <w:rFonts w:hint="eastAsia"/>
        </w:rPr>
        <w:t>ひもに例えて以下のように述べている。</w:t>
      </w:r>
    </w:p>
    <w:p w14:paraId="2C8353D0" w14:textId="77777777" w:rsidR="008336A3" w:rsidRDefault="008336A3" w:rsidP="00FE0BAA"/>
    <w:p w14:paraId="10D5B7BC" w14:textId="378D03B8" w:rsidR="008336A3" w:rsidRPr="00087193" w:rsidRDefault="008336A3" w:rsidP="008336A3">
      <w:pPr>
        <w:ind w:leftChars="100" w:left="210"/>
      </w:pPr>
      <w:r>
        <w:rPr>
          <w:rFonts w:hint="eastAsia"/>
        </w:rPr>
        <w:t>この場合、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Pr>
          <w:rStyle w:val="ab"/>
        </w:rPr>
        <w:footnoteReference w:id="6"/>
      </w:r>
    </w:p>
    <w:p w14:paraId="1E36FC53" w14:textId="67A8BB52" w:rsidR="004F5877" w:rsidRPr="004F5877" w:rsidRDefault="004F5877" w:rsidP="004F5877">
      <w:pPr>
        <w:autoSpaceDE w:val="0"/>
        <w:autoSpaceDN w:val="0"/>
        <w:adjustRightInd w:val="0"/>
        <w:jc w:val="left"/>
        <w:rPr>
          <w:rFonts w:asciiTheme="minorEastAsia" w:hAnsiTheme="minorEastAsia" w:cs="AppleSystemUIFont"/>
          <w:kern w:val="0"/>
          <w:szCs w:val="21"/>
        </w:rPr>
      </w:pPr>
    </w:p>
    <w:p w14:paraId="23FF702B" w14:textId="24887CE4"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「わかる」ということを本来の「わかる」ではなく「おぼえる」に近い形で理解している状況を批判し、「わかる」ということについて</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3589469D" w14:textId="4D68F11A" w:rsidR="00712DCB" w:rsidRDefault="00712DCB" w:rsidP="00454C47">
      <w:pPr>
        <w:ind w:leftChars="100" w:left="210"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p>
    <w:p w14:paraId="4DF63FB2" w14:textId="3F48F7C6" w:rsidR="00454C47" w:rsidRDefault="00454C47" w:rsidP="00454C47">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 xml:space="preserve">　「わかる」とは、つまり、このことが「わかる」ことであろう。</w:t>
      </w:r>
      <w:r>
        <w:rPr>
          <w:rStyle w:val="ab"/>
          <w:rFonts w:asciiTheme="minorEastAsia" w:hAnsiTheme="minorEastAsia"/>
          <w:color w:val="000000" w:themeColor="text1"/>
          <w:szCs w:val="21"/>
        </w:rPr>
        <w:footnoteReference w:id="7"/>
      </w:r>
    </w:p>
    <w:p w14:paraId="54332002" w14:textId="0D3D4E3C" w:rsidR="008336A3" w:rsidRDefault="008336A3" w:rsidP="004F5877">
      <w:pPr>
        <w:rPr>
          <w:rFonts w:asciiTheme="minorEastAsia" w:hAnsiTheme="minorEastAsia"/>
          <w:color w:val="000000" w:themeColor="text1"/>
          <w:szCs w:val="21"/>
        </w:rPr>
      </w:pPr>
    </w:p>
    <w:p w14:paraId="03EF040E" w14:textId="2439CC0A" w:rsidR="00454C47" w:rsidRDefault="00454C47" w:rsidP="00454C47">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その一方で、「おぼえる」段階がなければ「わかる」段階に行くことができない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036E7A">
        <w:rPr>
          <w:rFonts w:asciiTheme="minorEastAsia" w:hAnsiTheme="minorEastAsia" w:hint="eastAsia"/>
          <w:color w:val="000000" w:themeColor="text1"/>
          <w:szCs w:val="21"/>
        </w:rPr>
        <w:t>つまり、学びにおいて「おぼえる」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として行われている日本の教育現場を危機的に捉え、</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とを意識する必要があることを</w:t>
      </w:r>
      <w:r w:rsidR="00036E7A">
        <w:rPr>
          <w:rFonts w:asciiTheme="minorEastAsia" w:hAnsiTheme="minorEastAsia" w:hint="eastAsia"/>
          <w:color w:val="000000" w:themeColor="text1"/>
          <w:szCs w:val="21"/>
        </w:rPr>
        <w:t>主張しているのだ。そして、</w:t>
      </w:r>
      <w:r w:rsidR="00DE14B8">
        <w:rPr>
          <w:rFonts w:asciiTheme="minorEastAsia" w:hAnsiTheme="minorEastAsia" w:hint="eastAsia"/>
          <w:color w:val="000000" w:themeColor="text1"/>
          <w:szCs w:val="21"/>
        </w:rPr>
        <w:t>佐伯が重要視していた</w:t>
      </w:r>
      <w:r w:rsidR="00036E7A">
        <w:rPr>
          <w:rFonts w:asciiTheme="minorEastAsia" w:hAnsiTheme="minorEastAsia" w:hint="eastAsia"/>
          <w:color w:val="000000" w:themeColor="text1"/>
          <w:szCs w:val="21"/>
        </w:rPr>
        <w:t>知識の一貫性や真理の実在感というものも、この「わかる」感覚</w:t>
      </w:r>
      <w:r w:rsidR="00927F6C">
        <w:rPr>
          <w:rFonts w:asciiTheme="minorEastAsia" w:hAnsiTheme="minorEastAsia" w:hint="eastAsia"/>
          <w:color w:val="000000" w:themeColor="text1"/>
          <w:szCs w:val="21"/>
        </w:rPr>
        <w:t>を子どもが得る</w:t>
      </w:r>
      <w:r w:rsidR="00036E7A">
        <w:rPr>
          <w:rFonts w:asciiTheme="minorEastAsia" w:hAnsiTheme="minorEastAsia" w:hint="eastAsia"/>
          <w:color w:val="000000" w:themeColor="text1"/>
          <w:szCs w:val="21"/>
        </w:rPr>
        <w:t>ために必要なことである</w:t>
      </w:r>
      <w:r w:rsidR="00DE14B8">
        <w:rPr>
          <w:rFonts w:asciiTheme="minorEastAsia" w:hAnsiTheme="minorEastAsia" w:hint="eastAsia"/>
          <w:color w:val="000000" w:themeColor="text1"/>
          <w:szCs w:val="21"/>
        </w:rPr>
        <w:t>といえよう</w:t>
      </w:r>
      <w:r w:rsidR="00036E7A">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49C60C02"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本節では、前節で説明した学び観を築いた佐伯が、教育におけるコンピュータの使用に対してどのように考えていったのかを明らかにしたい。</w:t>
      </w:r>
    </w:p>
    <w:p w14:paraId="770749AA" w14:textId="435E9742"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まず、</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システムを肯定するということは個別学習を肯定的に認めるということになるが、個別学習について佐伯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『児童心理』の「わかるはずのない授業」の中で、子どもの能力の個人差に応じて学習のテンポを変える必要があるため個別指導を行うべきだという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t>亮蔵</w:t>
      </w:r>
      <w:r w:rsidR="000D19BD">
        <w:rPr>
          <w:rFonts w:asciiTheme="minorEastAsia" w:hAnsiTheme="minorEastAsia" w:cs="`’¡Ã˛" w:hint="eastAsia"/>
          <w:color w:val="000000" w:themeColor="text1"/>
          <w:kern w:val="0"/>
          <w:szCs w:val="21"/>
        </w:rPr>
        <w:t>による</w:t>
      </w:r>
      <w:r w:rsidR="000D19BD">
        <w:rPr>
          <w:rFonts w:asciiTheme="minorEastAsia" w:hAnsiTheme="minorEastAsia" w:cs="`’¡Ã˛" w:hint="eastAsia"/>
          <w:color w:val="000000" w:themeColor="text1"/>
          <w:kern w:val="0"/>
          <w:szCs w:val="21"/>
        </w:rPr>
        <w:t>意見に、佐伯が概ね賛同していた</w:t>
      </w:r>
      <w:r w:rsidR="008A7C90">
        <w:rPr>
          <w:rStyle w:val="ab"/>
          <w:rFonts w:asciiTheme="minorEastAsia" w:hAnsiTheme="minorEastAsia" w:cs="`’¡Ã˛"/>
          <w:color w:val="000000" w:themeColor="text1"/>
          <w:kern w:val="0"/>
          <w:szCs w:val="21"/>
        </w:rPr>
        <w:footnoteReference w:id="8"/>
      </w:r>
      <w:r w:rsidR="000D19BD">
        <w:rPr>
          <w:rFonts w:asciiTheme="minorEastAsia" w:hAnsiTheme="minorEastAsia" w:cs="`’¡Ã˛" w:hint="eastAsia"/>
          <w:color w:val="000000" w:themeColor="text1"/>
          <w:kern w:val="0"/>
          <w:szCs w:val="21"/>
        </w:rPr>
        <w:t>ことから、個別学習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p>
    <w:p w14:paraId="4DC778C0" w14:textId="356A201C"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システムに対する佐伯の考えを見ていく。</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hint="eastAsia"/>
          <w:color w:val="000000" w:themeColor="text1"/>
          <w:kern w:val="0"/>
          <w:szCs w:val="21"/>
        </w:rPr>
      </w:pPr>
    </w:p>
    <w:p w14:paraId="223012CE" w14:textId="3E68C62E"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教育のプロセスを、</w:t>
      </w:r>
      <w:r>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機械にだってわかるぐらいに</w:t>
      </w:r>
      <w:r>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明確にしよう、というのが世に言う</w:t>
      </w:r>
      <w:r>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教育工学</w:t>
      </w:r>
      <w:r>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の本来目ざしていることであり、そのこと自体はきわめて</w:t>
      </w:r>
      <w:r>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教育的</w:t>
      </w:r>
      <w:r>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なことでもあり、決して</w:t>
      </w:r>
      <w:r>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非人間的</w:t>
      </w:r>
      <w:r>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なことではないであろう</w:t>
      </w:r>
      <w:r>
        <w:rPr>
          <w:rFonts w:asciiTheme="minorEastAsia" w:hAnsiTheme="minorEastAsia" w:cs="`’¡Ã˛" w:hint="eastAsia"/>
          <w:color w:val="000000" w:themeColor="text1"/>
          <w:kern w:val="0"/>
          <w:szCs w:val="21"/>
        </w:rPr>
        <w:t>。</w:t>
      </w:r>
      <w:r>
        <w:rPr>
          <w:rStyle w:val="ab"/>
          <w:rFonts w:asciiTheme="minorEastAsia" w:hAnsiTheme="minorEastAsia" w:cs="`’¡Ã˛"/>
          <w:color w:val="000000" w:themeColor="text1"/>
          <w:kern w:val="0"/>
          <w:szCs w:val="21"/>
        </w:rPr>
        <w:footnoteReference w:id="9"/>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133CFA1B"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9E52BC">
        <w:rPr>
          <w:rFonts w:asciiTheme="minorEastAsia" w:hAnsiTheme="minorEastAsia" w:cs="`’¡Ã˛" w:hint="eastAsia"/>
          <w:color w:val="000000" w:themeColor="text1"/>
          <w:kern w:val="0"/>
          <w:szCs w:val="21"/>
        </w:rPr>
        <w:t>このように教育工学は本来非人間的なものではないとしながらも、</w:t>
      </w:r>
      <w:r w:rsidR="009E52BC">
        <w:rPr>
          <w:rFonts w:asciiTheme="minorEastAsia" w:hAnsiTheme="minorEastAsia" w:cs="`’¡Ã˛" w:hint="eastAsia"/>
          <w:color w:val="000000" w:themeColor="text1"/>
          <w:kern w:val="0"/>
          <w:szCs w:val="21"/>
        </w:rPr>
        <w:t>機械的な原理が固定化され、常に同じ発想・プロセスに閉じてしまった</w:t>
      </w:r>
      <w:r w:rsidR="009E52BC">
        <w:rPr>
          <w:rFonts w:asciiTheme="minorEastAsia" w:hAnsiTheme="minorEastAsia" w:cs="`’¡Ã˛" w:hint="eastAsia"/>
          <w:color w:val="000000" w:themeColor="text1"/>
          <w:kern w:val="0"/>
          <w:szCs w:val="21"/>
        </w:rPr>
        <w:t>場合は、</w:t>
      </w:r>
      <w:r w:rsidR="009E52BC">
        <w:rPr>
          <w:rFonts w:asciiTheme="minorEastAsia" w:hAnsiTheme="minorEastAsia" w:cs="`’¡Ã˛" w:hint="eastAsia"/>
          <w:color w:val="000000" w:themeColor="text1"/>
          <w:kern w:val="0"/>
          <w:szCs w:val="21"/>
        </w:rPr>
        <w:t>その工学を進めている人間が非人間化・非道徳化してしまっている</w:t>
      </w:r>
      <w:r w:rsidR="009E52BC">
        <w:rPr>
          <w:rFonts w:asciiTheme="minorEastAsia" w:hAnsiTheme="minorEastAsia" w:cs="`’¡Ã˛" w:hint="eastAsia"/>
          <w:color w:val="000000" w:themeColor="text1"/>
          <w:kern w:val="0"/>
          <w:szCs w:val="21"/>
        </w:rPr>
        <w:t>だろうとも指摘して</w:t>
      </w:r>
      <w:r w:rsidR="00B93EF4">
        <w:rPr>
          <w:rFonts w:asciiTheme="minorEastAsia" w:hAnsiTheme="minorEastAsia" w:cs="`’¡Ã˛" w:hint="eastAsia"/>
          <w:color w:val="000000" w:themeColor="text1"/>
          <w:kern w:val="0"/>
          <w:szCs w:val="21"/>
        </w:rPr>
        <w:t>いる。</w:t>
      </w:r>
      <w:r w:rsidR="00B75B4A">
        <w:rPr>
          <w:rFonts w:asciiTheme="minorEastAsia" w:hAnsiTheme="minorEastAsia" w:cs="`’¡Ã˛" w:hint="eastAsia"/>
          <w:color w:val="000000" w:themeColor="text1"/>
          <w:kern w:val="0"/>
          <w:szCs w:val="21"/>
        </w:rPr>
        <w:t>この</w:t>
      </w:r>
      <w:r w:rsidR="00B93EF4">
        <w:rPr>
          <w:rFonts w:asciiTheme="minorEastAsia" w:hAnsiTheme="minorEastAsia" w:cs="`’¡Ã˛" w:hint="eastAsia"/>
          <w:color w:val="000000" w:themeColor="text1"/>
          <w:kern w:val="0"/>
          <w:szCs w:val="21"/>
        </w:rPr>
        <w:t>考え</w:t>
      </w:r>
      <w:r w:rsidR="00B75B4A">
        <w:rPr>
          <w:rFonts w:asciiTheme="minorEastAsia" w:hAnsiTheme="minorEastAsia" w:cs="`’¡Ã˛" w:hint="eastAsia"/>
          <w:color w:val="000000" w:themeColor="text1"/>
          <w:kern w:val="0"/>
          <w:szCs w:val="21"/>
        </w:rPr>
        <w:t>が後の第二章以降の情報化が進む世の中において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008AC5B9" w14:textId="0F7AFF2C" w:rsidR="009E52BC" w:rsidRPr="00EF663F" w:rsidRDefault="004556AC" w:rsidP="001A7810">
      <w:pPr>
        <w:autoSpaceDE w:val="0"/>
        <w:autoSpaceDN w:val="0"/>
        <w:adjustRightInd w:val="0"/>
        <w:ind w:firstLineChars="100" w:firstLine="21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また</w:t>
      </w:r>
      <w:r w:rsidR="001A7810">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Pr>
          <w:rFonts w:asciiTheme="minorEastAsia" w:hAnsiTheme="minorEastAsia" w:cs="`’¡Ã˛" w:hint="eastAsia"/>
          <w:color w:val="000000" w:themeColor="text1"/>
          <w:kern w:val="0"/>
          <w:szCs w:val="21"/>
        </w:rPr>
        <w:t>についても</w:t>
      </w:r>
      <w:r w:rsidR="001A7810">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佐伯はこの三原則のうち、目的行動の系列化つまり</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目標の明確化は絶対に必要な条件であり、教育の目標は学習者の行動のことばで表現されるべきだと指摘する。ここで佐伯はシェフラ―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 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行為やスキルを教える場合は、その教育目標は学習者の行動のことばで表すこと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スキナーがティーチング・マシンを用いて教えていたことであると説明している。またこれは前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で説明した「おぼえる」に対応した学習である</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9E52BC">
        <w:rPr>
          <w:rFonts w:asciiTheme="minorEastAsia" w:hAnsiTheme="minorEastAsia" w:cs="`’¡Ã˛" w:hint="eastAsia"/>
          <w:color w:val="000000" w:themeColor="text1"/>
          <w:kern w:val="0"/>
          <w:szCs w:val="21"/>
        </w:rPr>
        <w:t>一方、命題を教える場合は</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ると佐伯は主張している。そしてこのこと</w:t>
      </w:r>
      <w:r w:rsidR="009E52BC">
        <w:rPr>
          <w:rFonts w:asciiTheme="minorEastAsia" w:hAnsiTheme="minorEastAsia" w:cs="`’¡Ã˛" w:hint="eastAsia"/>
          <w:color w:val="000000" w:themeColor="text1"/>
          <w:kern w:val="0"/>
          <w:szCs w:val="21"/>
        </w:rPr>
        <w:t>を認めていなかったスキナーを</w:t>
      </w:r>
      <w:r w:rsidR="00EF663F">
        <w:rPr>
          <w:rFonts w:asciiTheme="minorEastAsia" w:hAnsiTheme="minorEastAsia" w:cs="`’¡Ã˛" w:hint="eastAsia"/>
          <w:color w:val="000000" w:themeColor="text1"/>
          <w:kern w:val="0"/>
          <w:szCs w:val="21"/>
        </w:rPr>
        <w:t>批判しつつ、「わかっている」という状態の一つのあらわれである「兆候」に注目するべきだと主張する。学習者の行動を一つの兆候として扱い、</w:t>
      </w:r>
      <w:r w:rsidR="001A7810">
        <w:rPr>
          <w:rFonts w:asciiTheme="minorEastAsia" w:hAnsiTheme="minorEastAsia" w:cs="`’¡Ã˛" w:hint="eastAsia"/>
          <w:color w:val="000000" w:themeColor="text1"/>
          <w:kern w:val="0"/>
          <w:szCs w:val="21"/>
        </w:rPr>
        <w:t>目標自体ではなく</w:t>
      </w:r>
      <w:r w:rsidR="00EF663F">
        <w:rPr>
          <w:rFonts w:asciiTheme="minorEastAsia" w:hAnsiTheme="minorEastAsia" w:cs="`’¡Ã˛" w:hint="eastAsia"/>
          <w:color w:val="000000" w:themeColor="text1"/>
          <w:kern w:val="0"/>
          <w:szCs w:val="21"/>
        </w:rPr>
        <w:t>現れるべき</w:t>
      </w:r>
      <w:r w:rsidR="009E52BC">
        <w:rPr>
          <w:rFonts w:asciiTheme="minorEastAsia" w:hAnsiTheme="minorEastAsia" w:cs="`’¡Ã˛" w:hint="eastAsia"/>
          <w:color w:val="000000" w:themeColor="text1"/>
          <w:kern w:val="0"/>
          <w:szCs w:val="21"/>
        </w:rPr>
        <w:t>兆候を行動として明確化・系列化すること</w:t>
      </w:r>
      <w:r w:rsidR="001A7810">
        <w:rPr>
          <w:rFonts w:asciiTheme="minorEastAsia" w:hAnsiTheme="minorEastAsia" w:cs="`’¡Ã˛" w:hint="eastAsia"/>
          <w:color w:val="000000" w:themeColor="text1"/>
          <w:kern w:val="0"/>
          <w:szCs w:val="21"/>
        </w:rPr>
        <w:t>が重要だと提案している。つまり、佐伯は「おぼえる」段階においてはもちろんティーチング・マシンは有効であり、さらに「わかる」段階におい</w:t>
      </w:r>
      <w:r w:rsidR="001A7810">
        <w:rPr>
          <w:rFonts w:asciiTheme="minorEastAsia" w:hAnsiTheme="minorEastAsia" w:cs="`’¡Ã˛" w:hint="eastAsia"/>
          <w:color w:val="000000" w:themeColor="text1"/>
          <w:kern w:val="0"/>
          <w:szCs w:val="21"/>
        </w:rPr>
        <w:lastRenderedPageBreak/>
        <w:t>ても学習者の行動を兆候として捉えることでティーチング・マシンによって学習することが可能なのではないかと主張しているのである。</w:t>
      </w:r>
    </w:p>
    <w:p w14:paraId="73CF5317" w14:textId="2D0FC215" w:rsidR="00245542"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w:t>
      </w:r>
      <w:r w:rsidR="00D94CCE">
        <w:rPr>
          <w:rStyle w:val="ab"/>
          <w:rFonts w:asciiTheme="minorEastAsia" w:hAnsiTheme="minorEastAsia" w:cs="`’¡Ã˛"/>
          <w:color w:val="000000" w:themeColor="text1"/>
          <w:kern w:val="0"/>
          <w:szCs w:val="21"/>
        </w:rPr>
        <w:footnoteReference w:id="10"/>
      </w:r>
      <w:r w:rsidR="00D94CCE">
        <w:rPr>
          <w:rFonts w:asciiTheme="minorEastAsia" w:hAnsiTheme="minorEastAsia" w:cs="`’¡Ã˛" w:hint="eastAsia"/>
          <w:color w:val="000000" w:themeColor="text1"/>
          <w:kern w:val="0"/>
          <w:szCs w:val="21"/>
        </w:rPr>
        <w:t>について見ていく。</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w:t>
      </w:r>
      <w:proofErr w:type="spellStart"/>
      <w:r w:rsidR="00553699">
        <w:rPr>
          <w:rFonts w:asciiTheme="minorEastAsia" w:hAnsiTheme="minorEastAsia" w:cs="`’¡Ã˛" w:hint="eastAsia"/>
          <w:color w:val="000000" w:themeColor="text1"/>
          <w:kern w:val="0"/>
          <w:szCs w:val="21"/>
        </w:rPr>
        <w:t>CAI</w:t>
      </w:r>
      <w:proofErr w:type="spellEnd"/>
      <w:r w:rsidR="00553699">
        <w:rPr>
          <w:rFonts w:asciiTheme="minorEastAsia" w:hAnsiTheme="minorEastAsia" w:cs="`’¡Ã˛" w:hint="eastAsia"/>
          <w:color w:val="000000" w:themeColor="text1"/>
          <w:kern w:val="0"/>
          <w:szCs w:val="21"/>
        </w:rPr>
        <w:t>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与えられ、学習者はそれを参考にしながら自分で次のステップを決めるというものであり、このシステムを用いて学習した方が従来型のものより学習効果が高いことが示されている。CAIシステムに対しては</w:t>
      </w:r>
      <w:r w:rsidR="001A7810">
        <w:rPr>
          <w:rFonts w:asciiTheme="minorEastAsia" w:hAnsiTheme="minorEastAsia" w:cs="`’¡Ã˛" w:hint="eastAsia"/>
          <w:color w:val="000000" w:themeColor="text1"/>
          <w:kern w:val="0"/>
          <w:szCs w:val="21"/>
        </w:rPr>
        <w:t>主体性が失われるのではないかという批判もあるが、佐伯らは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1A7810">
        <w:rPr>
          <w:rFonts w:asciiTheme="minorEastAsia" w:hAnsiTheme="minorEastAsia" w:cs="`’¡Ã˛" w:hint="eastAsia"/>
          <w:color w:val="000000" w:themeColor="text1"/>
          <w:kern w:val="0"/>
          <w:szCs w:val="21"/>
        </w:rPr>
        <w:t>主体性を失わせるものではなく、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しているように感じられる。</w:t>
      </w:r>
      <w:r w:rsidR="000477B7">
        <w:rPr>
          <w:rFonts w:asciiTheme="minorEastAsia" w:hAnsiTheme="minorEastAsia" w:cs="`’¡Ã˛" w:hint="eastAsia"/>
          <w:color w:val="000000" w:themeColor="text1"/>
          <w:kern w:val="0"/>
          <w:szCs w:val="21"/>
        </w:rPr>
        <w:t>またC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を用いた教授コースの自動生成を研究したもの</w:t>
      </w:r>
      <w:r w:rsidR="000477B7">
        <w:rPr>
          <w:rStyle w:val="ab"/>
          <w:rFonts w:asciiTheme="minorEastAsia" w:hAnsiTheme="minorEastAsia" w:cs="`’¡Ã˛"/>
          <w:color w:val="000000" w:themeColor="text1"/>
          <w:kern w:val="0"/>
          <w:szCs w:val="21"/>
        </w:rPr>
        <w:footnoteReference w:id="11"/>
      </w:r>
      <w:r w:rsidR="000477B7">
        <w:rPr>
          <w:rFonts w:asciiTheme="minorEastAsia" w:hAnsiTheme="minorEastAsia" w:cs="`’¡Ã˛" w:hint="eastAsia"/>
          <w:color w:val="000000" w:themeColor="text1"/>
          <w:kern w:val="0"/>
          <w:szCs w:val="21"/>
        </w:rPr>
        <w:t>もある。</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hint="eastAsia"/>
          <w:color w:val="000000" w:themeColor="text1"/>
          <w:kern w:val="0"/>
          <w:szCs w:val="21"/>
        </w:rPr>
      </w:pPr>
    </w:p>
    <w:p w14:paraId="0E3619C7" w14:textId="34DBEAE6" w:rsidR="00927F6C" w:rsidRDefault="00245542" w:rsidP="00245542">
      <w:pPr>
        <w:autoSpaceDE w:val="0"/>
        <w:autoSpaceDN w:val="0"/>
        <w:adjustRightInd w:val="0"/>
        <w:ind w:leftChars="100" w:left="21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5CA0C885" w:rsidR="007646D5" w:rsidRDefault="00245542"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これは学校の先生に対しても呼びかけていることで、ティーチング</w:t>
      </w:r>
      <w:r w:rsidR="00B75B4A">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マシンを利用し、学習のプログラムを作ることで、今まで考えていた教育目標というものがいかに曖昧なものだったかということに気づくだろうと</w:t>
      </w:r>
      <w:r w:rsidR="00B75B4A">
        <w:rPr>
          <w:rFonts w:asciiTheme="minorEastAsia" w:hAnsiTheme="minorEastAsia" w:cs="`’¡Ã˛" w:hint="eastAsia"/>
          <w:color w:val="000000" w:themeColor="text1"/>
          <w:kern w:val="0"/>
          <w:szCs w:val="21"/>
        </w:rPr>
        <w:t>訴えている。</w:t>
      </w:r>
    </w:p>
    <w:p w14:paraId="1F895072" w14:textId="6FB64D9D" w:rsidR="00B75B4A" w:rsidRDefault="00B75B4A" w:rsidP="00FC20A7">
      <w:pPr>
        <w:autoSpaceDE w:val="0"/>
        <w:autoSpaceDN w:val="0"/>
        <w:adjustRightInd w:val="0"/>
        <w:jc w:val="left"/>
        <w:rPr>
          <w:rFonts w:asciiTheme="minorEastAsia" w:hAnsiTheme="minorEastAsia" w:cs="`’¡Ã˛"/>
          <w:color w:val="000000" w:themeColor="text1"/>
          <w:kern w:val="0"/>
          <w:szCs w:val="21"/>
        </w:rPr>
      </w:pPr>
    </w:p>
    <w:p w14:paraId="3FCC7885" w14:textId="77777777" w:rsidR="008A7C90" w:rsidRDefault="008A7C90" w:rsidP="00FC20A7">
      <w:pPr>
        <w:autoSpaceDE w:val="0"/>
        <w:autoSpaceDN w:val="0"/>
        <w:adjustRightInd w:val="0"/>
        <w:jc w:val="left"/>
        <w:rPr>
          <w:rFonts w:asciiTheme="minorEastAsia" w:hAnsiTheme="minorEastAsia" w:cs="`’¡Ã˛" w:hint="eastAsia"/>
          <w:color w:val="000000" w:themeColor="text1"/>
          <w:kern w:val="0"/>
          <w:szCs w:val="21"/>
        </w:rPr>
      </w:pPr>
    </w:p>
    <w:p w14:paraId="4F5851B8" w14:textId="0FB2FC72" w:rsidR="00B75B4A" w:rsidRPr="00B75B4A" w:rsidRDefault="00B75B4A" w:rsidP="00FC20A7">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608B6346" w14:textId="085D74A4" w:rsidR="00B75B4A" w:rsidRPr="00B75B4A" w:rsidRDefault="00B75B4A" w:rsidP="00FC20A7">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・赤字部分は何を言いたいかを自分用に簡単にメモしたものです</w:t>
      </w:r>
    </w:p>
    <w:p w14:paraId="44D16F49" w14:textId="37810A76" w:rsidR="00B75B4A" w:rsidRPr="00B75B4A" w:rsidRDefault="00B75B4A" w:rsidP="00FC20A7">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・章や節のタイトルは仮というか適当につけたものです</w:t>
      </w:r>
    </w:p>
    <w:p w14:paraId="3E1B7CDD" w14:textId="77777777" w:rsidR="00B75B4A" w:rsidRPr="00B75B4A" w:rsidRDefault="00B75B4A" w:rsidP="00FC20A7">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・この章で言いたいことは、なぜC</w:t>
      </w:r>
      <w:r w:rsidRPr="00B75B4A">
        <w:rPr>
          <w:rFonts w:asciiTheme="minorEastAsia" w:hAnsiTheme="minorEastAsia" w:cs="`’¡Ã˛"/>
          <w:color w:val="FF0000"/>
          <w:kern w:val="0"/>
          <w:szCs w:val="21"/>
        </w:rPr>
        <w:t>AI</w:t>
      </w:r>
      <w:r w:rsidRPr="00B75B4A">
        <w:rPr>
          <w:rFonts w:asciiTheme="minorEastAsia" w:hAnsiTheme="minorEastAsia" w:cs="`’¡Ã˛" w:hint="eastAsia"/>
          <w:color w:val="FF0000"/>
          <w:kern w:val="0"/>
          <w:szCs w:val="21"/>
        </w:rPr>
        <w:t>を肯定していたのかということを述べること</w:t>
      </w:r>
    </w:p>
    <w:p w14:paraId="0DFEB404" w14:textId="3A244A41" w:rsidR="001A7810" w:rsidRPr="00B75B4A" w:rsidRDefault="00B75B4A" w:rsidP="00B75B4A">
      <w:pPr>
        <w:autoSpaceDE w:val="0"/>
        <w:autoSpaceDN w:val="0"/>
        <w:adjustRightInd w:val="0"/>
        <w:ind w:firstLineChars="100" w:firstLine="210"/>
        <w:jc w:val="left"/>
        <w:rPr>
          <w:rFonts w:asciiTheme="minorEastAsia" w:hAnsiTheme="minorEastAsia" w:cs="`’¡Ã˛" w:hint="eastAsia"/>
          <w:color w:val="FF0000"/>
          <w:kern w:val="0"/>
          <w:szCs w:val="21"/>
        </w:rPr>
      </w:pPr>
      <w:r w:rsidRPr="00B75B4A">
        <w:rPr>
          <w:rFonts w:asciiTheme="minorEastAsia" w:hAnsiTheme="minorEastAsia" w:cs="`’¡Ã˛" w:hint="eastAsia"/>
          <w:color w:val="FF0000"/>
          <w:kern w:val="0"/>
          <w:szCs w:val="21"/>
        </w:rPr>
        <w:t>→</w:t>
      </w:r>
      <w:r w:rsidR="001A7810" w:rsidRPr="00B75B4A">
        <w:rPr>
          <w:rFonts w:asciiTheme="minorEastAsia" w:hAnsiTheme="minorEastAsia" w:cs="`’¡Ã˛" w:hint="eastAsia"/>
          <w:color w:val="FF0000"/>
          <w:kern w:val="0"/>
          <w:szCs w:val="21"/>
        </w:rPr>
        <w:t>この後「おぼえる」ことの比重が佐伯の中で下が</w:t>
      </w:r>
      <w:r w:rsidRPr="00B75B4A">
        <w:rPr>
          <w:rFonts w:asciiTheme="minorEastAsia" w:hAnsiTheme="minorEastAsia" w:cs="`’¡Ã˛" w:hint="eastAsia"/>
          <w:color w:val="FF0000"/>
          <w:kern w:val="0"/>
          <w:szCs w:val="21"/>
        </w:rPr>
        <w:t>ることも踏まえ、</w:t>
      </w:r>
      <w:r w:rsidR="001A7810" w:rsidRPr="00B75B4A">
        <w:rPr>
          <w:rFonts w:asciiTheme="minorEastAsia" w:hAnsiTheme="minorEastAsia" w:cs="`’¡Ã˛" w:hint="eastAsia"/>
          <w:color w:val="FF0000"/>
          <w:kern w:val="0"/>
          <w:szCs w:val="21"/>
        </w:rPr>
        <w:t>「おぼえる」ことと「わかる」ことの対比の説明</w:t>
      </w:r>
      <w:r w:rsidRPr="00B75B4A">
        <w:rPr>
          <w:rFonts w:asciiTheme="minorEastAsia" w:hAnsiTheme="minorEastAsia" w:cs="`’¡Ã˛" w:hint="eastAsia"/>
          <w:color w:val="FF0000"/>
          <w:kern w:val="0"/>
          <w:szCs w:val="21"/>
        </w:rPr>
        <w:t>が多め</w:t>
      </w:r>
    </w:p>
    <w:sectPr w:rsidR="001A7810" w:rsidRPr="00B75B4A"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A202A" w14:textId="77777777" w:rsidR="00420629" w:rsidRDefault="00420629" w:rsidP="00B674F1">
      <w:r>
        <w:separator/>
      </w:r>
    </w:p>
  </w:endnote>
  <w:endnote w:type="continuationSeparator" w:id="0">
    <w:p w14:paraId="447B90A0" w14:textId="77777777" w:rsidR="00420629" w:rsidRDefault="00420629"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241F1" w14:textId="77777777" w:rsidR="00420629" w:rsidRDefault="00420629" w:rsidP="00B674F1">
      <w:r>
        <w:separator/>
      </w:r>
    </w:p>
  </w:footnote>
  <w:footnote w:type="continuationSeparator" w:id="0">
    <w:p w14:paraId="1EDCF074" w14:textId="77777777" w:rsidR="00420629" w:rsidRDefault="00420629" w:rsidP="00B674F1">
      <w:r>
        <w:continuationSeparator/>
      </w:r>
    </w:p>
  </w:footnote>
  <w:footnote w:id="1">
    <w:p w14:paraId="7FCFC243" w14:textId="2B558B4B" w:rsidR="009B492D" w:rsidRPr="009B492D" w:rsidRDefault="009B492D" w:rsidP="00DA435D">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29CB2249" w14:textId="73D1C427" w:rsidR="00AA29C7" w:rsidRPr="00AA29C7" w:rsidRDefault="00D07139" w:rsidP="00DA435D">
      <w:pPr>
        <w:widowControl/>
        <w:spacing w:line="0" w:lineRule="atLeast"/>
        <w:jc w:val="left"/>
        <w:rPr>
          <w:rFonts w:asciiTheme="minorEastAsia" w:hAnsiTheme="minorEastAsia" w:cs="Segoe UI" w:hint="eastAsia"/>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46DB33D0" w14:textId="1F344271" w:rsidR="009E02B3" w:rsidRPr="009E02B3" w:rsidRDefault="009E02B3">
      <w:pPr>
        <w:pStyle w:val="a9"/>
      </w:pPr>
      <w:r>
        <w:rPr>
          <w:rStyle w:val="ab"/>
        </w:rPr>
        <w:footnoteRef/>
      </w:r>
      <w:r>
        <w:t xml:space="preserve"> </w:t>
      </w:r>
      <w:r w:rsidRPr="009E02B3">
        <w:rPr>
          <w:rFonts w:hint="eastAsia"/>
        </w:rPr>
        <w:t>「</w:t>
      </w:r>
      <w:r w:rsidR="000967B6" w:rsidRPr="000967B6">
        <w:rPr>
          <w:rFonts w:hint="eastAsia"/>
        </w:rPr>
        <w:t>先生はコンピューター　能力に応じ個別指導　来春本番　全国初、葛飾・常盤中</w:t>
      </w:r>
      <w:r w:rsidRPr="009E02B3">
        <w:rPr>
          <w:rFonts w:hint="eastAsia"/>
        </w:rPr>
        <w:t>」『</w:t>
      </w:r>
      <w:r w:rsidR="000967B6">
        <w:rPr>
          <w:rFonts w:hint="eastAsia"/>
        </w:rPr>
        <w:t>読売</w:t>
      </w:r>
      <w:r w:rsidRPr="009E02B3">
        <w:rPr>
          <w:rFonts w:hint="eastAsia"/>
        </w:rPr>
        <w:t>新聞』</w:t>
      </w:r>
      <w:r w:rsidRPr="009E02B3">
        <w:t>18</w:t>
      </w:r>
      <w:r w:rsidR="000967B6">
        <w:t>75</w:t>
      </w:r>
      <w:r w:rsidRPr="009E02B3">
        <w:t>年</w:t>
      </w:r>
      <w:r w:rsidR="000967B6">
        <w:rPr>
          <w:rFonts w:hint="eastAsia"/>
        </w:rPr>
        <w:t>3</w:t>
      </w:r>
      <w:r w:rsidRPr="009E02B3">
        <w:t>月</w:t>
      </w:r>
      <w:r w:rsidR="000967B6">
        <w:t>1</w:t>
      </w:r>
      <w:r w:rsidRPr="009E02B3">
        <w:t>日、朝刊、第</w:t>
      </w:r>
      <w:r w:rsidR="000967B6">
        <w:t>17</w:t>
      </w:r>
      <w:r w:rsidRPr="009E02B3">
        <w:t>面。</w:t>
      </w:r>
    </w:p>
  </w:footnote>
  <w:footnote w:id="4">
    <w:p w14:paraId="31840CBF" w14:textId="31E9C0B2" w:rsidR="000967B6" w:rsidRPr="008B4670" w:rsidRDefault="008B4670">
      <w:pPr>
        <w:pStyle w:val="a9"/>
      </w:pPr>
      <w:r>
        <w:rPr>
          <w:rStyle w:val="ab"/>
        </w:rPr>
        <w:footnoteRef/>
      </w:r>
      <w:r>
        <w:t xml:space="preserve"> </w:t>
      </w:r>
      <w:r w:rsidRPr="008B4670">
        <w:rPr>
          <w:rFonts w:hint="eastAsia"/>
        </w:rPr>
        <w:t>佐伯胖「知的好奇心をころす授業ー子どもはきわめて意図的に、しかも理性的にバカになっていくー</w:t>
      </w:r>
      <w:r w:rsidRPr="008B4670">
        <w:t>」『児童心理』第27巻第8号、金子書房、1973年8月、</w:t>
      </w:r>
      <w:r w:rsidR="00A25845">
        <w:t>71</w:t>
      </w:r>
      <w:r w:rsidRPr="008B4670">
        <w:t>頁。</w:t>
      </w:r>
    </w:p>
  </w:footnote>
  <w:footnote w:id="5">
    <w:p w14:paraId="79AA59FB" w14:textId="0BE41369" w:rsidR="00157C66" w:rsidRPr="00157C66" w:rsidRDefault="00157C66">
      <w:pPr>
        <w:pStyle w:val="a9"/>
      </w:pPr>
      <w:r>
        <w:rPr>
          <w:rStyle w:val="ab"/>
        </w:rPr>
        <w:footnoteRef/>
      </w:r>
      <w:r>
        <w:t xml:space="preserve"> </w:t>
      </w:r>
      <w:r w:rsidRPr="00157C66">
        <w:rPr>
          <w:rFonts w:hint="eastAsia"/>
        </w:rPr>
        <w:t>佐伯胖「「わかる」における主観主義ー「おぼえる」ことと「わかる」ことの違いー」『現代教育科学』第</w:t>
      </w:r>
      <w:r w:rsidRPr="00157C66">
        <w:t>18巻第12号、明治図書出版、1975年11月、</w:t>
      </w:r>
      <w:r>
        <w:t>37</w:t>
      </w:r>
      <w:r w:rsidRPr="00157C66">
        <w:t>頁。</w:t>
      </w:r>
    </w:p>
  </w:footnote>
  <w:footnote w:id="6">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7">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8">
    <w:p w14:paraId="1EDD8496" w14:textId="5A8CBCBA" w:rsidR="008A7C90" w:rsidRPr="008A7C90" w:rsidRDefault="008A7C90">
      <w:pPr>
        <w:pStyle w:val="a9"/>
        <w:rPr>
          <w:rFonts w:hint="eastAsia"/>
        </w:rPr>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9">
    <w:p w14:paraId="4E10D009" w14:textId="1C6657B9" w:rsidR="009E52BC" w:rsidRPr="009E52BC" w:rsidRDefault="009E52BC">
      <w:pPr>
        <w:pStyle w:val="a9"/>
        <w:rPr>
          <w:rFonts w:hint="eastAsia"/>
        </w:rPr>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0">
    <w:p w14:paraId="19B940D6" w14:textId="0035B4C2" w:rsidR="00D94CCE" w:rsidRDefault="00D94CCE">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1">
    <w:p w14:paraId="53B2EF32" w14:textId="3A5D763D" w:rsidR="000477B7" w:rsidRDefault="000477B7">
      <w:pPr>
        <w:pStyle w:val="a9"/>
      </w:pPr>
      <w:r>
        <w:rPr>
          <w:rStyle w:val="ab"/>
        </w:rPr>
        <w:footnoteRef/>
      </w:r>
      <w:r>
        <w:t xml:space="preserve"> </w:t>
      </w:r>
      <w:r w:rsidRPr="000477B7">
        <w:rPr>
          <w:rFonts w:hint="eastAsia"/>
        </w:rPr>
        <w:t>佐伯胖『学習者の理解度診断にもとずく</w:t>
      </w:r>
      <w:r w:rsidRPr="000477B7">
        <w:t>CAI教授コースの自動作成』東京理科大学理工学部、1976年。</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36E7A"/>
    <w:rsid w:val="000477B7"/>
    <w:rsid w:val="00087193"/>
    <w:rsid w:val="000967B6"/>
    <w:rsid w:val="000C5AAE"/>
    <w:rsid w:val="000D19BD"/>
    <w:rsid w:val="00116860"/>
    <w:rsid w:val="001460DB"/>
    <w:rsid w:val="00157C66"/>
    <w:rsid w:val="0017300C"/>
    <w:rsid w:val="00176C35"/>
    <w:rsid w:val="001A7810"/>
    <w:rsid w:val="001C0AE5"/>
    <w:rsid w:val="001C4445"/>
    <w:rsid w:val="001E7F5D"/>
    <w:rsid w:val="00221E7B"/>
    <w:rsid w:val="002308D8"/>
    <w:rsid w:val="00245542"/>
    <w:rsid w:val="002A5339"/>
    <w:rsid w:val="002B50A5"/>
    <w:rsid w:val="003A7B64"/>
    <w:rsid w:val="004032BD"/>
    <w:rsid w:val="00420629"/>
    <w:rsid w:val="00454C47"/>
    <w:rsid w:val="004556AC"/>
    <w:rsid w:val="004F5877"/>
    <w:rsid w:val="00533896"/>
    <w:rsid w:val="00553699"/>
    <w:rsid w:val="005861B0"/>
    <w:rsid w:val="00636E29"/>
    <w:rsid w:val="00637373"/>
    <w:rsid w:val="00664A02"/>
    <w:rsid w:val="00692212"/>
    <w:rsid w:val="006B56E7"/>
    <w:rsid w:val="006F76E9"/>
    <w:rsid w:val="00712DCB"/>
    <w:rsid w:val="00726F20"/>
    <w:rsid w:val="00730934"/>
    <w:rsid w:val="007646D5"/>
    <w:rsid w:val="007A0F60"/>
    <w:rsid w:val="007A7051"/>
    <w:rsid w:val="007C06E4"/>
    <w:rsid w:val="007C3C1B"/>
    <w:rsid w:val="008336A3"/>
    <w:rsid w:val="00836C33"/>
    <w:rsid w:val="00862DD4"/>
    <w:rsid w:val="008955FC"/>
    <w:rsid w:val="008A7C90"/>
    <w:rsid w:val="008B4670"/>
    <w:rsid w:val="008B766D"/>
    <w:rsid w:val="00927F6C"/>
    <w:rsid w:val="0094160A"/>
    <w:rsid w:val="009907CA"/>
    <w:rsid w:val="009B492D"/>
    <w:rsid w:val="009D75D9"/>
    <w:rsid w:val="009E02B3"/>
    <w:rsid w:val="009E52BC"/>
    <w:rsid w:val="00A05B53"/>
    <w:rsid w:val="00A25845"/>
    <w:rsid w:val="00A434FE"/>
    <w:rsid w:val="00A60DF6"/>
    <w:rsid w:val="00A81CFC"/>
    <w:rsid w:val="00A87D8E"/>
    <w:rsid w:val="00AA29C7"/>
    <w:rsid w:val="00AA6779"/>
    <w:rsid w:val="00B12A5C"/>
    <w:rsid w:val="00B674F1"/>
    <w:rsid w:val="00B75B4A"/>
    <w:rsid w:val="00B91262"/>
    <w:rsid w:val="00B93EF4"/>
    <w:rsid w:val="00BA27CC"/>
    <w:rsid w:val="00BA7139"/>
    <w:rsid w:val="00BB6251"/>
    <w:rsid w:val="00BD67B1"/>
    <w:rsid w:val="00C00F14"/>
    <w:rsid w:val="00C443F1"/>
    <w:rsid w:val="00C50C61"/>
    <w:rsid w:val="00C75AF7"/>
    <w:rsid w:val="00CA3716"/>
    <w:rsid w:val="00CC5266"/>
    <w:rsid w:val="00CE718B"/>
    <w:rsid w:val="00D07139"/>
    <w:rsid w:val="00D1078B"/>
    <w:rsid w:val="00D1220E"/>
    <w:rsid w:val="00D94CCE"/>
    <w:rsid w:val="00D96DE7"/>
    <w:rsid w:val="00DA435D"/>
    <w:rsid w:val="00DD21BA"/>
    <w:rsid w:val="00DD68BB"/>
    <w:rsid w:val="00DE14B8"/>
    <w:rsid w:val="00E44A57"/>
    <w:rsid w:val="00E631C8"/>
    <w:rsid w:val="00E674D1"/>
    <w:rsid w:val="00EC526D"/>
    <w:rsid w:val="00EF663F"/>
    <w:rsid w:val="00F2277C"/>
    <w:rsid w:val="00F25C3C"/>
    <w:rsid w:val="00F60C47"/>
    <w:rsid w:val="00FC20A7"/>
    <w:rsid w:val="00FE0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semiHidden/>
    <w:unhideWhenUsed/>
    <w:rsid w:val="007A7051"/>
    <w:pPr>
      <w:snapToGrid w:val="0"/>
      <w:jc w:val="left"/>
    </w:pPr>
  </w:style>
  <w:style w:type="character" w:customStyle="1" w:styleId="aa">
    <w:name w:val="脚注文字列 (文字)"/>
    <w:basedOn w:val="a0"/>
    <w:link w:val="a9"/>
    <w:uiPriority w:val="99"/>
    <w:semiHidden/>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967D5-B24C-D842-97AD-AC5918F2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11</Pages>
  <Words>1070</Words>
  <Characters>6103</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13</cp:revision>
  <cp:lastPrinted>2021-11-07T01:20:00Z</cp:lastPrinted>
  <dcterms:created xsi:type="dcterms:W3CDTF">2021-11-05T00:46:00Z</dcterms:created>
  <dcterms:modified xsi:type="dcterms:W3CDTF">2021-11-15T06:47:00Z</dcterms:modified>
</cp:coreProperties>
</file>