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297BBAA1"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822D988" w:rsidR="00CC5266" w:rsidRDefault="00CC5266" w:rsidP="00CC5266">
      <w:pPr>
        <w:widowControl/>
        <w:rPr>
          <w:rFonts w:hint="eastAsia"/>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w:t>
      </w:r>
      <w:r w:rsidR="00011C75">
        <w:rPr>
          <w:szCs w:val="21"/>
        </w:rPr>
        <w:t>9</w:t>
      </w:r>
      <w:r w:rsidR="00A81CFC">
        <w:rPr>
          <w:rFonts w:hint="eastAsia"/>
          <w:szCs w:val="21"/>
        </w:rPr>
        <w:t>）</w:t>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77777777"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0E6B602" w14:textId="2DD388E1"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sidR="00144073">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sidR="00144073">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rFonts w:hint="eastAsia"/>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14F224D9"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87C5AFF"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w:t>
      </w:r>
      <w:r w:rsidR="00BA7139">
        <w:rPr>
          <w:rFonts w:hint="eastAsia"/>
          <w:szCs w:val="21"/>
        </w:rPr>
        <w:lastRenderedPageBreak/>
        <w:t>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0556C5" w:rsidR="0094160A" w:rsidRPr="00BA7139"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とともに、佐伯と教育工学者らの意見の相違点を確認していくこととする。</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77777777" w:rsidR="00D5797A" w:rsidRDefault="00D5797A" w:rsidP="00B12A5C">
      <w:pPr>
        <w:ind w:firstLineChars="100" w:firstLine="210"/>
      </w:pPr>
      <w:r>
        <w:rPr>
          <w:rFonts w:hint="eastAsia"/>
          <w:szCs w:val="21"/>
        </w:rPr>
        <w:t>本節では</w:t>
      </w:r>
      <w:r>
        <w:rPr>
          <w:rFonts w:hint="eastAsia"/>
        </w:rPr>
        <w:t>鈴⽊宏昭らの論稿</w:t>
      </w:r>
      <w:r>
        <w:rPr>
          <w:rStyle w:val="ab"/>
          <w:rFonts w:hint="eastAsia"/>
          <w:szCs w:val="21"/>
        </w:rPr>
        <w:footnoteReference w:id="3"/>
      </w:r>
      <w:r>
        <w:rPr>
          <w:rFonts w:hint="eastAsia"/>
        </w:rPr>
        <w:t>をもとに佐伯胖の経歴を確認する。</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w:t>
      </w:r>
      <w:r>
        <w:rPr>
          <w:rFonts w:hint="eastAsia"/>
          <w:szCs w:val="21"/>
        </w:rPr>
        <w:lastRenderedPageBreak/>
        <w:t>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w:t>
      </w:r>
      <w:r w:rsidR="00011C75">
        <w:rPr>
          <w:rFonts w:hint="eastAsia"/>
        </w:rPr>
        <w:t>という３点に着目しながら佐伯の学び観を読み解くとともに</w:t>
      </w:r>
      <w:r w:rsidR="00011C75">
        <w:rPr>
          <w:rFonts w:hint="eastAsia"/>
        </w:rPr>
        <w:t>、</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4CBAEFD4" w:rsidR="00144073" w:rsidRPr="00144073" w:rsidRDefault="00144073" w:rsidP="00144073">
      <w:pPr>
        <w:autoSpaceDE w:val="0"/>
        <w:autoSpaceDN w:val="0"/>
        <w:adjustRightInd w:val="0"/>
        <w:ind w:firstLineChars="100" w:firstLine="210"/>
        <w:jc w:val="left"/>
        <w:rPr>
          <w:rFonts w:hint="eastAsia"/>
        </w:rPr>
      </w:pPr>
      <w:r>
        <w:rPr>
          <w:rFonts w:asciiTheme="minorEastAsia" w:hAnsiTheme="minorEastAsia" w:cs="`’¡Ã˛" w:hint="eastAsia"/>
          <w:color w:val="000000" w:themeColor="text1"/>
          <w:kern w:val="0"/>
          <w:szCs w:val="21"/>
        </w:rPr>
        <w:t xml:space="preserve">そして終章では　</w:t>
      </w:r>
      <w:r w:rsidRPr="00144073">
        <w:rPr>
          <w:rFonts w:asciiTheme="minorEastAsia" w:hAnsiTheme="minorEastAsia" w:cs="`’¡Ã˛" w:hint="eastAsia"/>
          <w:color w:val="FF0000"/>
          <w:kern w:val="0"/>
          <w:szCs w:val="21"/>
        </w:rPr>
        <w:t>これからかく</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4AF13347"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98639B">
        <w:rPr>
          <w:rStyle w:val="ab"/>
        </w:rPr>
        <w:footnoteReference w:id="4"/>
      </w:r>
      <w:r w:rsidR="001C350E">
        <w:rPr>
          <w:rFonts w:hint="eastAsia"/>
        </w:rPr>
        <w:t>を</w:t>
      </w:r>
      <w:r w:rsidR="00040B00">
        <w:rPr>
          <w:rFonts w:hint="eastAsia"/>
        </w:rPr>
        <w:t>もとに確認していく。</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4A519938"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5"/>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と言えよう</w:t>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1B3E059F" w:rsidR="00FE0BAA" w:rsidRDefault="00FE0BAA" w:rsidP="00FE0BAA">
      <w:pPr>
        <w:rPr>
          <w:rFonts w:hint="eastAsia"/>
        </w:rPr>
      </w:pPr>
      <w:r>
        <w:rPr>
          <w:rFonts w:hint="eastAsia"/>
        </w:rPr>
        <w:t xml:space="preserve">　</w:t>
      </w:r>
      <w:r w:rsidR="005F0A5C">
        <w:rPr>
          <w:rFonts w:hint="eastAsia"/>
        </w:rPr>
        <w:t>前節では、</w:t>
      </w:r>
      <w:r w:rsidR="005F0A5C">
        <w:t>1970</w:t>
      </w:r>
      <w:r w:rsidR="005F0A5C">
        <w:rPr>
          <w:rFonts w:hint="eastAsia"/>
        </w:rPr>
        <w:t>年台前半においてコンピュータが教育の世界においてどのように捉えられていたのかを、教育工学や教育現場の視点から確認した。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w:t>
      </w:r>
      <w:r w:rsidR="00D541BA">
        <w:rPr>
          <w:rFonts w:hint="eastAsia"/>
        </w:rPr>
        <w:t>知識の一貫性の重視</w:t>
      </w:r>
      <w:r w:rsidR="00D541BA">
        <w:rPr>
          <w:rFonts w:hint="eastAsia"/>
        </w:rPr>
        <w:t>、②</w:t>
      </w:r>
      <w:r w:rsidR="00D541BA">
        <w:rPr>
          <w:rFonts w:hint="eastAsia"/>
        </w:rPr>
        <w:t>学習</w:t>
      </w:r>
      <w:r w:rsidR="00D541BA">
        <w:rPr>
          <w:rFonts w:hint="eastAsia"/>
        </w:rPr>
        <w:t>時の自発的な問いの重要性</w:t>
      </w:r>
      <w:r w:rsidR="00D541BA">
        <w:rPr>
          <w:rFonts w:hint="eastAsia"/>
        </w:rPr>
        <w:t>、</w:t>
      </w:r>
      <w:r w:rsidR="00D541BA">
        <w:rPr>
          <w:rFonts w:hint="eastAsia"/>
        </w:rPr>
        <w:t>③</w:t>
      </w:r>
      <w:r w:rsidR="00D541BA">
        <w:rPr>
          <w:rFonts w:hint="eastAsia"/>
        </w:rPr>
        <w:t>「おぼえる」と「わかる」の対比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1EB95C45"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と相性が</w:t>
      </w:r>
      <w:r w:rsidR="00780F2E">
        <w:rPr>
          <w:rFonts w:hint="eastAsia"/>
          <w:highlight w:val="lightGray"/>
        </w:rPr>
        <w:t>あまり良くないが</w:t>
      </w:r>
      <w:r w:rsidR="00E735D1" w:rsidRPr="00E735D1">
        <w:rPr>
          <w:rFonts w:hint="eastAsia"/>
          <w:highlight w:val="lightGray"/>
        </w:rPr>
        <w:t>、必ずしも</w:t>
      </w:r>
      <w:r w:rsidR="00E735D1" w:rsidRPr="00E735D1">
        <w:rPr>
          <w:highlight w:val="lightGray"/>
        </w:rPr>
        <w:t>CAI</w:t>
      </w:r>
      <w:r w:rsidR="00E735D1" w:rsidRPr="00E735D1">
        <w:rPr>
          <w:rFonts w:hint="eastAsia"/>
          <w:highlight w:val="lightGray"/>
        </w:rPr>
        <w:t>システムと矛盾するとま</w:t>
      </w:r>
      <w:r w:rsidR="00E735D1" w:rsidRPr="00E735D1">
        <w:rPr>
          <w:rFonts w:hint="eastAsia"/>
          <w:highlight w:val="lightGray"/>
        </w:rPr>
        <w:lastRenderedPageBreak/>
        <w:t>では言えないだろう。確かに</w:t>
      </w:r>
      <w:r w:rsidR="00E735D1" w:rsidRPr="00E735D1">
        <w:rPr>
          <w:highlight w:val="lightGray"/>
        </w:rPr>
        <w:t>CAI</w:t>
      </w:r>
      <w:r w:rsidR="00E735D1" w:rsidRPr="00E735D1">
        <w:rPr>
          <w:rFonts w:hint="eastAsia"/>
          <w:highlight w:val="lightGray"/>
        </w:rPr>
        <w:t>によって機械的に学んでいくことで、生徒が結果ばかりに関心を持つやすくなることが予想され、一貫性を保つことへの関心は薄くなる可能性が否めない。しかし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0145428F"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w:t>
      </w:r>
      <w:r w:rsidR="006449B8">
        <w:rPr>
          <w:rStyle w:val="ab"/>
        </w:rPr>
        <w:footnoteReference w:id="7"/>
      </w:r>
      <w:r w:rsidR="00C26C91">
        <w:rPr>
          <w:rFonts w:hint="eastAsia"/>
        </w:rPr>
        <w:t>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w:t>
      </w:r>
      <w:r w:rsidR="006449B8">
        <w:rPr>
          <w:rStyle w:val="ab"/>
        </w:rPr>
        <w:footnoteReference w:id="8"/>
      </w:r>
      <w:r w:rsidR="006449B8">
        <w:rPr>
          <w:rFonts w:hint="eastAsia"/>
        </w:rPr>
        <w:t>ことだと佐伯は説明している。</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E735D1" w:rsidRPr="00E735D1">
        <w:rPr>
          <w:rFonts w:hint="eastAsia"/>
          <w:color w:val="000000" w:themeColor="text1"/>
          <w:highlight w:val="lightGray"/>
        </w:rPr>
        <w:t>ここで、</w:t>
      </w:r>
      <w:r w:rsidR="00E735D1" w:rsidRPr="00E735D1">
        <w:rPr>
          <w:color w:val="000000" w:themeColor="text1"/>
          <w:highlight w:val="lightGray"/>
        </w:rPr>
        <w:t>CAI</w:t>
      </w:r>
      <w:r w:rsidR="00E735D1" w:rsidRPr="00E735D1">
        <w:rPr>
          <w:rFonts w:hint="eastAsia"/>
          <w:color w:val="000000" w:themeColor="text1"/>
          <w:highlight w:val="lightGray"/>
        </w:rPr>
        <w:t>との矛盾が感じられる。</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を用いて学習する生徒は、既習の知識と矛盾がないかを問うことはできるものの、矛盾を解消するためにはどうしたら良いかを問い、自分で次の学びに設定することはできない。</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w:t>
      </w:r>
      <w:r w:rsidR="00DD68BB">
        <w:rPr>
          <w:rFonts w:hint="eastAsia"/>
        </w:rPr>
        <w:lastRenderedPageBreak/>
        <w:t>時的に短期記憶に貯蔵することと、エピソード的記憶に情報を入れる二つの場合があると</w:t>
      </w:r>
      <w:r w:rsidR="00036E7A">
        <w:rPr>
          <w:rFonts w:hint="eastAsia"/>
        </w:rPr>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A564ED">
      <w:pPr>
        <w:ind w:leftChars="100" w:left="210" w:firstLineChars="100" w:firstLine="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w:t>
      </w:r>
      <w:r w:rsidR="003675D2">
        <w:rPr>
          <w:rFonts w:asciiTheme="minorEastAsia" w:hAnsiTheme="minorEastAsia" w:hint="eastAsia"/>
          <w:color w:val="000000" w:themeColor="text1"/>
          <w:szCs w:val="21"/>
        </w:rPr>
        <w:lastRenderedPageBreak/>
        <w:t>るかが、自分でわかっている状態であると説明しているため、「わかる」とは知識に矛盾がないかを問い続けている状態であると言えるだろう。一方、「おぼえる」際には、意味の真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25F72251"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D7321F">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00BB1FE1" w:rsidR="00FC20A7" w:rsidRDefault="00927F6C"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前節では、佐伯が築いた学び観について検討した。それを踏まえ、本節では、佐伯が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w:t>
      </w:r>
      <w:r w:rsidR="002801CF">
        <w:rPr>
          <w:rFonts w:asciiTheme="minorEastAsia" w:hAnsiTheme="minorEastAsia" w:cs="`’¡Ã˛" w:hint="eastAsia"/>
          <w:color w:val="000000" w:themeColor="text1"/>
          <w:kern w:val="0"/>
          <w:szCs w:val="21"/>
        </w:rPr>
        <w:t>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D91D4FA"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w:t>
      </w:r>
      <w:r w:rsidR="000D19BD">
        <w:rPr>
          <w:rFonts w:asciiTheme="minorEastAsia" w:hAnsiTheme="minorEastAsia" w:cs="`’¡Ã˛" w:hint="eastAsia"/>
          <w:color w:val="000000" w:themeColor="text1"/>
          <w:kern w:val="0"/>
          <w:szCs w:val="21"/>
        </w:rPr>
        <w:lastRenderedPageBreak/>
        <w:t>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w:t>
      </w:r>
      <w:r w:rsidR="008A7C90">
        <w:rPr>
          <w:rStyle w:val="ab"/>
          <w:rFonts w:asciiTheme="minorEastAsia" w:hAnsiTheme="minorEastAsia" w:cs="`’¡Ã˛"/>
          <w:color w:val="000000" w:themeColor="text1"/>
          <w:kern w:val="0"/>
          <w:szCs w:val="21"/>
        </w:rPr>
        <w:footnoteReference w:id="13"/>
      </w:r>
      <w:r w:rsidR="000D19BD">
        <w:rPr>
          <w:rFonts w:asciiTheme="minorEastAsia" w:hAnsiTheme="minorEastAsia" w:cs="`’¡Ã˛" w:hint="eastAsia"/>
          <w:color w:val="000000" w:themeColor="text1"/>
          <w:kern w:val="0"/>
          <w:szCs w:val="21"/>
        </w:rPr>
        <w:t>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lastRenderedPageBreak/>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5"/>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6"/>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58A8A122"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w:t>
      </w:r>
      <w:r w:rsidR="00D94CCE">
        <w:rPr>
          <w:rStyle w:val="ab"/>
          <w:rFonts w:asciiTheme="minorEastAsia" w:hAnsiTheme="minorEastAsia" w:cs="`’¡Ã˛"/>
          <w:color w:val="000000" w:themeColor="text1"/>
          <w:kern w:val="0"/>
          <w:szCs w:val="21"/>
        </w:rPr>
        <w:footnoteReference w:id="17"/>
      </w:r>
      <w:r w:rsidR="00D94CCE">
        <w:rPr>
          <w:rFonts w:asciiTheme="minorEastAsia" w:hAnsiTheme="minorEastAsia" w:cs="`’¡Ã˛" w:hint="eastAsia"/>
          <w:color w:val="000000" w:themeColor="text1"/>
          <w:kern w:val="0"/>
          <w:szCs w:val="21"/>
        </w:rPr>
        <w:t>について見ていく。</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w:t>
      </w:r>
      <w:r w:rsidR="007C3C1B">
        <w:rPr>
          <w:rFonts w:asciiTheme="minorEastAsia" w:hAnsiTheme="minorEastAsia" w:cs="`’¡Ã˛" w:hint="eastAsia"/>
          <w:color w:val="000000" w:themeColor="text1"/>
          <w:kern w:val="0"/>
          <w:szCs w:val="21"/>
        </w:rPr>
        <w:lastRenderedPageBreak/>
        <w:t>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しかし、ここでいう学習者の目的・関心に応じてコースが作成されるというのは、あくまでも教師があらかじめ設定したものの中から、最も適切であろう問題が選ばれるということ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10EC944"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w:t>
      </w:r>
      <w:r w:rsidR="000477B7">
        <w:rPr>
          <w:rStyle w:val="ab"/>
          <w:rFonts w:asciiTheme="minorEastAsia" w:hAnsiTheme="minorEastAsia" w:cs="`’¡Ã˛"/>
          <w:color w:val="000000" w:themeColor="text1"/>
          <w:kern w:val="0"/>
          <w:szCs w:val="21"/>
        </w:rPr>
        <w:footnoteReference w:id="18"/>
      </w:r>
      <w:r w:rsidR="000477B7">
        <w:rPr>
          <w:rFonts w:asciiTheme="minorEastAsia" w:hAnsiTheme="minorEastAsia" w:cs="`’¡Ã˛" w:hint="eastAsia"/>
          <w:color w:val="000000" w:themeColor="text1"/>
          <w:kern w:val="0"/>
          <w:szCs w:val="21"/>
        </w:rPr>
        <w:t>もある。</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9"/>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w:t>
      </w:r>
      <w:r w:rsidR="00245542">
        <w:rPr>
          <w:rFonts w:asciiTheme="minorEastAsia" w:hAnsiTheme="minorEastAsia" w:cs="`’¡Ã˛" w:hint="eastAsia"/>
          <w:color w:val="000000" w:themeColor="text1"/>
          <w:kern w:val="0"/>
          <w:szCs w:val="21"/>
        </w:rPr>
        <w:lastRenderedPageBreak/>
        <w:t>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575FB741" w:rsidR="002B1C45" w:rsidRDefault="002B1C45"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は共通していると言えるが、</w:t>
      </w:r>
      <w:r w:rsidR="008B6DFC" w:rsidRPr="006E1FEA">
        <w:rPr>
          <w:rFonts w:asciiTheme="minorEastAsia" w:hAnsiTheme="minorEastAsia" w:cs="`’¡Ã˛" w:hint="eastAsia"/>
          <w:color w:val="000000" w:themeColor="text1"/>
          <w:kern w:val="0"/>
          <w:szCs w:val="21"/>
          <w:highlight w:val="lightGray"/>
        </w:rPr>
        <w:t>学びに対する考えについて</w:t>
      </w:r>
      <w:r w:rsidRPr="006E1FEA">
        <w:rPr>
          <w:rFonts w:asciiTheme="minorEastAsia" w:hAnsiTheme="minorEastAsia" w:cs="`’¡Ã˛" w:hint="eastAsia"/>
          <w:color w:val="000000" w:themeColor="text1"/>
          <w:kern w:val="0"/>
          <w:szCs w:val="21"/>
          <w:highlight w:val="lightGray"/>
        </w:rPr>
        <w:t>違いが見られる。</w:t>
      </w:r>
      <w:r w:rsidR="00830216" w:rsidRPr="006E1FEA">
        <w:rPr>
          <w:rFonts w:asciiTheme="minorEastAsia" w:hAnsiTheme="minorEastAsia" w:cs="`’¡Ã˛" w:hint="eastAsia"/>
          <w:color w:val="000000" w:themeColor="text1"/>
          <w:kern w:val="0"/>
          <w:szCs w:val="21"/>
          <w:highlight w:val="lightGray"/>
        </w:rPr>
        <w:t>坂本</w:t>
      </w:r>
      <w:r w:rsidR="008B6DFC" w:rsidRPr="006E1FEA">
        <w:rPr>
          <w:rFonts w:asciiTheme="minorEastAsia" w:hAnsiTheme="minorEastAsia" w:cs="`’¡Ã˛" w:hint="eastAsia"/>
          <w:color w:val="000000" w:themeColor="text1"/>
          <w:kern w:val="0"/>
          <w:szCs w:val="21"/>
          <w:highlight w:val="lightGray"/>
        </w:rPr>
        <w:t>ら教育工学者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、学びとはどうあるべきかという議論はしておらず、どのような働きかけを行えば、皆の学力を高めることができるかということを研究していたと考えられる。一方、</w:t>
      </w:r>
      <w:r w:rsidR="008B6DFC" w:rsidRPr="006E1FEA">
        <w:rPr>
          <w:rFonts w:asciiTheme="minorEastAsia" w:hAnsiTheme="minorEastAsia" w:cs="`’¡Ã˛" w:hint="eastAsia"/>
          <w:color w:val="000000" w:themeColor="text1"/>
          <w:kern w:val="0"/>
          <w:szCs w:val="21"/>
          <w:highlight w:val="lightGray"/>
        </w:rPr>
        <w:t>佐伯は学習において知識の一貫性の希求や、新たに得た知識の意味や関連を問うことというものを重要視していたが、</w:t>
      </w:r>
      <w:r w:rsidR="009C6280" w:rsidRPr="006E1FEA">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これは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との整合性があまりつかない考え方であり、坂本ら教育工学者と意見が異なるのは</w:t>
      </w:r>
      <w:r w:rsidR="009C6280" w:rsidRPr="006E1FEA">
        <w:rPr>
          <w:rFonts w:asciiTheme="minorEastAsia" w:hAnsiTheme="minorEastAsia" w:cs="`’¡Ã˛" w:hint="eastAsia"/>
          <w:color w:val="000000" w:themeColor="text1"/>
          <w:kern w:val="0"/>
          <w:szCs w:val="21"/>
          <w:highlight w:val="lightGray"/>
        </w:rPr>
        <w:t>当たり前だとも言えよう。</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w:t>
      </w:r>
      <w:r>
        <w:rPr>
          <w:rFonts w:asciiTheme="minorEastAsia" w:hAnsiTheme="minorEastAsia" w:cs="Times New Roman (見出しのフォント - コンプ" w:hint="eastAsia"/>
          <w:szCs w:val="21"/>
        </w:rPr>
        <w:t>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245374">
      <w:pPr>
        <w:ind w:leftChars="100" w:left="31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20"/>
      </w:r>
    </w:p>
    <w:p w14:paraId="2B2554ED" w14:textId="73B9540F" w:rsidR="00245374" w:rsidRDefault="00245374" w:rsidP="00245374">
      <w:pPr>
        <w:rPr>
          <w:rFonts w:asciiTheme="minorEastAsia" w:hAnsiTheme="minorEastAsia" w:cs="Times New Roman (見出しのフォント - コンプ"/>
          <w:szCs w:val="21"/>
        </w:rPr>
      </w:pPr>
    </w:p>
    <w:p w14:paraId="2F744A08" w14:textId="22B91EE2" w:rsidR="00DE70E3" w:rsidRPr="006309A1" w:rsidRDefault="006A728E" w:rsidP="006A728E">
      <w:pPr>
        <w:rPr>
          <w:rFonts w:asciiTheme="minorEastAsia" w:hAnsiTheme="minorEastAsia" w:cs="Times New Roman (見出しのフォント - コンプ" w:hint="eastAsia"/>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w:t>
      </w:r>
      <w:r w:rsidR="006309A1">
        <w:rPr>
          <w:rFonts w:asciiTheme="minorEastAsia" w:hAnsiTheme="minorEastAsia" w:cs="Times New Roman (見出しのフォント - コンプ" w:hint="eastAsia"/>
          <w:szCs w:val="21"/>
        </w:rPr>
        <w:t>生徒の反応を</w:t>
      </w:r>
      <w:r w:rsidR="006309A1">
        <w:rPr>
          <w:rFonts w:asciiTheme="minorEastAsia" w:hAnsiTheme="minorEastAsia" w:cs="Times New Roman (見出しのフォント - コンプ" w:hint="eastAsia"/>
          <w:szCs w:val="21"/>
        </w:rPr>
        <w:t>いかに</w:t>
      </w:r>
      <w:r w:rsidR="006309A1">
        <w:rPr>
          <w:rFonts w:asciiTheme="minorEastAsia" w:hAnsiTheme="minorEastAsia" w:cs="Times New Roman (見出しのフォント - コンプ" w:hint="eastAsia"/>
          <w:szCs w:val="21"/>
        </w:rPr>
        <w:t>分析するか</w:t>
      </w:r>
      <w:r w:rsidR="006309A1">
        <w:rPr>
          <w:rFonts w:asciiTheme="minorEastAsia" w:hAnsiTheme="minorEastAsia" w:cs="Times New Roman (見出しのフォント - コンプ" w:hint="eastAsia"/>
          <w:szCs w:val="21"/>
        </w:rPr>
        <w:t>というもの、</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w:t>
      </w:r>
      <w:r w:rsidR="006309A1">
        <w:rPr>
          <w:rFonts w:asciiTheme="minorEastAsia" w:hAnsiTheme="minorEastAsia" w:cs="Times New Roman (見出しのフォント - コンプ" w:hint="eastAsia"/>
          <w:szCs w:val="21"/>
        </w:rPr>
        <w:lastRenderedPageBreak/>
        <w:t>業がテーマとなっており、この時代においても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2"/>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2DECA32F" w:rsidR="00CA6294" w:rsidRDefault="007F7494" w:rsidP="007F7494">
      <w:pPr>
        <w:rPr>
          <w:rFonts w:hint="eastAsia"/>
        </w:rPr>
      </w:pPr>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「わかる」における問い直しの必要性、②内発的動機づけの重要性、③「おぼえる」段階の軽視の３点である。そして、これらのことを踏まえ佐伯が</w:t>
      </w:r>
      <w:r w:rsidR="00CA6294">
        <w:t>CAI</w:t>
      </w:r>
      <w:r w:rsidR="00CA6294">
        <w:rPr>
          <w:rFonts w:hint="eastAsia"/>
        </w:rPr>
        <w:t>批判に転じる様子を検討し、最後に坂本ら教育工学者らとの違いについて考察したい。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3"/>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089A841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4"/>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77777777" w:rsidR="00125A52" w:rsidRDefault="00FB599F"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w:t>
      </w:r>
      <w:r w:rsidR="00046EAE">
        <w:rPr>
          <w:rFonts w:asciiTheme="minorEastAsia" w:hAnsiTheme="minorEastAsia" w:cs="`’¡Ã˛" w:hint="eastAsia"/>
          <w:color w:val="000000" w:themeColor="text1"/>
          <w:kern w:val="0"/>
          <w:szCs w:val="21"/>
        </w:rPr>
        <w:t>「自分の力で分かり得る」ということに関連したものとして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Pr>
          <w:rFonts w:asciiTheme="minorEastAsia" w:hAnsiTheme="minorEastAsia" w:cs="`’¡Ã˛" w:hint="eastAsia"/>
          <w:color w:val="000000" w:themeColor="text1"/>
          <w:kern w:val="0"/>
          <w:szCs w:val="21"/>
        </w:rPr>
        <w:t>て</w:t>
      </w:r>
      <w:r w:rsidR="00324F4E">
        <w:rPr>
          <w:rFonts w:asciiTheme="minorEastAsia" w:hAnsiTheme="minorEastAsia" w:cs="`’¡Ã˛" w:hint="eastAsia"/>
          <w:color w:val="000000" w:themeColor="text1"/>
          <w:kern w:val="0"/>
          <w:szCs w:val="21"/>
        </w:rPr>
        <w:t>佐伯は</w:t>
      </w:r>
      <w:r w:rsidR="00BD43B6">
        <w:rPr>
          <w:rFonts w:asciiTheme="minorEastAsia" w:hAnsiTheme="minorEastAsia" w:cs="`’¡Ã˛" w:hint="eastAsia"/>
          <w:color w:val="000000" w:themeColor="text1"/>
          <w:kern w:val="0"/>
          <w:szCs w:val="21"/>
        </w:rPr>
        <w:t>反論を行っている。</w:t>
      </w:r>
      <w:r w:rsidR="00887B8C">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佐伯は動機づけを外発的動機づけと内発的動機づけの二つに</w:t>
      </w:r>
      <w:r w:rsidR="00887B8C">
        <w:rPr>
          <w:rFonts w:asciiTheme="minorEastAsia" w:hAnsiTheme="minorEastAsia" w:cs="`’¡Ã˛" w:hint="eastAsia"/>
          <w:color w:val="000000" w:themeColor="text1"/>
          <w:kern w:val="0"/>
          <w:szCs w:val="21"/>
        </w:rPr>
        <w:t>分けている</w:t>
      </w:r>
      <w:r>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w:t>
      </w:r>
      <w:r w:rsidR="00BD43B6">
        <w:rPr>
          <w:rStyle w:val="ab"/>
          <w:rFonts w:asciiTheme="minorEastAsia" w:hAnsiTheme="minorEastAsia" w:cs="`’¡Ã˛"/>
          <w:color w:val="000000" w:themeColor="text1"/>
          <w:kern w:val="0"/>
          <w:szCs w:val="21"/>
        </w:rPr>
        <w:footnoteReference w:id="25"/>
      </w:r>
      <w:r w:rsidR="00BD43B6">
        <w:rPr>
          <w:rFonts w:asciiTheme="minorEastAsia" w:hAnsiTheme="minorEastAsia" w:cs="`’¡Ã˛" w:hint="eastAsia"/>
          <w:color w:val="000000" w:themeColor="text1"/>
          <w:kern w:val="0"/>
          <w:szCs w:val="21"/>
        </w:rPr>
        <w:t>なのである</w:t>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w:t>
      </w:r>
      <w:r w:rsidR="00EC11A0">
        <w:rPr>
          <w:rFonts w:asciiTheme="minorEastAsia" w:hAnsiTheme="minorEastAsia" w:cs="`’¡Ã˛" w:hint="eastAsia"/>
          <w:color w:val="000000" w:themeColor="text1"/>
          <w:kern w:val="0"/>
          <w:szCs w:val="21"/>
        </w:rPr>
        <w:lastRenderedPageBreak/>
        <w:t>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125A5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6"/>
      </w:r>
    </w:p>
    <w:p w14:paraId="54195C16" w14:textId="1DBF0332" w:rsidR="00EC11A0" w:rsidRDefault="00EC11A0" w:rsidP="00EC11A0">
      <w:pPr>
        <w:autoSpaceDE w:val="0"/>
        <w:autoSpaceDN w:val="0"/>
        <w:adjustRightInd w:val="0"/>
        <w:ind w:leftChars="100" w:left="210"/>
        <w:jc w:val="left"/>
        <w:rPr>
          <w:rFonts w:asciiTheme="minorEastAsia" w:hAnsiTheme="minorEastAsia" w:cs="`’¡Ã˛" w:hint="eastAsia"/>
          <w:color w:val="000000" w:themeColor="text1"/>
          <w:kern w:val="0"/>
          <w:szCs w:val="21"/>
        </w:rPr>
      </w:pPr>
    </w:p>
    <w:p w14:paraId="4DBA2BAE" w14:textId="023876BE" w:rsidR="00B925BB"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批判につながったのではないかと</w:t>
      </w:r>
      <w:r w:rsidR="0094054D">
        <w:rPr>
          <w:rFonts w:asciiTheme="minorEastAsia" w:hAnsiTheme="minorEastAsia" w:cs="`’¡Ã˛" w:hint="eastAsia"/>
          <w:color w:val="000000" w:themeColor="text1"/>
          <w:kern w:val="0"/>
          <w:szCs w:val="21"/>
        </w:rPr>
        <w:t>考えられる</w:t>
      </w:r>
      <w:r w:rsidR="00324F4E">
        <w:rPr>
          <w:rFonts w:asciiTheme="minorEastAsia" w:hAnsiTheme="minorEastAsia" w:cs="`’¡Ã˛" w:hint="eastAsia"/>
          <w:color w:val="000000" w:themeColor="text1"/>
          <w:kern w:val="0"/>
          <w:szCs w:val="21"/>
        </w:rPr>
        <w:t>。</w:t>
      </w:r>
    </w:p>
    <w:p w14:paraId="77BB2E51" w14:textId="542DB94D"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に対する意見を見ていこう。佐伯は1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w:t>
      </w:r>
      <w:r w:rsidR="00B925BB">
        <w:rPr>
          <w:rStyle w:val="ab"/>
          <w:rFonts w:asciiTheme="minorEastAsia" w:hAnsiTheme="minorEastAsia" w:cs="`’¡Ã˛"/>
          <w:color w:val="000000" w:themeColor="text1"/>
          <w:kern w:val="0"/>
          <w:szCs w:val="21"/>
        </w:rPr>
        <w:footnoteReference w:id="27"/>
      </w:r>
      <w:r w:rsidR="00B925BB">
        <w:rPr>
          <w:rFonts w:asciiTheme="minorEastAsia" w:hAnsiTheme="minorEastAsia" w:cs="`’¡Ã˛" w:hint="eastAsia"/>
          <w:color w:val="000000" w:themeColor="text1"/>
          <w:kern w:val="0"/>
          <w:szCs w:val="21"/>
        </w:rPr>
        <w:t>として、機械が子どもに答えさせる状態を批判している。子ども自身が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いくら生徒の関心を反映しているとはいえ、もともと教師が設定した問題を機械が問いかけて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また、</w:t>
      </w:r>
      <w:r>
        <w:rPr>
          <w:rFonts w:asciiTheme="minorEastAsia" w:hAnsiTheme="minorEastAsia" w:cs="`’¡Ã˛" w:hint="eastAsia"/>
          <w:color w:val="000000" w:themeColor="text1"/>
          <w:kern w:val="0"/>
          <w:szCs w:val="21"/>
        </w:rPr>
        <w:t>佐伯はこの時代において「わかる」ということや「わかる授業」を説明する際</w:t>
      </w:r>
      <w:r>
        <w:rPr>
          <w:rFonts w:asciiTheme="minorEastAsia" w:hAnsiTheme="minorEastAsia" w:cs="`’¡Ã˛" w:hint="eastAsia"/>
          <w:color w:val="000000" w:themeColor="text1"/>
          <w:kern w:val="0"/>
          <w:szCs w:val="21"/>
        </w:rPr>
        <w:lastRenderedPageBreak/>
        <w:t>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5C3440AC" w:rsidR="00FE52C2" w:rsidRDefault="00CA6294" w:rsidP="00CA6294">
      <w:pPr>
        <w:autoSpaceDE w:val="0"/>
        <w:autoSpaceDN w:val="0"/>
        <w:adjustRightInd w:val="0"/>
        <w:ind w:firstLineChars="100" w:firstLine="21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、坂本ら教育工学者と佐伯の違いについて考察しよう。まず、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w:t>
      </w:r>
      <w:r w:rsidR="007C72F0">
        <w:rPr>
          <w:rFonts w:asciiTheme="minorEastAsia" w:hAnsiTheme="minorEastAsia" w:cs="`’¡Ã˛" w:hint="eastAsia"/>
          <w:color w:val="000000" w:themeColor="text1"/>
          <w:kern w:val="0"/>
          <w:szCs w:val="21"/>
        </w:rPr>
        <w:t>子どもの主体性を重要視</w:t>
      </w:r>
      <w:r w:rsidR="007C72F0">
        <w:rPr>
          <w:rFonts w:asciiTheme="minorEastAsia" w:hAnsiTheme="minorEastAsia" w:cs="`’¡Ã˛" w:hint="eastAsia"/>
          <w:color w:val="000000" w:themeColor="text1"/>
          <w:kern w:val="0"/>
          <w:szCs w:val="21"/>
        </w:rPr>
        <w:t>していたことから、教育目標を子どもが学習する前から子どもの行動の形でで記述することは難しいと考えていたのではないかと推察される。つまり、坂本らと佐伯の違いとして、前章から引き続き学びに対する考え方が異なることはもちろんのこと、教育目標を明確に定めるということの是非に関しても意見が分かれているのではない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3E0F071D" w:rsidR="00CA6294" w:rsidRPr="00CA6294" w:rsidRDefault="00CA6294" w:rsidP="00CA6294">
      <w:r>
        <w:rPr>
          <w:rFonts w:hint="eastAsia"/>
        </w:rPr>
        <w:t xml:space="preserve">　前節では、佐伯が「わかる」ということをどのように捉えているのかを確認し、それに伴い</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6791664D"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w:t>
      </w:r>
      <w:r>
        <w:rPr>
          <w:rFonts w:asciiTheme="minorEastAsia" w:hAnsiTheme="minorEastAsia" w:cs="`’¡Ã˛" w:hint="eastAsia"/>
          <w:color w:val="000000" w:themeColor="text1"/>
          <w:kern w:val="0"/>
          <w:szCs w:val="21"/>
        </w:rPr>
        <w:lastRenderedPageBreak/>
        <w:t>されると同時に、それらが変った場合の世界の可能性が見えてきて、当面のイメージを単なる一例として位置づけるのである</w:t>
      </w:r>
      <w:r>
        <w:rPr>
          <w:rStyle w:val="ab"/>
          <w:rFonts w:asciiTheme="minorEastAsia" w:hAnsiTheme="minorEastAsia" w:cs="`’¡Ã˛"/>
          <w:color w:val="000000" w:themeColor="text1"/>
          <w:kern w:val="0"/>
          <w:szCs w:val="21"/>
        </w:rPr>
        <w:footnoteReference w:id="28"/>
      </w:r>
      <w:r>
        <w:rPr>
          <w:rFonts w:asciiTheme="minorEastAsia" w:hAnsiTheme="minorEastAsia" w:cs="`’¡Ã˛" w:hint="eastAsia"/>
          <w:color w:val="000000" w:themeColor="text1"/>
          <w:kern w:val="0"/>
          <w:szCs w:val="21"/>
        </w:rPr>
        <w:t>。</w:t>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33F67643"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w:t>
      </w:r>
      <w:r w:rsidR="004B0405">
        <w:rPr>
          <w:rStyle w:val="ab"/>
          <w:rFonts w:asciiTheme="minorEastAsia" w:hAnsiTheme="minorEastAsia" w:cs="`’¡Ã˛"/>
          <w:color w:val="000000" w:themeColor="text1"/>
          <w:kern w:val="0"/>
          <w:szCs w:val="21"/>
        </w:rPr>
        <w:footnoteReference w:id="29"/>
      </w:r>
      <w:r w:rsidR="004B0405">
        <w:rPr>
          <w:rFonts w:asciiTheme="minorEastAsia" w:hAnsiTheme="minorEastAsia" w:cs="`’¡Ã˛" w:hint="eastAsia"/>
          <w:color w:val="000000" w:themeColor="text1"/>
          <w:kern w:val="0"/>
          <w:szCs w:val="21"/>
        </w:rPr>
        <w:t>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による学習は、前節で述べた子どもの内発的動機づけによるものになり得ると言える。また、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イメージによる学習を実現したものと言えるのではない</w:t>
      </w:r>
      <w:r w:rsidR="00E236C5">
        <w:rPr>
          <w:rFonts w:asciiTheme="minorEastAsia" w:hAnsiTheme="minorEastAsia" w:cs="`’¡Ã˛" w:hint="eastAsia"/>
          <w:color w:val="000000" w:themeColor="text1"/>
          <w:kern w:val="0"/>
          <w:szCs w:val="21"/>
        </w:rPr>
        <w:t>だろう</w:t>
      </w:r>
      <w:r w:rsidR="00B23F99">
        <w:rPr>
          <w:rFonts w:asciiTheme="minorEastAsia" w:hAnsiTheme="minorEastAsia" w:cs="`’¡Ã˛" w:hint="eastAsia"/>
          <w:color w:val="000000" w:themeColor="text1"/>
          <w:kern w:val="0"/>
          <w:szCs w:val="21"/>
        </w:rPr>
        <w:t>か。</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23F99">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w:t>
      </w:r>
      <w:r w:rsidR="00E75CAA">
        <w:rPr>
          <w:rFonts w:asciiTheme="minorEastAsia" w:hAnsiTheme="minorEastAsia" w:cs="`’¡Ã˛" w:hint="eastAsia"/>
          <w:color w:val="000000" w:themeColor="text1"/>
          <w:kern w:val="0"/>
          <w:szCs w:val="21"/>
        </w:rPr>
        <w:t>を参考に確認していく。</w:t>
      </w:r>
    </w:p>
    <w:p w14:paraId="73947CA3" w14:textId="568C97A5"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ポジウムや研究発表が行われたり、</w:t>
      </w:r>
      <w:r>
        <w:t>教育工学に関する理論書</w:t>
      </w:r>
      <w:r>
        <w:rPr>
          <w:rFonts w:hint="eastAsia"/>
        </w:rPr>
        <w:t>が</w:t>
      </w:r>
      <w:r>
        <w:t>刊行</w:t>
      </w:r>
      <w:r>
        <w:rPr>
          <w:rFonts w:hint="eastAsia"/>
        </w:rPr>
        <w:t>されたりするなど、日本教育工学会設立の機運が高まり、ついに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pPr>
        <w:rPr>
          <w:rFonts w:hint="eastAsia"/>
        </w:rPr>
      </w:pPr>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w:t>
      </w:r>
      <w:r w:rsidR="005D2145">
        <w:rPr>
          <w:rFonts w:eastAsiaTheme="minorHAnsi" w:cs="ＭＳ 明朝" w:hint="eastAsia"/>
        </w:rPr>
        <w:t>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7978C414" w:rsidR="007F66C4" w:rsidRDefault="007F66C4" w:rsidP="007F66C4">
      <w:pPr>
        <w:ind w:leftChars="100" w:left="210"/>
        <w:rPr>
          <w:rFonts w:eastAsiaTheme="minorHAnsi" w:cs="ＭＳ 明朝"/>
        </w:rPr>
      </w:pPr>
      <w:r>
        <w:rPr>
          <w:rFonts w:eastAsiaTheme="minorHAnsi" w:cs="ＭＳ 明朝" w:hint="eastAsia"/>
        </w:rPr>
        <w:t xml:space="preserve">　このような人間の営みによって生み出されるものごとを「文化」とよび、（一）（二）（三）（四）のような人間の活動を「文化的実践」とよびましょう。</w:t>
      </w:r>
      <w:r>
        <w:rPr>
          <w:rStyle w:val="ab"/>
          <w:rFonts w:eastAsiaTheme="minorHAnsi" w:cs="ＭＳ 明朝"/>
        </w:rPr>
        <w:footnoteReference w:id="30"/>
      </w:r>
    </w:p>
    <w:p w14:paraId="05EE384E" w14:textId="1EF2CEFF" w:rsidR="007F66C4" w:rsidRDefault="007F66C4" w:rsidP="007F66C4">
      <w:pPr>
        <w:ind w:leftChars="100" w:left="210"/>
        <w:rPr>
          <w:rFonts w:eastAsiaTheme="minorHAnsi" w:cs="ＭＳ 明朝"/>
        </w:rPr>
      </w:pPr>
    </w:p>
    <w:p w14:paraId="63FBCB20" w14:textId="49BD2FC5"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そう考えると、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しかし学校において、「参加」ではなく「伝達」が中心になっていると指摘し、教師が生徒ともにわかろうとすることが重要であると述べている。</w:t>
      </w:r>
    </w:p>
    <w:p w14:paraId="740D61B1" w14:textId="00FE6C37"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このことを一つ例を挙げて見てみよう。</w:t>
      </w:r>
      <w:r w:rsidR="00AB0CD3">
        <w:rPr>
          <w:rFonts w:eastAsiaTheme="minorHAnsi" w:cs="ＭＳ 明朝" w:hint="eastAsia"/>
        </w:rPr>
        <w:t>「できる」ことが「わかる」ことよりも重要だという主張は世に多くあり、そ</w:t>
      </w:r>
      <w:r w:rsidR="00AB0CD3">
        <w:rPr>
          <w:rFonts w:eastAsiaTheme="minorHAnsi" w:cs="ＭＳ 明朝" w:hint="eastAsia"/>
        </w:rPr>
        <w:lastRenderedPageBreak/>
        <w:t>の論拠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であるとしている。そのため「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AB0CD3">
        <w:rPr>
          <w:rFonts w:eastAsiaTheme="minorHAnsi" w:cs="ＭＳ 明朝" w:hint="eastAsia"/>
        </w:rPr>
        <w:t>。</w:t>
      </w:r>
    </w:p>
    <w:p w14:paraId="129C84EF" w14:textId="7F09278B"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だと述べ、さらに以下のように</w:t>
      </w:r>
      <w:r w:rsidR="007C5219">
        <w:rPr>
          <w:rFonts w:eastAsiaTheme="minorHAnsi" w:cs="ＭＳ 明朝" w:hint="eastAsia"/>
        </w:rPr>
        <w:t>も</w:t>
      </w:r>
      <w:r w:rsidR="00837BE4">
        <w:rPr>
          <w:rFonts w:eastAsiaTheme="minorHAnsi" w:cs="ＭＳ 明朝" w:hint="eastAsia"/>
        </w:rPr>
        <w:t>述べている。</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1"/>
      </w:r>
    </w:p>
    <w:p w14:paraId="1F801EF1" w14:textId="2ECB8772" w:rsidR="0031708A" w:rsidRDefault="0031708A" w:rsidP="007F66C4">
      <w:pPr>
        <w:rPr>
          <w:rFonts w:eastAsiaTheme="minorHAnsi" w:cs="ＭＳ 明朝"/>
        </w:rPr>
      </w:pPr>
    </w:p>
    <w:p w14:paraId="56737D4A" w14:textId="282A8D7A"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当時佐伯が述べていた「わかる」としての網目的記憶の特徴に近いと言えよう。つまり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のだ。</w:t>
      </w:r>
    </w:p>
    <w:p w14:paraId="7CD6C444" w14:textId="6AE1A802"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ここで、佐伯の教育におけるコンピュータの使用に対する考え方を見ていこう。</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2"/>
      </w:r>
    </w:p>
    <w:p w14:paraId="5BA9CE5C" w14:textId="1C5E9091" w:rsidR="00D7249F" w:rsidRDefault="00D7249F" w:rsidP="00D7249F">
      <w:pPr>
        <w:ind w:leftChars="100" w:left="210"/>
        <w:rPr>
          <w:rFonts w:eastAsiaTheme="minorHAnsi" w:cs="ＭＳ 明朝"/>
        </w:rPr>
      </w:pPr>
    </w:p>
    <w:p w14:paraId="14E1C93C" w14:textId="77777777" w:rsidR="004E3F2D" w:rsidRDefault="004E3F2D" w:rsidP="00D7249F">
      <w:pPr>
        <w:rPr>
          <w:rFonts w:eastAsiaTheme="minorHAnsi" w:cs="ＭＳ 明朝"/>
        </w:rPr>
      </w:pPr>
      <w:r>
        <w:rPr>
          <w:rFonts w:eastAsiaTheme="minorHAnsi" w:cs="ＭＳ 明朝" w:hint="eastAsia"/>
        </w:rPr>
        <w:t>このように、コンピュータを用いて何かのモデルを作成するということは、そのモデルの対象となるものの価値を発見し、それを共有し普及しようとする活動だと言えるのではないだろうか。つまり先に述べた文化的実践としての学びを実現したものだと言えるだろう。</w:t>
      </w:r>
    </w:p>
    <w:p w14:paraId="0159F367" w14:textId="325A2534" w:rsidR="00CD2548" w:rsidRDefault="004E3F2D" w:rsidP="004E3F2D">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w:t>
      </w:r>
      <w:r w:rsidR="009B632F">
        <w:rPr>
          <w:rStyle w:val="ab"/>
          <w:rFonts w:eastAsiaTheme="minorHAnsi" w:cs="ＭＳ 明朝"/>
        </w:rPr>
        <w:footnoteReference w:id="33"/>
      </w:r>
      <w:r w:rsidR="009B632F">
        <w:rPr>
          <w:rFonts w:eastAsiaTheme="minorHAnsi" w:cs="ＭＳ 明朝" w:hint="eastAsia"/>
        </w:rPr>
        <w:t>を含んでいるということである。従来コンピュータは根源的表象性のないシンボルの表示が得意で、見た目が明瞭ではあるものの、表面的な理解にとどまってしまうものであったと佐伯は指摘する。そこで、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4"/>
      </w:r>
    </w:p>
    <w:p w14:paraId="4EF1D215" w14:textId="1D3EF9DB" w:rsidR="00CD2548" w:rsidRDefault="00CD2548" w:rsidP="00CD2548">
      <w:pPr>
        <w:rPr>
          <w:rFonts w:eastAsiaTheme="minorHAnsi" w:cs="ＭＳ 明朝"/>
        </w:rPr>
      </w:pPr>
    </w:p>
    <w:p w14:paraId="167C1EF3" w14:textId="77777777" w:rsidR="00AD2B4F" w:rsidRDefault="004E3F2D" w:rsidP="00681F4E">
      <w:pPr>
        <w:ind w:firstLineChars="100" w:firstLine="210"/>
        <w:rPr>
          <w:rFonts w:eastAsiaTheme="minorHAnsi" w:cs="ＭＳ 明朝"/>
        </w:rPr>
      </w:pPr>
      <w:r>
        <w:rPr>
          <w:rFonts w:eastAsiaTheme="minorHAnsi" w:cs="ＭＳ 明朝" w:hint="eastAsia"/>
        </w:rPr>
        <w:lastRenderedPageBreak/>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5"/>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w:t>
      </w:r>
      <w:r w:rsidR="008C21F9">
        <w:rPr>
          <w:rStyle w:val="ab"/>
          <w:rFonts w:eastAsiaTheme="minorHAnsi" w:cs="ＭＳ 明朝"/>
        </w:rPr>
        <w:footnoteReference w:id="36"/>
      </w:r>
      <w:r w:rsidR="008C21F9">
        <w:rPr>
          <w:rFonts w:eastAsiaTheme="minorHAnsi" w:cs="ＭＳ 明朝" w:hint="eastAsia"/>
        </w:rPr>
        <w:t>であり、自分らしさへのこだわりが欠如している。</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いる状況から脱却し、それらに対抗して、子どもの真の学びを回復するための教育」であ</w:t>
      </w:r>
      <w:r>
        <w:rPr>
          <w:rFonts w:eastAsiaTheme="minorHAnsi" w:cs="ＭＳ 明朝" w:hint="eastAsia"/>
        </w:rPr>
        <w:lastRenderedPageBreak/>
        <w:t>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7"/>
      </w:r>
    </w:p>
    <w:p w14:paraId="7EC5C999" w14:textId="6ADEB759" w:rsidR="004144B1" w:rsidRDefault="004144B1" w:rsidP="00CD2548">
      <w:pPr>
        <w:rPr>
          <w:rFonts w:eastAsiaTheme="minorHAnsi" w:cs="ＭＳ 明朝"/>
        </w:rPr>
      </w:pPr>
    </w:p>
    <w:p w14:paraId="61A91818" w14:textId="0BBD96BA"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これ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できる濃密なシンボルが処理できるようになってきた。これにより</w:t>
      </w:r>
      <w:r w:rsidR="00AD2B4F">
        <w:rPr>
          <w:rFonts w:eastAsiaTheme="minorHAnsi" w:cs="ＭＳ 明朝" w:hint="eastAsia"/>
        </w:rPr>
        <w:t>先に述べた、</w:t>
      </w:r>
      <w:r w:rsidR="00631CE0">
        <w:rPr>
          <w:rFonts w:eastAsiaTheme="minorHAnsi" w:cs="ＭＳ 明朝" w:hint="eastAsia"/>
        </w:rPr>
        <w:t>世界の三人称化を克服し得るのではないだろうか。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pPr>
        <w:rPr>
          <w:rFonts w:hint="eastAsia"/>
        </w:rPr>
      </w:pPr>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w:t>
      </w:r>
      <w:r>
        <w:rPr>
          <w:rFonts w:hint="eastAsia"/>
        </w:rPr>
        <w:lastRenderedPageBreak/>
        <w:t>の際着目したい点は、①</w:t>
      </w:r>
      <w:r w:rsidR="00761871">
        <w:rPr>
          <w:rFonts w:hint="eastAsia"/>
        </w:rPr>
        <w:t>インターネット</w:t>
      </w:r>
      <w:r w:rsidR="00761871">
        <w:rPr>
          <w:rFonts w:hint="eastAsia"/>
        </w:rPr>
        <w:t>等</w:t>
      </w:r>
      <w:r w:rsidR="00761871">
        <w:rPr>
          <w:rFonts w:hint="eastAsia"/>
        </w:rPr>
        <w:t>によって</w:t>
      </w:r>
      <w:r w:rsidR="00761871">
        <w:rPr>
          <w:rFonts w:hint="eastAsia"/>
        </w:rPr>
        <w:t>対話の場である</w:t>
      </w:r>
      <w:r w:rsidR="00761871">
        <w:rPr>
          <w:rFonts w:hint="eastAsia"/>
        </w:rPr>
        <w:t>共同体</w:t>
      </w:r>
      <w:r w:rsidR="00761871">
        <w:rPr>
          <w:rFonts w:hint="eastAsia"/>
        </w:rPr>
        <w:t>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0A6DC75D"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w:t>
      </w:r>
      <w:r>
        <w:rPr>
          <w:rStyle w:val="ab"/>
        </w:rPr>
        <w:footnoteReference w:id="38"/>
      </w:r>
      <w:r w:rsidR="00E33547">
        <w:rPr>
          <w:rFonts w:hint="eastAsia"/>
        </w:rPr>
        <w:t>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w:t>
      </w:r>
      <w:r w:rsidR="00E33547">
        <w:rPr>
          <w:rFonts w:hint="eastAsia"/>
        </w:rPr>
        <w:lastRenderedPageBreak/>
        <w:t>なわち、「文化的透明性」にあるとする。</w:t>
      </w:r>
      <w:r>
        <w:rPr>
          <w:rStyle w:val="ab"/>
        </w:rPr>
        <w:footnoteReference w:id="39"/>
      </w:r>
    </w:p>
    <w:p w14:paraId="7939EA43" w14:textId="66772B97" w:rsidR="00B40932" w:rsidRDefault="00B40932" w:rsidP="00B40932"/>
    <w:p w14:paraId="04D03BDE" w14:textId="016C6009"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w:t>
      </w:r>
      <w:r w:rsidR="007E5B66">
        <w:rPr>
          <w:rStyle w:val="ab"/>
        </w:rPr>
        <w:footnoteReference w:id="40"/>
      </w:r>
      <w:r w:rsidR="00BE6BF9">
        <w:rPr>
          <w:rFonts w:hint="eastAsia"/>
        </w:rPr>
        <w:t>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7E5B66">
        <w:rPr>
          <w:rFonts w:hint="eastAsia"/>
        </w:rPr>
        <w:t>。分散知というのは、人間の「知」をいうものを、「個人の『頭の中』の情報処理ではなく、本質的に他者や人工物（道具、設備、シンボルなど）と『わかち持たれた』ものだ」</w:t>
      </w:r>
      <w:r w:rsidR="007E5B66">
        <w:rPr>
          <w:rStyle w:val="ab"/>
        </w:rPr>
        <w:footnoteReference w:id="41"/>
      </w:r>
      <w:r w:rsidR="007E5B66">
        <w:rPr>
          <w:rFonts w:hint="eastAsia"/>
        </w:rPr>
        <w:t>とする考え方である。</w:t>
      </w:r>
    </w:p>
    <w:p w14:paraId="0CC76182" w14:textId="359DBC71" w:rsidR="009D156E" w:rsidRDefault="00347DA3" w:rsidP="0002049B">
      <w:r>
        <w:rPr>
          <w:rFonts w:hint="eastAsia"/>
        </w:rPr>
        <w:t xml:space="preserve"> このような正統的周辺参加としての学びや分散知の考えを踏まえて、佐伯のコンピュータ教育のあり方に対する考えを見ていこう。佐伯は学校でのコンピュータ活用の目的を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Style w:val="ab"/>
        </w:rPr>
        <w:footnoteReference w:id="42"/>
      </w:r>
      <w:r>
        <w:rPr>
          <w:rFonts w:hint="eastAsia"/>
        </w:rPr>
        <w:t>だと述べている。この目的を達成するためには、インターネットによって学習者同士や学校外の科学者との共同体を形成すること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インターネットによる共同体の作成はもちろん正統的周辺参加論の考えに基づくものであろう。またマルチメディアも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348CFA94"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9D156E">
        <w:rPr>
          <w:rFonts w:hint="eastAsia"/>
        </w:rPr>
        <w:t>見ていこう。</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する際の、</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6A69CB">
        <w:rPr>
          <w:rFonts w:hint="eastAsia"/>
        </w:rPr>
        <w:t>それを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対話と言うとすぐ他者と話し合うと言う印象を抱くかもしれないが、まずは自分のこだわりを突き詰め、表現することが、その後の対話においても重要だと佐伯は指摘しているのである。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w:t>
      </w:r>
      <w:r>
        <w:rPr>
          <w:rFonts w:hint="eastAsia"/>
        </w:rPr>
        <w:lastRenderedPageBreak/>
        <w:t>て実行している作業そのものに集中できるものでなければならない（透明性）。</w:t>
      </w:r>
      <w:r>
        <w:rPr>
          <w:rStyle w:val="ab"/>
        </w:rPr>
        <w:footnoteReference w:id="43"/>
      </w:r>
    </w:p>
    <w:p w14:paraId="0E2549C9" w14:textId="1AC3C017" w:rsidR="0002049B" w:rsidRPr="0002049B" w:rsidRDefault="0002049B" w:rsidP="00347DA3"/>
    <w:p w14:paraId="3459085E" w14:textId="06862475" w:rsidR="00A33088" w:rsidRPr="00D8148E" w:rsidRDefault="0002049B" w:rsidP="00A33088">
      <w:r>
        <w:rPr>
          <w:rFonts w:hint="eastAsia"/>
        </w:rPr>
        <w:t>これらの条件はコンピュータを学びの道具として考えるにあたり、非常に重要な示唆を与えてくれるであろう。コンピュータ</w:t>
      </w:r>
      <w:r w:rsidR="00E1467F">
        <w:rPr>
          <w:rFonts w:hint="eastAsia"/>
        </w:rPr>
        <w:t>を</w:t>
      </w:r>
      <w:r>
        <w:rPr>
          <w:rFonts w:hint="eastAsia"/>
        </w:rPr>
        <w:t>道具</w:t>
      </w:r>
      <w:r w:rsidR="00E1467F">
        <w:rPr>
          <w:rFonts w:hint="eastAsia"/>
        </w:rPr>
        <w:t>として用いるという</w:t>
      </w:r>
      <w:r>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BC0AD2D" w:rsidR="00A33088" w:rsidRPr="00A33088" w:rsidRDefault="007C72F0" w:rsidP="00776656">
      <w:pPr>
        <w:rPr>
          <w:rFonts w:hint="eastAsia"/>
        </w:rPr>
      </w:pPr>
      <w:r>
        <w:rPr>
          <w:rFonts w:hint="eastAsia"/>
        </w:rPr>
        <w:t xml:space="preserve">　最後に、坂本ら教育工学者と佐伯との考えの違いについて検討したい。この時代、両者とも</w:t>
      </w:r>
      <w:r>
        <w:rPr>
          <w:rFonts w:hint="eastAsia"/>
        </w:rPr>
        <w:t>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に違いがある</w:t>
      </w:r>
      <w:r w:rsidR="00F32406">
        <w:rPr>
          <w:rFonts w:hint="eastAsia"/>
        </w:rPr>
        <w:t>ように感じられる。</w:t>
      </w:r>
      <w:r w:rsidR="00536324">
        <w:rPr>
          <w:rFonts w:hint="eastAsia"/>
        </w:rPr>
        <w:t>教育工学者たちが</w:t>
      </w:r>
      <w:r w:rsidR="00536324">
        <w:t>CSCW/L</w:t>
      </w:r>
      <w:r w:rsidR="00536324">
        <w:rPr>
          <w:rFonts w:hint="eastAsia"/>
        </w:rPr>
        <w:t>に至った</w:t>
      </w:r>
      <w:r w:rsidR="00536324">
        <w:rPr>
          <w:rFonts w:hint="eastAsia"/>
        </w:rPr>
        <w:t>ことは、</w:t>
      </w:r>
      <w:r w:rsidR="00F32406">
        <w:rPr>
          <w:rFonts w:hint="eastAsia"/>
        </w:rPr>
        <w:t>教育工学においても基礎となる理論が行動科学から認知科学に変わったという点</w:t>
      </w:r>
      <w:r w:rsidR="00536324">
        <w:rPr>
          <w:rFonts w:hint="eastAsia"/>
        </w:rPr>
        <w:t>も要因であろうが</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も考えられる。一方佐伯は、あくまでも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その点に教育工学者たちとの大きな違いがあると言え</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2B63EDA7"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3A0FCA8" w14:textId="453876BF" w:rsidR="00125A52" w:rsidRDefault="00E048C5" w:rsidP="00125A52">
      <w:pPr>
        <w:rPr>
          <w:rFonts w:hint="eastAsia"/>
        </w:rPr>
      </w:pPr>
      <w:r w:rsidRPr="00E22D3F">
        <w:rPr>
          <w:rFonts w:hint="eastAsia"/>
          <w:color w:val="FF0000"/>
        </w:rPr>
        <w:t>以下</w:t>
      </w:r>
      <w:r w:rsidR="00970373" w:rsidRPr="00E22D3F">
        <w:rPr>
          <w:rFonts w:hint="eastAsia"/>
          <w:color w:val="FF0000"/>
        </w:rPr>
        <w:t>書きたいこと</w:t>
      </w:r>
      <w:r w:rsidRPr="00E22D3F">
        <w:rPr>
          <w:rFonts w:hint="eastAsia"/>
          <w:color w:val="FF0000"/>
        </w:rPr>
        <w:t>の</w:t>
      </w:r>
      <w:r w:rsidR="00E22D3F">
        <w:rPr>
          <w:rFonts w:hint="eastAsia"/>
          <w:color w:val="FF0000"/>
        </w:rPr>
        <w:t>単なる</w:t>
      </w:r>
      <w:r w:rsidRPr="00E22D3F">
        <w:rPr>
          <w:rFonts w:hint="eastAsia"/>
          <w:color w:val="FF0000"/>
        </w:rPr>
        <w:t>メモ</w:t>
      </w:r>
    </w:p>
    <w:p w14:paraId="275AA09D" w14:textId="1AA12EF6" w:rsidR="001B130A" w:rsidRDefault="00E22D3F" w:rsidP="00125A52">
      <w:pPr>
        <w:rPr>
          <w:rFonts w:hint="eastAsia"/>
        </w:rPr>
      </w:pPr>
      <w:r>
        <w:rPr>
          <w:rFonts w:hint="eastAsia"/>
        </w:rPr>
        <w:t>扱う</w:t>
      </w:r>
      <w:r w:rsidR="001B130A">
        <w:rPr>
          <w:rFonts w:hint="eastAsia"/>
        </w:rPr>
        <w:t>題材</w:t>
      </w:r>
      <w:r>
        <w:rPr>
          <w:rFonts w:hint="eastAsia"/>
        </w:rPr>
        <w:t>案</w:t>
      </w:r>
    </w:p>
    <w:p w14:paraId="65F8AD6F" w14:textId="3BF2C643" w:rsidR="00970373" w:rsidRDefault="00970373" w:rsidP="00125A52">
      <w:r>
        <w:rPr>
          <w:rFonts w:hint="eastAsia"/>
        </w:rPr>
        <w:t>・</w:t>
      </w:r>
      <w:r>
        <w:t>2003</w:t>
      </w:r>
      <w:r>
        <w:rPr>
          <w:rFonts w:hint="eastAsia"/>
        </w:rPr>
        <w:t>年の佐伯胖の発言</w:t>
      </w:r>
    </w:p>
    <w:p w14:paraId="6BACC9DD" w14:textId="1C6A569D" w:rsidR="00970373" w:rsidRDefault="00970373" w:rsidP="00125A52">
      <w:r>
        <w:rPr>
          <w:rFonts w:hint="eastAsia"/>
        </w:rPr>
        <w:t>「</w:t>
      </w:r>
      <w:r w:rsidR="00BD0805">
        <w:rPr>
          <w:rFonts w:hint="eastAsia"/>
        </w:rPr>
        <w:t>できる」中心主義が今日復活しつつあります。</w:t>
      </w:r>
    </w:p>
    <w:p w14:paraId="45877C47" w14:textId="63C0AACF" w:rsidR="00BD0805" w:rsidRDefault="00BD0805" w:rsidP="00125A52">
      <w:r>
        <w:rPr>
          <w:rFonts w:hint="eastAsia"/>
        </w:rPr>
        <w:t>学力低下問題などの議論の中で、「わかる」教育、「ゆとり」教育が学力を低下させたのではないか、やはり「できる」ことをちゃんと増やすことが学力なんだという見方が広がってきています、能力で学力、学ぶことをとらえる見方が、何の疑問ももたれずに受け入れられつつあります。</w:t>
      </w:r>
    </w:p>
    <w:p w14:paraId="7165AFF2" w14:textId="51CC25F0" w:rsidR="00BD0805" w:rsidRDefault="00BD0805" w:rsidP="00125A52">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p>
    <w:p w14:paraId="1FD8452D" w14:textId="27D9A49C" w:rsidR="00BD0805" w:rsidRDefault="00BD0805" w:rsidP="00125A52"/>
    <w:p w14:paraId="465F1713" w14:textId="77777777" w:rsidR="00BD0805" w:rsidRDefault="00BD0805" w:rsidP="00125A52">
      <w:r>
        <w:rPr>
          <w:rFonts w:hint="eastAsia"/>
        </w:rPr>
        <w:t>・文科省の方針</w:t>
      </w:r>
    </w:p>
    <w:p w14:paraId="638CC8E4" w14:textId="45E2170C" w:rsidR="00BD0805" w:rsidRDefault="00BD0805" w:rsidP="00125A52">
      <w:r w:rsidRPr="00BD0805">
        <w:t>ICTを最大限活用し、これまで以上に「個別最適な学び」と「協働的な学び」を一体的に充実し、「主体的・対話的で深い学び」の実現</w:t>
      </w:r>
      <w:r>
        <w:rPr>
          <w:rFonts w:hint="eastAsia"/>
        </w:rPr>
        <w:t>を目指す</w:t>
      </w:r>
    </w:p>
    <w:p w14:paraId="14564098" w14:textId="4BF8C269" w:rsidR="000441CB" w:rsidRDefault="000441CB" w:rsidP="00125A52">
      <w:pPr>
        <w:rPr>
          <w:rFonts w:hint="eastAsia"/>
        </w:rPr>
      </w:pPr>
      <w:r>
        <w:rPr>
          <w:rFonts w:hint="eastAsia"/>
        </w:rPr>
        <w:t>個別最適な学びとは指導の個別化と学習の個性化からなる</w:t>
      </w:r>
    </w:p>
    <w:p w14:paraId="69049CD3" w14:textId="00BCA46D" w:rsidR="000441CB" w:rsidRDefault="000441CB" w:rsidP="000441CB">
      <w:pPr>
        <w:ind w:leftChars="100" w:left="210"/>
      </w:pPr>
      <w:r w:rsidRPr="000441CB">
        <w:rPr>
          <w:rFonts w:hint="eastAsia"/>
        </w:rPr>
        <w:t>「指導の個別化」は一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みます。</w:t>
      </w:r>
      <w:r w:rsidRPr="000441CB">
        <w:t>ICTを活用することで得られる新たなデータも活用し、きめ細かく学習の状況を把握・分析したり、個々の児童生徒に合った多様な方法で学んだりしていくことで、確実な資質・能力の育成につながっていくことが期待されます。また、学習履歴（スタディ・ログ）、生活・健康面の記録（ライフログ）等</w:t>
      </w:r>
      <w:r w:rsidRPr="000441CB">
        <w:rPr>
          <w:rFonts w:hint="eastAsia"/>
        </w:rPr>
        <w:t>、児童生徒に関する様々なデータを可視化し、学習方法等を提案するツールなど、新たな情報手段の活用も考えられますが、そのような新たな情報手段の活用も含め、児童生徒が自らの状態を様々なデータも活用しながら把握し、自らに合った学習の進め方を考えることができるよう、教師による指導を工夫していくことが重要です。</w:t>
      </w:r>
    </w:p>
    <w:p w14:paraId="5FFC8BFD" w14:textId="2956B1F5" w:rsidR="000441CB" w:rsidRDefault="000441CB" w:rsidP="000441CB">
      <w:pPr>
        <w:ind w:leftChars="100" w:left="210"/>
        <w:rPr>
          <w:rFonts w:hint="eastAsia"/>
        </w:rPr>
      </w:pPr>
      <w:r w:rsidRPr="000441CB">
        <w:rPr>
          <w:rFonts w:hint="eastAsia"/>
        </w:rPr>
        <w:t>「学習の個性化」は個々の児童生徒の興味・関心等に応じた異なる目標に向けて、学習を深め、広げることを意味し、その中で児童生徒自身が自らどのような方向性で学習を進めていったら良いかを考えていくことなども含みます。例えば、情報の探索、データの処理</w:t>
      </w:r>
      <w:r w:rsidRPr="000441CB">
        <w:rPr>
          <w:rFonts w:hint="eastAsia"/>
        </w:rPr>
        <w:lastRenderedPageBreak/>
        <w:t>や視覚化、レポートの作成や情報発信といった活動に</w:t>
      </w:r>
      <w:r w:rsidRPr="000441CB">
        <w:t>ICTを効果的に使うことで、学びの質が高まり、深い学びにつながっていくことが期待されます。また、児童生徒がこれまでの経験を振り返ったり、これからのキャリアを見通したりしながら、自ら適切に学習課題を設定し、取り組んでいけるよう</w:t>
      </w:r>
      <w:r w:rsidRPr="000441CB">
        <w:rPr>
          <w:rFonts w:hint="eastAsia"/>
        </w:rPr>
        <w:t>、教師による指導を工夫していくことが重要です。</w:t>
      </w:r>
    </w:p>
    <w:p w14:paraId="4117275F" w14:textId="5A120061" w:rsidR="000441CB" w:rsidRDefault="000441CB" w:rsidP="000441CB">
      <w:r>
        <w:rPr>
          <w:rFonts w:hint="eastAsia"/>
        </w:rPr>
        <w:t>協働的な学び</w:t>
      </w:r>
    </w:p>
    <w:p w14:paraId="7FA56B77" w14:textId="4B6D0DD7" w:rsidR="000441CB" w:rsidRDefault="000441CB" w:rsidP="000441CB">
      <w:pPr>
        <w:ind w:leftChars="100" w:left="210"/>
      </w:pPr>
      <w:r w:rsidRPr="000441CB">
        <w:t>ICTの活用により、児童生徒一人一人が自分のペースを大事にしながら共同で作成・編集等を行う活動や、多様な意見を共有しつつ合意形成を図る活動など、「協働的な学び」もまた発展させることができます。ICTを利用して空間的・時間的制約を緩和することによって、遠隔地の専門家とつないだ授業や他の学校・地域や海外との交流など、今までできなかった学習活動も可能となります。</w:t>
      </w:r>
    </w:p>
    <w:p w14:paraId="31B8D9C8" w14:textId="1B879DFB" w:rsidR="001B130A" w:rsidRDefault="001B130A" w:rsidP="000441CB">
      <w:pPr>
        <w:ind w:leftChars="100" w:left="210"/>
      </w:pPr>
    </w:p>
    <w:p w14:paraId="3CC4753C" w14:textId="49A6C953" w:rsidR="001B130A" w:rsidRDefault="001B130A" w:rsidP="001B130A">
      <w:r>
        <w:rPr>
          <w:rFonts w:hint="eastAsia"/>
        </w:rPr>
        <w:t>教育現場での実態</w:t>
      </w:r>
      <w:r w:rsidR="00E22D3F">
        <w:rPr>
          <w:rFonts w:hint="eastAsia"/>
        </w:rPr>
        <w:t>データ</w:t>
      </w:r>
    </w:p>
    <w:p w14:paraId="41C53F09" w14:textId="6F2A7211" w:rsidR="001B130A" w:rsidRDefault="001B130A" w:rsidP="001B130A">
      <w:pPr>
        <w:rPr>
          <w:rFonts w:hint="eastAsia"/>
        </w:rPr>
      </w:pPr>
      <w:r>
        <w:rPr>
          <w:rFonts w:hint="eastAsia"/>
        </w:rPr>
        <w:t>・令和</w:t>
      </w:r>
      <w:r>
        <w:t>2</w:t>
      </w:r>
      <w:r>
        <w:rPr>
          <w:rFonts w:hint="eastAsia"/>
        </w:rPr>
        <w:t>年度の以下のことを「できる」もしくは「ややできる」と回答している教員の割合</w:t>
      </w:r>
    </w:p>
    <w:p w14:paraId="12D5158E" w14:textId="23D0BBED" w:rsidR="001B130A" w:rsidRDefault="001B130A" w:rsidP="001B130A">
      <w:r>
        <w:rPr>
          <w:rFonts w:hint="eastAsia"/>
        </w:rPr>
        <w:t>Ｂ　授業にＩＣＴを活用して指導する能力</w:t>
      </w:r>
      <w:r>
        <w:tab/>
      </w:r>
      <w:r>
        <w:tab/>
      </w:r>
      <w:r>
        <w:tab/>
      </w:r>
    </w:p>
    <w:p w14:paraId="3FE1782F" w14:textId="0ACFAF76" w:rsidR="001B130A" w:rsidRDefault="001B130A" w:rsidP="001B130A">
      <w:r>
        <w:rPr>
          <w:rFonts w:hint="eastAsia"/>
        </w:rPr>
        <w:t>Ｂ１</w:t>
      </w:r>
      <w:r>
        <w:tab/>
        <w:t>83.5</w:t>
      </w:r>
      <w:r>
        <w:t>%</w:t>
      </w:r>
    </w:p>
    <w:p w14:paraId="13A8B16B" w14:textId="2565725F" w:rsidR="001B130A" w:rsidRDefault="001B130A" w:rsidP="001B130A">
      <w:r>
        <w:t xml:space="preserve">児童生徒の興味・関心を高めたり，課題を明確につかませたり，学習内容を的確にまとめさせたりするために，コンピュータや提示装置などを活用して資料などを効果的に提示する。 </w:t>
      </w:r>
    </w:p>
    <w:p w14:paraId="57D69AF4" w14:textId="77897814" w:rsidR="001B130A" w:rsidRDefault="001B130A" w:rsidP="001B130A">
      <w:r>
        <w:rPr>
          <w:rFonts w:hint="eastAsia"/>
        </w:rPr>
        <w:t>Ｂ２</w:t>
      </w:r>
      <w:r>
        <w:tab/>
        <w:t>69.5</w:t>
      </w:r>
      <w:r>
        <w:t>%</w:t>
      </w:r>
    </w:p>
    <w:p w14:paraId="49AB1EA0" w14:textId="4F5EDA2B" w:rsidR="001B130A" w:rsidRDefault="001B130A" w:rsidP="001B130A">
      <w:r>
        <w:t>児童生徒に互いの意見・考え方・作品などを共有させたり，比較検討させたりするために，コンピュータや提示装置などを活用して児童生徒の意見などを効果的に提示する。</w:t>
      </w:r>
      <w:r>
        <w:tab/>
        <w:t xml:space="preserve"> </w:t>
      </w:r>
    </w:p>
    <w:p w14:paraId="2F023758" w14:textId="579C46AA" w:rsidR="001B130A" w:rsidRDefault="001B130A" w:rsidP="001B130A">
      <w:r>
        <w:rPr>
          <w:rFonts w:hint="eastAsia"/>
        </w:rPr>
        <w:t>Ｂ３</w:t>
      </w:r>
      <w:r>
        <w:tab/>
        <w:t>65.4</w:t>
      </w:r>
      <w:r>
        <w:t>%</w:t>
      </w:r>
    </w:p>
    <w:p w14:paraId="44C2C846" w14:textId="37DB3C87" w:rsidR="001B130A" w:rsidRDefault="001B130A" w:rsidP="001B130A">
      <w:r>
        <w:t xml:space="preserve">知識の定着や技能の習熟をねらいとして，学習用ソフトウェアなどを活用して，繰り返し学習する課題や児童生徒一人一人の理解・習熟の程度に応じた課題などに取り組ませる。 </w:t>
      </w:r>
    </w:p>
    <w:p w14:paraId="0BC89C00" w14:textId="15D89FCE" w:rsidR="001B130A" w:rsidRDefault="001B130A" w:rsidP="001B130A">
      <w:r>
        <w:rPr>
          <w:rFonts w:hint="eastAsia"/>
        </w:rPr>
        <w:t>Ｂ４</w:t>
      </w:r>
      <w:r>
        <w:tab/>
        <w:t>62.3</w:t>
      </w:r>
      <w:r>
        <w:t>%</w:t>
      </w:r>
    </w:p>
    <w:p w14:paraId="7F8A11B3" w14:textId="46291176" w:rsidR="001B130A" w:rsidRDefault="001B130A" w:rsidP="001B130A">
      <w:r>
        <w:t xml:space="preserve">グループで話し合って考えをまとめたり，協働してレポート・資料・作品などを制作したりするなどの学習の際に，コンピュータやソフトウェアなどを効果的に活用させる。 </w:t>
      </w:r>
    </w:p>
    <w:p w14:paraId="6ED5EBEC" w14:textId="3277693E" w:rsidR="001B130A" w:rsidRDefault="001B130A" w:rsidP="001B130A">
      <w:r>
        <w:rPr>
          <w:rFonts w:hint="eastAsia"/>
        </w:rPr>
        <w:t>Ｃ　児童生徒のＩＣＴ活用を指導する能力</w:t>
      </w:r>
      <w:r>
        <w:tab/>
      </w:r>
      <w:r>
        <w:tab/>
      </w:r>
      <w:r>
        <w:tab/>
      </w:r>
    </w:p>
    <w:p w14:paraId="5B5C9F9A" w14:textId="71FA6B14" w:rsidR="001B130A" w:rsidRDefault="001B130A" w:rsidP="001B130A">
      <w:r>
        <w:rPr>
          <w:rFonts w:hint="eastAsia"/>
        </w:rPr>
        <w:t>Ｃ１</w:t>
      </w:r>
      <w:r>
        <w:tab/>
        <w:t>80.3</w:t>
      </w:r>
      <w:r>
        <w:t>%</w:t>
      </w:r>
    </w:p>
    <w:p w14:paraId="1FC8AC28" w14:textId="18687250" w:rsidR="001B130A" w:rsidRDefault="001B130A" w:rsidP="001B130A">
      <w:r>
        <w:t xml:space="preserve">学習活動に必要な，コンピュータなどの基本的な操作技能（文字入力やファイル操作など）を児童生徒が身に付けることができるように指導する。 </w:t>
      </w:r>
    </w:p>
    <w:p w14:paraId="7FFB9AA7" w14:textId="13FA8E7E" w:rsidR="001B130A" w:rsidRDefault="001B130A" w:rsidP="001B130A">
      <w:r>
        <w:rPr>
          <w:rFonts w:hint="eastAsia"/>
        </w:rPr>
        <w:lastRenderedPageBreak/>
        <w:t>Ｃ２</w:t>
      </w:r>
      <w:r>
        <w:tab/>
        <w:t>81.4</w:t>
      </w:r>
      <w:r>
        <w:t>%</w:t>
      </w:r>
    </w:p>
    <w:p w14:paraId="708131E7" w14:textId="46B96C21" w:rsidR="001B130A" w:rsidRDefault="001B130A" w:rsidP="001B130A">
      <w:r>
        <w:t xml:space="preserve">児童生徒がコンピュータやインターネットなどを活用して，情報を収集したり，目的に応じた情報や信頼できる情報を選択したりできるように指導する。 </w:t>
      </w:r>
    </w:p>
    <w:p w14:paraId="45D1FEAB" w14:textId="7EDB803E" w:rsidR="001B130A" w:rsidRDefault="001B130A" w:rsidP="001B130A">
      <w:r>
        <w:rPr>
          <w:rFonts w:hint="eastAsia"/>
        </w:rPr>
        <w:t>Ｃ３</w:t>
      </w:r>
      <w:r>
        <w:tab/>
        <w:t>68.8</w:t>
      </w:r>
      <w:r>
        <w:t>%</w:t>
      </w:r>
    </w:p>
    <w:p w14:paraId="27644DAD" w14:textId="412D4789" w:rsidR="001B130A" w:rsidRDefault="001B130A" w:rsidP="001B130A">
      <w:r>
        <w:t xml:space="preserve">児童生徒がワープロソフト・表計算ソフト・プレゼンテーションソフトなどを活用して，調べたことや自分の考えを整理したり，文章・表・グラフ・図などに分かりやすくまとめたりすることができるように指導する。 </w:t>
      </w:r>
    </w:p>
    <w:p w14:paraId="6AB02C49" w14:textId="65E508AB" w:rsidR="001B130A" w:rsidRDefault="001B130A" w:rsidP="001B130A">
      <w:r>
        <w:rPr>
          <w:rFonts w:hint="eastAsia"/>
        </w:rPr>
        <w:t>Ｃ４</w:t>
      </w:r>
      <w:r>
        <w:tab/>
        <w:t>61.2</w:t>
      </w:r>
      <w:r>
        <w:t>%</w:t>
      </w:r>
    </w:p>
    <w:p w14:paraId="103A94F1" w14:textId="15229A44" w:rsidR="001B130A" w:rsidRDefault="001B130A" w:rsidP="001B130A">
      <w:pPr>
        <w:rPr>
          <w:rFonts w:hint="eastAsia"/>
        </w:rPr>
      </w:pPr>
      <w:r>
        <w:t>児童生徒が互いの考えを交換し共有して話合いなどができるように，コンピュータやソフトウェアなどを活用することを指導する。</w:t>
      </w:r>
    </w:p>
    <w:p w14:paraId="62B6EAED" w14:textId="4A66E272" w:rsidR="001B130A" w:rsidRDefault="001B130A" w:rsidP="00E048C5"/>
    <w:p w14:paraId="680A1B62" w14:textId="485C4B0F" w:rsidR="001B130A" w:rsidRDefault="001B130A" w:rsidP="001B130A">
      <w:pPr>
        <w:rPr>
          <w:szCs w:val="21"/>
        </w:rPr>
      </w:pPr>
      <w:r>
        <w:rPr>
          <w:rFonts w:hint="eastAsia"/>
        </w:rPr>
        <w:t>・</w:t>
      </w:r>
      <w:r w:rsidRPr="001B130A">
        <w:rPr>
          <w:szCs w:val="21"/>
        </w:rPr>
        <w:t>2020</w:t>
      </w:r>
      <w:r w:rsidRPr="001B130A">
        <w:rPr>
          <w:rFonts w:hint="eastAsia"/>
          <w:szCs w:val="21"/>
        </w:rPr>
        <w:t>年度の調査で</w:t>
      </w:r>
      <w:r>
        <w:rPr>
          <w:rFonts w:hint="eastAsia"/>
          <w:szCs w:val="21"/>
        </w:rPr>
        <w:t>の</w:t>
      </w:r>
      <w:r w:rsidRPr="001B130A">
        <w:rPr>
          <w:szCs w:val="21"/>
        </w:rPr>
        <w:t>ICT機器を導入した場合に行いたい学習</w:t>
      </w:r>
      <w:r w:rsidRPr="001B130A">
        <w:rPr>
          <w:rFonts w:hint="eastAsia"/>
          <w:szCs w:val="21"/>
        </w:rPr>
        <w:t>指導</w:t>
      </w:r>
    </w:p>
    <w:p w14:paraId="2C2C5A1F" w14:textId="71E9598D" w:rsidR="001B130A" w:rsidRDefault="001B130A" w:rsidP="001B130A">
      <w:pPr>
        <w:rPr>
          <w:szCs w:val="21"/>
        </w:rPr>
      </w:pPr>
      <w:r>
        <w:rPr>
          <w:rFonts w:hint="eastAsia"/>
          <w:szCs w:val="21"/>
        </w:rPr>
        <w:t>小学校</w:t>
      </w:r>
      <w:r>
        <w:rPr>
          <w:szCs w:val="21"/>
        </w:rPr>
        <w:tab/>
      </w:r>
      <w:r>
        <w:rPr>
          <w:rFonts w:hint="eastAsia"/>
          <w:szCs w:val="21"/>
        </w:rPr>
        <w:t>１位</w:t>
      </w:r>
      <w:r>
        <w:rPr>
          <w:szCs w:val="21"/>
        </w:rPr>
        <w:t xml:space="preserve"> </w:t>
      </w:r>
      <w:r w:rsidRPr="001B130A">
        <w:rPr>
          <w:rFonts w:hint="eastAsia"/>
          <w:szCs w:val="21"/>
        </w:rPr>
        <w:t>児童が情報収集を行</w:t>
      </w:r>
      <w:r>
        <w:rPr>
          <w:rFonts w:hint="eastAsia"/>
          <w:szCs w:val="21"/>
        </w:rPr>
        <w:t>う（</w:t>
      </w:r>
      <w:r w:rsidRPr="001B130A">
        <w:rPr>
          <w:szCs w:val="21"/>
        </w:rPr>
        <w:t>83.6</w:t>
      </w:r>
      <w:r>
        <w:rPr>
          <w:szCs w:val="21"/>
        </w:rPr>
        <w:t>%）</w:t>
      </w:r>
    </w:p>
    <w:p w14:paraId="201D6592" w14:textId="14319EA9" w:rsidR="001B130A" w:rsidRDefault="001B130A" w:rsidP="001B130A">
      <w:pPr>
        <w:rPr>
          <w:szCs w:val="21"/>
        </w:rPr>
      </w:pPr>
      <w:r>
        <w:rPr>
          <w:szCs w:val="21"/>
        </w:rPr>
        <w:tab/>
      </w:r>
      <w:r>
        <w:rPr>
          <w:rFonts w:hint="eastAsia"/>
          <w:szCs w:val="21"/>
        </w:rPr>
        <w:t>２位</w:t>
      </w:r>
      <w:r>
        <w:rPr>
          <w:szCs w:val="21"/>
        </w:rPr>
        <w:t xml:space="preserve"> </w:t>
      </w:r>
      <w:r w:rsidRPr="001B130A">
        <w:rPr>
          <w:rFonts w:hint="eastAsia"/>
          <w:szCs w:val="21"/>
        </w:rPr>
        <w:t>児童が意見を発表する</w:t>
      </w:r>
      <w:r>
        <w:rPr>
          <w:rFonts w:hint="eastAsia"/>
          <w:szCs w:val="21"/>
        </w:rPr>
        <w:t>（</w:t>
      </w:r>
      <w:r w:rsidRPr="001B130A">
        <w:rPr>
          <w:szCs w:val="21"/>
        </w:rPr>
        <w:t>67.4</w:t>
      </w:r>
      <w:r>
        <w:rPr>
          <w:szCs w:val="21"/>
        </w:rPr>
        <w:t>%）</w:t>
      </w:r>
    </w:p>
    <w:p w14:paraId="131BF7E7" w14:textId="33021071" w:rsidR="00EF0D55" w:rsidRPr="001B130A" w:rsidRDefault="00EF0D55" w:rsidP="00EF0D55">
      <w:pPr>
        <w:rPr>
          <w:rFonts w:hint="eastAsia"/>
          <w:szCs w:val="21"/>
        </w:rPr>
      </w:pPr>
      <w:r>
        <w:rPr>
          <w:szCs w:val="21"/>
        </w:rPr>
        <w:tab/>
      </w:r>
      <w:r>
        <w:rPr>
          <w:rFonts w:hint="eastAsia"/>
          <w:szCs w:val="21"/>
        </w:rPr>
        <w:t>３位</w:t>
      </w:r>
      <w:r>
        <w:rPr>
          <w:szCs w:val="21"/>
        </w:rPr>
        <w:t xml:space="preserve"> </w:t>
      </w:r>
      <w:r w:rsidRPr="00EF0D55">
        <w:rPr>
          <w:rFonts w:hint="eastAsia"/>
          <w:szCs w:val="21"/>
        </w:rPr>
        <w:t>児童が計算や漢字などの反復的な練習を行う</w:t>
      </w:r>
      <w:r>
        <w:rPr>
          <w:rFonts w:hint="eastAsia"/>
          <w:szCs w:val="21"/>
        </w:rPr>
        <w:t>（</w:t>
      </w:r>
      <w:r w:rsidRPr="00EF0D55">
        <w:rPr>
          <w:szCs w:val="21"/>
        </w:rPr>
        <w:t>61.7</w:t>
      </w:r>
      <w:r>
        <w:rPr>
          <w:szCs w:val="21"/>
        </w:rPr>
        <w:t>%）</w:t>
      </w:r>
    </w:p>
    <w:p w14:paraId="17B8604F" w14:textId="5AA2A1F7" w:rsidR="001B130A" w:rsidRDefault="001B130A" w:rsidP="001B130A">
      <w:pPr>
        <w:rPr>
          <w:szCs w:val="21"/>
        </w:rPr>
      </w:pPr>
      <w:r>
        <w:rPr>
          <w:rFonts w:hint="eastAsia"/>
          <w:szCs w:val="21"/>
        </w:rPr>
        <w:t>中学校</w:t>
      </w:r>
      <w:r>
        <w:rPr>
          <w:szCs w:val="21"/>
        </w:rPr>
        <w:tab/>
      </w:r>
      <w:r>
        <w:rPr>
          <w:rFonts w:hint="eastAsia"/>
          <w:szCs w:val="21"/>
        </w:rPr>
        <w:t>１位</w:t>
      </w:r>
      <w:r>
        <w:rPr>
          <w:szCs w:val="21"/>
        </w:rPr>
        <w:t xml:space="preserve"> </w:t>
      </w:r>
      <w:r w:rsidRPr="001B130A">
        <w:rPr>
          <w:rFonts w:hint="eastAsia"/>
          <w:szCs w:val="21"/>
        </w:rPr>
        <w:t>生徒が情報収集を行う</w:t>
      </w:r>
      <w:r>
        <w:rPr>
          <w:rFonts w:hint="eastAsia"/>
          <w:szCs w:val="21"/>
        </w:rPr>
        <w:t>（</w:t>
      </w:r>
      <w:r>
        <w:rPr>
          <w:szCs w:val="21"/>
        </w:rPr>
        <w:t>76.0%）</w:t>
      </w:r>
    </w:p>
    <w:p w14:paraId="075E2308" w14:textId="417293F1" w:rsidR="001B130A" w:rsidRPr="001B130A" w:rsidRDefault="001B130A" w:rsidP="001B130A">
      <w:pPr>
        <w:rPr>
          <w:rFonts w:hint="eastAsia"/>
          <w:szCs w:val="21"/>
        </w:rPr>
      </w:pPr>
      <w:r>
        <w:rPr>
          <w:szCs w:val="21"/>
        </w:rPr>
        <w:tab/>
      </w:r>
      <w:r>
        <w:rPr>
          <w:rFonts w:hint="eastAsia"/>
          <w:szCs w:val="21"/>
        </w:rPr>
        <w:t xml:space="preserve">２位 </w:t>
      </w:r>
      <w:r w:rsidRPr="001B130A">
        <w:rPr>
          <w:rFonts w:hint="eastAsia"/>
          <w:szCs w:val="21"/>
        </w:rPr>
        <w:t>生徒が意見を発表する</w:t>
      </w:r>
      <w:r>
        <w:rPr>
          <w:rFonts w:hint="eastAsia"/>
          <w:szCs w:val="21"/>
        </w:rPr>
        <w:t>（</w:t>
      </w:r>
      <w:r w:rsidRPr="001B130A">
        <w:rPr>
          <w:szCs w:val="21"/>
        </w:rPr>
        <w:t>66.7</w:t>
      </w:r>
      <w:r>
        <w:rPr>
          <w:szCs w:val="21"/>
        </w:rPr>
        <w:t>%）</w:t>
      </w:r>
    </w:p>
    <w:p w14:paraId="63AC86AE" w14:textId="5F86DC8F" w:rsidR="001B130A" w:rsidRDefault="001B130A" w:rsidP="001B130A">
      <w:pPr>
        <w:rPr>
          <w:szCs w:val="21"/>
        </w:rPr>
      </w:pPr>
      <w:r>
        <w:rPr>
          <w:szCs w:val="21"/>
        </w:rPr>
        <w:tab/>
      </w:r>
      <w:r>
        <w:rPr>
          <w:rFonts w:hint="eastAsia"/>
          <w:szCs w:val="21"/>
        </w:rPr>
        <w:t xml:space="preserve">３位 </w:t>
      </w:r>
      <w:r w:rsidRPr="001B130A">
        <w:rPr>
          <w:rFonts w:hint="eastAsia"/>
          <w:szCs w:val="21"/>
        </w:rPr>
        <w:t>教員が宿題や課題を出したり、フィードバックしたりす</w:t>
      </w:r>
      <w:r>
        <w:rPr>
          <w:rFonts w:hint="eastAsia"/>
          <w:szCs w:val="21"/>
        </w:rPr>
        <w:t>る（</w:t>
      </w:r>
      <w:r w:rsidRPr="001B130A">
        <w:rPr>
          <w:szCs w:val="21"/>
        </w:rPr>
        <w:t>53.9</w:t>
      </w:r>
      <w:r>
        <w:rPr>
          <w:szCs w:val="21"/>
        </w:rPr>
        <w:t>%）</w:t>
      </w:r>
    </w:p>
    <w:p w14:paraId="529AEB18" w14:textId="05C5970A" w:rsidR="001B130A" w:rsidRDefault="00EF0D55" w:rsidP="00EF0D55">
      <w:pPr>
        <w:rPr>
          <w:szCs w:val="21"/>
        </w:rPr>
      </w:pPr>
      <w:r>
        <w:rPr>
          <w:rFonts w:hint="eastAsia"/>
          <w:szCs w:val="21"/>
        </w:rPr>
        <w:t>他の項目：</w:t>
      </w:r>
      <w:r w:rsidRPr="00EF0D55">
        <w:rPr>
          <w:rFonts w:hint="eastAsia"/>
          <w:szCs w:val="21"/>
        </w:rPr>
        <w:t>児童がオンライン上でより多くの人とつながって、学びあう</w:t>
      </w:r>
      <w:r>
        <w:rPr>
          <w:rFonts w:hint="eastAsia"/>
          <w:szCs w:val="21"/>
        </w:rPr>
        <w:t>、</w:t>
      </w:r>
      <w:r w:rsidRPr="00EF0D55">
        <w:rPr>
          <w:rFonts w:hint="eastAsia"/>
          <w:szCs w:val="21"/>
        </w:rPr>
        <w:t>教員が一人一人の児童の学習状況に応じた指導を行う</w:t>
      </w:r>
      <w:r>
        <w:rPr>
          <w:rFonts w:hint="eastAsia"/>
          <w:szCs w:val="21"/>
        </w:rPr>
        <w:t>、</w:t>
      </w:r>
      <w:r w:rsidRPr="00EF0D55">
        <w:rPr>
          <w:rFonts w:hint="eastAsia"/>
          <w:szCs w:val="21"/>
        </w:rPr>
        <w:t>教員が宿題や課題を出したり、フィードバックしたりする</w:t>
      </w:r>
      <w:r>
        <w:rPr>
          <w:rFonts w:hint="eastAsia"/>
          <w:szCs w:val="21"/>
        </w:rPr>
        <w:t>、</w:t>
      </w:r>
      <w:r w:rsidRPr="00EF0D55">
        <w:rPr>
          <w:rFonts w:hint="eastAsia"/>
          <w:szCs w:val="21"/>
        </w:rPr>
        <w:t>児童にパソコンやタブレットを自宅に持ち帰らせて勉強させる</w:t>
      </w:r>
    </w:p>
    <w:p w14:paraId="08401202" w14:textId="77777777" w:rsidR="00EF0D55" w:rsidRDefault="00EF0D55" w:rsidP="00EF0D55">
      <w:pPr>
        <w:rPr>
          <w:rFonts w:hint="eastAsia"/>
          <w:szCs w:val="21"/>
        </w:rPr>
      </w:pPr>
    </w:p>
    <w:p w14:paraId="2B1CF901" w14:textId="041FCA27" w:rsidR="001B130A" w:rsidRDefault="001B130A" w:rsidP="00E048C5">
      <w:pPr>
        <w:rPr>
          <w:rFonts w:hint="eastAsia"/>
        </w:rPr>
      </w:pPr>
      <w:r>
        <w:rPr>
          <w:rFonts w:hint="eastAsia"/>
        </w:rPr>
        <w:t>言いたいこと</w:t>
      </w:r>
    </w:p>
    <w:p w14:paraId="30A6075F" w14:textId="1CFF931F" w:rsidR="00E048C5" w:rsidRDefault="000441CB" w:rsidP="00E048C5">
      <w:r>
        <w:rPr>
          <w:rFonts w:hint="eastAsia"/>
        </w:rPr>
        <w:t>一見、佐伯の主張を実現したものが文科省の方針と見えなくもない。協働的な学びにより、共同体が作れる。個別最適な学びの「学習の個性化」において、表現にコンピュータを用いるということが述べられている。一方、指導の個別化が気にかかる点である。「</w:t>
      </w:r>
      <w:r w:rsidRPr="000441CB">
        <w:rPr>
          <w:rFonts w:hint="eastAsia"/>
        </w:rPr>
        <w:t>個々の児童生徒に応じて異なる方法等で学習を進めることであり、その中で児童生徒自身が自らの特徴やどのように学習を進めることが効果的であるかを学んでいく</w:t>
      </w:r>
      <w:r>
        <w:rPr>
          <w:rFonts w:hint="eastAsia"/>
        </w:rPr>
        <w:t>」自分にとって「わかる」ということがどういうことかということをわかっていく作業とも捉えられ、佐伯の主張に見合う？ようにも考えられる</w:t>
      </w:r>
      <w:r w:rsidR="00E048C5">
        <w:rPr>
          <w:rFonts w:hint="eastAsia"/>
        </w:rPr>
        <w:t>。しかし</w:t>
      </w:r>
      <w:r>
        <w:rPr>
          <w:rFonts w:hint="eastAsia"/>
        </w:rPr>
        <w:t>、結局は</w:t>
      </w:r>
      <w:r w:rsidRPr="000441CB">
        <w:rPr>
          <w:rFonts w:hint="eastAsia"/>
        </w:rPr>
        <w:t>一定の目標を全ての児童生徒が達成すること</w:t>
      </w:r>
      <w:r w:rsidRPr="000441CB">
        <w:rPr>
          <w:rFonts w:hint="eastAsia"/>
        </w:rPr>
        <w:lastRenderedPageBreak/>
        <w:t>を目指し</w:t>
      </w:r>
      <w:r>
        <w:rPr>
          <w:rFonts w:hint="eastAsia"/>
        </w:rPr>
        <w:t>ているものであり、</w:t>
      </w:r>
      <w:r w:rsidR="00E048C5">
        <w:t>AI</w:t>
      </w:r>
      <w:r w:rsidR="00E048C5">
        <w:rPr>
          <w:rFonts w:hint="eastAsia"/>
        </w:rPr>
        <w:t>によってその児童の理解度にあった問題が提示されることが想定されており、</w:t>
      </w:r>
      <w:r w:rsidR="00E048C5">
        <w:t>CAI</w:t>
      </w:r>
      <w:r w:rsidR="00E048C5">
        <w:rPr>
          <w:rFonts w:hint="eastAsia"/>
        </w:rPr>
        <w:t>の進化版に過ぎず、佐伯の主張とは大きくかけ離れたものに違いない。「できる」を判定されている。前述のような目標を達成できるのか？疑問。。。</w:t>
      </w:r>
    </w:p>
    <w:p w14:paraId="3AC3D745" w14:textId="43B06FF6" w:rsidR="000441CB" w:rsidRDefault="00E048C5" w:rsidP="00E048C5">
      <w:r>
        <w:t>またICT</w:t>
      </w:r>
      <w:r>
        <w:rPr>
          <w:rFonts w:hint="eastAsia"/>
        </w:rPr>
        <w:t>活用例においても</w:t>
      </w:r>
      <w:r>
        <w:t>AI</w:t>
      </w:r>
      <w:r>
        <w:rPr>
          <w:rFonts w:hint="eastAsia"/>
        </w:rPr>
        <w:t>ドリルとはっきり明記されている。一応「</w:t>
      </w:r>
      <w:r>
        <w:rPr>
          <w:rFonts w:hint="eastAsia"/>
        </w:rPr>
        <w:t>これだけでは学習指導要領の求める思考力・判断力・表現力等の育成に資するものではなく、学習分野や使う場面が限定されるものであることに留意が必要である。</w:t>
      </w:r>
      <w:r>
        <w:rPr>
          <w:rFonts w:hint="eastAsia"/>
        </w:rPr>
        <w:t>」と書かれている。</w:t>
      </w:r>
    </w:p>
    <w:p w14:paraId="132D82EF" w14:textId="77777777" w:rsidR="00EF0D55" w:rsidRDefault="00EF0D55" w:rsidP="00EF0D55">
      <w:pPr>
        <w:rPr>
          <w:rFonts w:hint="eastAsia"/>
        </w:rPr>
      </w:pPr>
      <w:r>
        <w:rPr>
          <w:rFonts w:hint="eastAsia"/>
        </w:rPr>
        <w:t>実態調査でも、個別最適なものと関わるものは調べ学習とドリルという感じになりそうで、前述のような「</w:t>
      </w:r>
      <w:r w:rsidRPr="000441CB">
        <w:rPr>
          <w:rFonts w:hint="eastAsia"/>
        </w:rPr>
        <w:t>児童生徒が自らの状態を様々なデータも活用しながら把握し、自らに合った学習の進め方を考えることができる</w:t>
      </w:r>
      <w:r>
        <w:rPr>
          <w:rFonts w:hint="eastAsia"/>
        </w:rPr>
        <w:t>」ことができる気はあまりしない</w:t>
      </w:r>
    </w:p>
    <w:p w14:paraId="62C3F8D2" w14:textId="3AC55A4B" w:rsidR="00EF0D55" w:rsidRDefault="00EF0D55" w:rsidP="00E048C5">
      <w:r>
        <w:rPr>
          <w:rFonts w:hint="eastAsia"/>
        </w:rPr>
        <w:t>協働学習においても実態調査から分かるように、理想が実現できる環境にはない。</w:t>
      </w:r>
    </w:p>
    <w:p w14:paraId="4025B9F3" w14:textId="7F730B60" w:rsidR="00EF0D55" w:rsidRDefault="00EF0D55" w:rsidP="00E048C5">
      <w:r>
        <w:rPr>
          <w:rFonts w:hint="eastAsia"/>
        </w:rPr>
        <w:t>結局現実を考えると、わかりやすい教材の提示、調べ学習、発表程度にとどまるのでは？</w:t>
      </w:r>
    </w:p>
    <w:p w14:paraId="0183A2BD" w14:textId="015B874F" w:rsidR="00EF0D55" w:rsidRPr="00EF0D55" w:rsidRDefault="00EF0D55" w:rsidP="00E048C5">
      <w:pPr>
        <w:rPr>
          <w:rFonts w:hint="eastAsia"/>
        </w:rPr>
      </w:pPr>
      <w:r>
        <w:rPr>
          <w:rFonts w:hint="eastAsia"/>
        </w:rPr>
        <w:t>←佐伯の考えのどれにも当てはまらないのでは？</w:t>
      </w:r>
    </w:p>
    <w:p w14:paraId="1D950CC4" w14:textId="7A1776EB" w:rsidR="00E010FD" w:rsidRDefault="00E010FD" w:rsidP="00E048C5"/>
    <w:p w14:paraId="713A0CA7" w14:textId="0F56751B" w:rsidR="00E010FD" w:rsidRPr="000441CB" w:rsidRDefault="00E010FD" w:rsidP="00E048C5">
      <w:pPr>
        <w:rPr>
          <w:rFonts w:hint="eastAsia"/>
        </w:rPr>
      </w:pPr>
      <w:r>
        <w:rPr>
          <w:rFonts w:hint="eastAsia"/>
        </w:rPr>
        <w:t>個人的にはタブレットが配られる、じゃあどうやって使うか考えなきゃみたいな流れが滑稽に思える。</w:t>
      </w:r>
      <w:r w:rsidR="001D0112">
        <w:rPr>
          <w:rFonts w:hint="eastAsia"/>
        </w:rPr>
        <w:t>世の中</w:t>
      </w:r>
      <w:r>
        <w:rPr>
          <w:rFonts w:hint="eastAsia"/>
        </w:rPr>
        <w:t>活用例</w:t>
      </w:r>
      <w:r w:rsidR="00EF0D55">
        <w:rPr>
          <w:rFonts w:hint="eastAsia"/>
        </w:rPr>
        <w:t>があふれているが</w:t>
      </w:r>
      <w:r w:rsidR="001D0112">
        <w:rPr>
          <w:rFonts w:hint="eastAsia"/>
        </w:rPr>
        <w:t>、佐伯のいう道具の条件</w:t>
      </w:r>
      <w:r w:rsidR="00EF0D55">
        <w:rPr>
          <w:rFonts w:hint="eastAsia"/>
        </w:rPr>
        <w:t>を</w:t>
      </w:r>
      <w:r w:rsidR="001D0112">
        <w:rPr>
          <w:rFonts w:hint="eastAsia"/>
        </w:rPr>
        <w:t>考えたら、</w:t>
      </w:r>
      <w:r w:rsidR="00EF0D55">
        <w:rPr>
          <w:rFonts w:hint="eastAsia"/>
        </w:rPr>
        <w:t>活用例を探してこれを真似してみよう！っていうのはおかしいのではないか。まずは真似してみたり、コンピュータに使われていると言っても過言ではない状態を</w:t>
      </w:r>
      <w:r w:rsidR="001D0112">
        <w:rPr>
          <w:rFonts w:hint="eastAsia"/>
        </w:rPr>
        <w:t>経なくては</w:t>
      </w:r>
      <w:r w:rsidR="00EF0D55">
        <w:rPr>
          <w:rFonts w:hint="eastAsia"/>
        </w:rPr>
        <w:t>始まらないというのが現実なのかもしれないけ</w:t>
      </w:r>
      <w:r w:rsidR="00E22D3F">
        <w:rPr>
          <w:rFonts w:hint="eastAsia"/>
        </w:rPr>
        <w:t>れ</w:t>
      </w:r>
      <w:r w:rsidR="00EF0D55">
        <w:rPr>
          <w:rFonts w:hint="eastAsia"/>
        </w:rPr>
        <w:t>ど。。。納得はいかない</w:t>
      </w:r>
    </w:p>
    <w:p w14:paraId="00F8CD5B" w14:textId="63EAD3A7"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hint="eastAsia"/>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5C1A265C" w14:textId="3C09ACA4" w:rsidR="0054566A"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11A29803" w14:textId="4C6865E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lastRenderedPageBreak/>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7EFD143E"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Pr>
          <w:rFonts w:asciiTheme="minorEastAsia" w:hAnsiTheme="minorEastAsia" w:cs="`’¡Ã˛" w:hint="eastAsia"/>
          <w:color w:val="000000" w:themeColor="text1"/>
          <w:kern w:val="0"/>
          <w:szCs w:val="21"/>
        </w:rPr>
        <w:t>←</w:t>
      </w:r>
      <w:r w:rsidRPr="00B40932">
        <w:rPr>
          <w:rFonts w:asciiTheme="minorEastAsia" w:hAnsiTheme="minorEastAsia" w:cs="`’¡Ã˛" w:hint="eastAsia"/>
          <w:color w:val="FF0000"/>
          <w:kern w:val="0"/>
          <w:szCs w:val="21"/>
        </w:rPr>
        <w:t>書き方？？</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28121D3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E460" w14:textId="77777777" w:rsidR="00F52DAF" w:rsidRDefault="00F52DAF" w:rsidP="00B674F1">
      <w:r>
        <w:separator/>
      </w:r>
    </w:p>
  </w:endnote>
  <w:endnote w:type="continuationSeparator" w:id="0">
    <w:p w14:paraId="28752E3A" w14:textId="77777777" w:rsidR="00F52DAF" w:rsidRDefault="00F52DAF"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CF8F6" w14:textId="77777777" w:rsidR="00F52DAF" w:rsidRDefault="00F52DAF" w:rsidP="00B674F1">
      <w:r>
        <w:separator/>
      </w:r>
    </w:p>
  </w:footnote>
  <w:footnote w:type="continuationSeparator" w:id="0">
    <w:p w14:paraId="63B36A15" w14:textId="77777777" w:rsidR="00F52DAF" w:rsidRDefault="00F52DAF"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9CB2249" w14:textId="73D1C427" w:rsidR="00AA29C7" w:rsidRPr="00AA29C7" w:rsidRDefault="00D07139" w:rsidP="00DA435D">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3380F715" w14:textId="4BA6B9BF" w:rsidR="00D5797A" w:rsidRPr="00D5797A" w:rsidRDefault="00D5797A" w:rsidP="00D5797A">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6DE326BF" w14:textId="6259FBDA" w:rsidR="0098639B" w:rsidRPr="0098639B" w:rsidRDefault="0098639B">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6DB33D0" w14:textId="536BCFF6" w:rsidR="009E02B3" w:rsidRPr="009E02B3" w:rsidRDefault="009E02B3">
      <w:pPr>
        <w:pStyle w:val="a9"/>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w:t>
      </w:r>
      <w:r w:rsidR="00EE6F4A">
        <w:t>9</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7E19BB47" w14:textId="48A07A5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22C9400A" w14:textId="5712D2F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2">
    <w:p w14:paraId="11E278AD" w14:textId="2AF30987" w:rsidR="00D7321F" w:rsidRPr="00D7321F" w:rsidRDefault="00D7321F">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3">
    <w:p w14:paraId="1EDD8496" w14:textId="5A8CBCBA" w:rsidR="008A7C90" w:rsidRPr="008A7C90" w:rsidRDefault="008A7C90">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6">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7">
    <w:p w14:paraId="19B940D6" w14:textId="0035B4C2" w:rsidR="00D94CCE" w:rsidRDefault="00D94CCE">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8">
    <w:p w14:paraId="53B2EF32" w14:textId="19EBCB49" w:rsidR="000477B7" w:rsidRDefault="000477B7">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p>
  </w:footnote>
  <w:footnote w:id="19">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0">
    <w:p w14:paraId="2C634E2D" w14:textId="3CFC6D74" w:rsidR="002801CF" w:rsidRPr="002801CF" w:rsidRDefault="002801CF">
      <w:pPr>
        <w:pStyle w:val="a9"/>
        <w:rPr>
          <w:rFonts w:hint="eastAsia"/>
        </w:rPr>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1">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2">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3">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4">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5">
    <w:p w14:paraId="765F64C6" w14:textId="6EE6590B" w:rsidR="00BD43B6" w:rsidRDefault="00BD43B6" w:rsidP="00BD43B6">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6">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7">
    <w:p w14:paraId="062074E6" w14:textId="77777777" w:rsidR="00B925BB" w:rsidRDefault="00B925BB" w:rsidP="00B925BB">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8">
    <w:p w14:paraId="500E8D16" w14:textId="4CA5C9AD" w:rsidR="003B54C0" w:rsidRDefault="003B54C0">
      <w:pPr>
        <w:pStyle w:val="a9"/>
      </w:pPr>
      <w:r>
        <w:rPr>
          <w:rStyle w:val="ab"/>
        </w:rPr>
        <w:footnoteRef/>
      </w:r>
      <w:r>
        <w:t xml:space="preserve"> </w:t>
      </w:r>
      <w:r w:rsidR="00D75166" w:rsidRPr="00D75166">
        <w:rPr>
          <w:rFonts w:hint="eastAsia"/>
        </w:rPr>
        <w:t>佐伯胖『考えることの教育』国土社、</w:t>
      </w:r>
      <w:r w:rsidR="00D75166" w:rsidRPr="00D75166">
        <w:t>1982年</w:t>
      </w:r>
      <w:r w:rsidR="00D75166">
        <w:rPr>
          <w:rFonts w:hint="eastAsia"/>
        </w:rPr>
        <w:t>、</w:t>
      </w:r>
      <w:r w:rsidR="00D75166">
        <w:t>109</w:t>
      </w:r>
      <w:r w:rsidR="00D75166">
        <w:rPr>
          <w:rFonts w:hint="eastAsia"/>
        </w:rPr>
        <w:t>頁</w:t>
      </w:r>
      <w:r w:rsidR="00D75166" w:rsidRPr="00D75166">
        <w:t>。</w:t>
      </w:r>
    </w:p>
  </w:footnote>
  <w:footnote w:id="29">
    <w:p w14:paraId="51AC650B" w14:textId="31A3D30A" w:rsidR="004B0405" w:rsidRDefault="004B0405">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30">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2">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3">
    <w:p w14:paraId="3D641FA7" w14:textId="347A38FA" w:rsidR="009B632F" w:rsidRDefault="009B632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5">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6">
    <w:p w14:paraId="678B5C56" w14:textId="7411E47B" w:rsidR="008C21F9" w:rsidRDefault="008C21F9">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rsidR="008D1D9B">
        <w:t>44-45</w:t>
      </w:r>
      <w:r w:rsidRPr="008C21F9">
        <w:rPr>
          <w:rFonts w:hint="eastAsia"/>
        </w:rPr>
        <w:t>⾴。</w:t>
      </w:r>
    </w:p>
  </w:footnote>
  <w:footnote w:id="37">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8">
    <w:p w14:paraId="3085EDD0" w14:textId="5A74069B" w:rsidR="00A33088" w:rsidRDefault="00A33088">
      <w:pPr>
        <w:pStyle w:val="a9"/>
      </w:pPr>
      <w:r>
        <w:rPr>
          <w:rStyle w:val="ab"/>
        </w:rPr>
        <w:footnoteRef/>
      </w:r>
      <w:r>
        <w:t xml:space="preserve"> </w:t>
      </w:r>
      <w:r w:rsidRPr="00B40932">
        <w:rPr>
          <w:rFonts w:hint="eastAsia"/>
          <w:color w:val="FF0000"/>
        </w:rPr>
        <w:t>？？？</w:t>
      </w:r>
      <w:r>
        <w:rPr>
          <w:rFonts w:hint="eastAsia"/>
        </w:rPr>
        <w:t>、</w:t>
      </w:r>
      <w:r>
        <w:t>12</w:t>
      </w:r>
      <w:r>
        <w:rPr>
          <w:rFonts w:hint="eastAsia"/>
        </w:rPr>
        <w:t>頁。</w:t>
      </w:r>
    </w:p>
  </w:footnote>
  <w:footnote w:id="39">
    <w:p w14:paraId="3FE0AE63" w14:textId="371067B6" w:rsidR="00B40932" w:rsidRDefault="00B40932">
      <w:pPr>
        <w:pStyle w:val="a9"/>
      </w:pPr>
      <w:r>
        <w:rPr>
          <w:rStyle w:val="ab"/>
        </w:rPr>
        <w:footnoteRef/>
      </w:r>
      <w:r>
        <w:t xml:space="preserve"> </w:t>
      </w:r>
      <w:r w:rsidRPr="00B40932">
        <w:rPr>
          <w:rFonts w:hint="eastAsia"/>
          <w:color w:val="FF0000"/>
        </w:rPr>
        <w:t>？？？</w:t>
      </w:r>
      <w:r>
        <w:rPr>
          <w:rFonts w:hint="eastAsia"/>
        </w:rPr>
        <w:t>、</w:t>
      </w:r>
      <w:r>
        <w:t>12-13</w:t>
      </w:r>
      <w:r>
        <w:rPr>
          <w:rFonts w:hint="eastAsia"/>
        </w:rPr>
        <w:t>頁。</w:t>
      </w:r>
    </w:p>
  </w:footnote>
  <w:footnote w:id="40">
    <w:p w14:paraId="4DA69393" w14:textId="0C83D033" w:rsidR="007E5B66" w:rsidRPr="007E5B66" w:rsidRDefault="007E5B66" w:rsidP="007E5B66">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1">
    <w:p w14:paraId="38375A12" w14:textId="77777777" w:rsidR="007E5B66" w:rsidRDefault="007E5B66" w:rsidP="007E5B66">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2">
    <w:p w14:paraId="132DE444" w14:textId="3E40E98C" w:rsidR="00347DA3" w:rsidRPr="00347DA3" w:rsidRDefault="00347DA3">
      <w:pPr>
        <w:pStyle w:val="a9"/>
      </w:pPr>
      <w:r>
        <w:rPr>
          <w:rStyle w:val="ab"/>
        </w:rPr>
        <w:footnoteRef/>
      </w:r>
      <w:r>
        <w:t xml:space="preserve"> </w:t>
      </w:r>
      <w:r w:rsidRPr="00B40932">
        <w:rPr>
          <w:rFonts w:hint="eastAsia"/>
          <w:color w:val="FF0000"/>
        </w:rPr>
        <w:t>？？？</w:t>
      </w:r>
      <w:r>
        <w:rPr>
          <w:rFonts w:hint="eastAsia"/>
        </w:rPr>
        <w:t>、</w:t>
      </w:r>
      <w:r>
        <w:t>19</w:t>
      </w:r>
      <w:r>
        <w:rPr>
          <w:rFonts w:hint="eastAsia"/>
        </w:rPr>
        <w:t>頁。</w:t>
      </w:r>
    </w:p>
  </w:footnote>
  <w:footnote w:id="43">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87193"/>
    <w:rsid w:val="0009524A"/>
    <w:rsid w:val="000967B6"/>
    <w:rsid w:val="000B3C55"/>
    <w:rsid w:val="000C0E33"/>
    <w:rsid w:val="000C5AAE"/>
    <w:rsid w:val="000C78B2"/>
    <w:rsid w:val="000D19BD"/>
    <w:rsid w:val="000F3A15"/>
    <w:rsid w:val="001102F1"/>
    <w:rsid w:val="00116860"/>
    <w:rsid w:val="00125A52"/>
    <w:rsid w:val="001339B2"/>
    <w:rsid w:val="00144073"/>
    <w:rsid w:val="001460DB"/>
    <w:rsid w:val="00155ADB"/>
    <w:rsid w:val="00157C66"/>
    <w:rsid w:val="00170044"/>
    <w:rsid w:val="0017300C"/>
    <w:rsid w:val="00176C35"/>
    <w:rsid w:val="001A6ACB"/>
    <w:rsid w:val="001A7810"/>
    <w:rsid w:val="001B130A"/>
    <w:rsid w:val="001C0AE5"/>
    <w:rsid w:val="001C350E"/>
    <w:rsid w:val="001C4445"/>
    <w:rsid w:val="001D0112"/>
    <w:rsid w:val="001D069B"/>
    <w:rsid w:val="001E7F5D"/>
    <w:rsid w:val="001F5BCB"/>
    <w:rsid w:val="00212439"/>
    <w:rsid w:val="00221E7B"/>
    <w:rsid w:val="00226E24"/>
    <w:rsid w:val="002308D8"/>
    <w:rsid w:val="00245374"/>
    <w:rsid w:val="00245542"/>
    <w:rsid w:val="00266F47"/>
    <w:rsid w:val="00272325"/>
    <w:rsid w:val="0027498F"/>
    <w:rsid w:val="002801CF"/>
    <w:rsid w:val="002A5339"/>
    <w:rsid w:val="002A6C59"/>
    <w:rsid w:val="002B1C45"/>
    <w:rsid w:val="002B50A5"/>
    <w:rsid w:val="002B556F"/>
    <w:rsid w:val="002C2EA6"/>
    <w:rsid w:val="002C6389"/>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92130"/>
    <w:rsid w:val="00394C3E"/>
    <w:rsid w:val="00395120"/>
    <w:rsid w:val="003A61BB"/>
    <w:rsid w:val="003A7B64"/>
    <w:rsid w:val="003B54C0"/>
    <w:rsid w:val="003C5D14"/>
    <w:rsid w:val="003E22F1"/>
    <w:rsid w:val="003E3720"/>
    <w:rsid w:val="003F1DD4"/>
    <w:rsid w:val="00402737"/>
    <w:rsid w:val="004032BD"/>
    <w:rsid w:val="004144B1"/>
    <w:rsid w:val="00420629"/>
    <w:rsid w:val="00423920"/>
    <w:rsid w:val="00441FDB"/>
    <w:rsid w:val="00454C47"/>
    <w:rsid w:val="004556AC"/>
    <w:rsid w:val="00481954"/>
    <w:rsid w:val="004A37CB"/>
    <w:rsid w:val="004B0405"/>
    <w:rsid w:val="004B1D06"/>
    <w:rsid w:val="004B3607"/>
    <w:rsid w:val="004E3F2D"/>
    <w:rsid w:val="004F5877"/>
    <w:rsid w:val="005157E4"/>
    <w:rsid w:val="005215F3"/>
    <w:rsid w:val="005275E5"/>
    <w:rsid w:val="00533896"/>
    <w:rsid w:val="00536324"/>
    <w:rsid w:val="005368F5"/>
    <w:rsid w:val="0054566A"/>
    <w:rsid w:val="00550BA4"/>
    <w:rsid w:val="00553699"/>
    <w:rsid w:val="00584B57"/>
    <w:rsid w:val="005861B0"/>
    <w:rsid w:val="005A1363"/>
    <w:rsid w:val="005D2145"/>
    <w:rsid w:val="005E2566"/>
    <w:rsid w:val="005E55E3"/>
    <w:rsid w:val="005F0A5C"/>
    <w:rsid w:val="006309A1"/>
    <w:rsid w:val="00631CE0"/>
    <w:rsid w:val="00636E29"/>
    <w:rsid w:val="00637373"/>
    <w:rsid w:val="006449B8"/>
    <w:rsid w:val="00654EBC"/>
    <w:rsid w:val="00654EEF"/>
    <w:rsid w:val="00664A02"/>
    <w:rsid w:val="00681F4E"/>
    <w:rsid w:val="0069204F"/>
    <w:rsid w:val="00692212"/>
    <w:rsid w:val="006A6101"/>
    <w:rsid w:val="006A69CB"/>
    <w:rsid w:val="006A728E"/>
    <w:rsid w:val="006B1728"/>
    <w:rsid w:val="006B56E7"/>
    <w:rsid w:val="006C5C37"/>
    <w:rsid w:val="006E1FEA"/>
    <w:rsid w:val="006E4CFE"/>
    <w:rsid w:val="006F76E9"/>
    <w:rsid w:val="00712DCB"/>
    <w:rsid w:val="007140E5"/>
    <w:rsid w:val="00715469"/>
    <w:rsid w:val="00715E90"/>
    <w:rsid w:val="00726F20"/>
    <w:rsid w:val="00730934"/>
    <w:rsid w:val="00736A4F"/>
    <w:rsid w:val="00761871"/>
    <w:rsid w:val="007646D5"/>
    <w:rsid w:val="00772114"/>
    <w:rsid w:val="00776656"/>
    <w:rsid w:val="00780F2E"/>
    <w:rsid w:val="007A0F60"/>
    <w:rsid w:val="007A7051"/>
    <w:rsid w:val="007C06E4"/>
    <w:rsid w:val="007C3C1B"/>
    <w:rsid w:val="007C5219"/>
    <w:rsid w:val="007C5CED"/>
    <w:rsid w:val="007C72F0"/>
    <w:rsid w:val="007E3625"/>
    <w:rsid w:val="007E5B66"/>
    <w:rsid w:val="007F2DD8"/>
    <w:rsid w:val="007F66C4"/>
    <w:rsid w:val="007F7494"/>
    <w:rsid w:val="00826D9A"/>
    <w:rsid w:val="00830216"/>
    <w:rsid w:val="0083188B"/>
    <w:rsid w:val="008336A3"/>
    <w:rsid w:val="00836C33"/>
    <w:rsid w:val="00837BE4"/>
    <w:rsid w:val="00843B32"/>
    <w:rsid w:val="00862DD4"/>
    <w:rsid w:val="008663D1"/>
    <w:rsid w:val="00884572"/>
    <w:rsid w:val="00887B8C"/>
    <w:rsid w:val="008955FC"/>
    <w:rsid w:val="008A7C90"/>
    <w:rsid w:val="008B4670"/>
    <w:rsid w:val="008B6DFC"/>
    <w:rsid w:val="008B766D"/>
    <w:rsid w:val="008C21F9"/>
    <w:rsid w:val="008D1D9B"/>
    <w:rsid w:val="008D7403"/>
    <w:rsid w:val="008F4BED"/>
    <w:rsid w:val="00927F6C"/>
    <w:rsid w:val="0094054D"/>
    <w:rsid w:val="0094160A"/>
    <w:rsid w:val="009455F8"/>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64ED"/>
    <w:rsid w:val="00A60DF6"/>
    <w:rsid w:val="00A60F1B"/>
    <w:rsid w:val="00A663D5"/>
    <w:rsid w:val="00A81CFC"/>
    <w:rsid w:val="00A87D8E"/>
    <w:rsid w:val="00AA29C7"/>
    <w:rsid w:val="00AA6779"/>
    <w:rsid w:val="00AB0CD3"/>
    <w:rsid w:val="00AB2D80"/>
    <w:rsid w:val="00AC2475"/>
    <w:rsid w:val="00AD297A"/>
    <w:rsid w:val="00AD2B4F"/>
    <w:rsid w:val="00AE176F"/>
    <w:rsid w:val="00B12A5C"/>
    <w:rsid w:val="00B23F99"/>
    <w:rsid w:val="00B23FD3"/>
    <w:rsid w:val="00B30050"/>
    <w:rsid w:val="00B40932"/>
    <w:rsid w:val="00B674F1"/>
    <w:rsid w:val="00B67A14"/>
    <w:rsid w:val="00B75B4A"/>
    <w:rsid w:val="00B91262"/>
    <w:rsid w:val="00B925BB"/>
    <w:rsid w:val="00B93EF4"/>
    <w:rsid w:val="00BA18BB"/>
    <w:rsid w:val="00BA27CC"/>
    <w:rsid w:val="00BA7139"/>
    <w:rsid w:val="00BB6251"/>
    <w:rsid w:val="00BC2F7A"/>
    <w:rsid w:val="00BD0805"/>
    <w:rsid w:val="00BD43B6"/>
    <w:rsid w:val="00BD67B1"/>
    <w:rsid w:val="00BE6BF9"/>
    <w:rsid w:val="00BE7CAB"/>
    <w:rsid w:val="00C00F14"/>
    <w:rsid w:val="00C03683"/>
    <w:rsid w:val="00C26C91"/>
    <w:rsid w:val="00C27404"/>
    <w:rsid w:val="00C30F10"/>
    <w:rsid w:val="00C31005"/>
    <w:rsid w:val="00C430A3"/>
    <w:rsid w:val="00C443F1"/>
    <w:rsid w:val="00C50C61"/>
    <w:rsid w:val="00C75AF7"/>
    <w:rsid w:val="00C84303"/>
    <w:rsid w:val="00C87DC1"/>
    <w:rsid w:val="00CA29B3"/>
    <w:rsid w:val="00CA3716"/>
    <w:rsid w:val="00CA6294"/>
    <w:rsid w:val="00CC5266"/>
    <w:rsid w:val="00CD2548"/>
    <w:rsid w:val="00CE718B"/>
    <w:rsid w:val="00CE7CDD"/>
    <w:rsid w:val="00D07139"/>
    <w:rsid w:val="00D1078B"/>
    <w:rsid w:val="00D1220E"/>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10FD"/>
    <w:rsid w:val="00E04121"/>
    <w:rsid w:val="00E048C5"/>
    <w:rsid w:val="00E1467F"/>
    <w:rsid w:val="00E22D3F"/>
    <w:rsid w:val="00E236C5"/>
    <w:rsid w:val="00E33547"/>
    <w:rsid w:val="00E44A57"/>
    <w:rsid w:val="00E50F5C"/>
    <w:rsid w:val="00E631C8"/>
    <w:rsid w:val="00E674D1"/>
    <w:rsid w:val="00E735D1"/>
    <w:rsid w:val="00E75CAA"/>
    <w:rsid w:val="00E877BB"/>
    <w:rsid w:val="00E93687"/>
    <w:rsid w:val="00EB5CC8"/>
    <w:rsid w:val="00EC11A0"/>
    <w:rsid w:val="00EC526D"/>
    <w:rsid w:val="00ED1034"/>
    <w:rsid w:val="00EE24EA"/>
    <w:rsid w:val="00EE6F4A"/>
    <w:rsid w:val="00EE7A9F"/>
    <w:rsid w:val="00EE7F22"/>
    <w:rsid w:val="00EF0D55"/>
    <w:rsid w:val="00EF663F"/>
    <w:rsid w:val="00F12295"/>
    <w:rsid w:val="00F20237"/>
    <w:rsid w:val="00F2277C"/>
    <w:rsid w:val="00F25C3C"/>
    <w:rsid w:val="00F32406"/>
    <w:rsid w:val="00F34D2D"/>
    <w:rsid w:val="00F52DAF"/>
    <w:rsid w:val="00F60C47"/>
    <w:rsid w:val="00F61ADE"/>
    <w:rsid w:val="00F9375E"/>
    <w:rsid w:val="00F96FA9"/>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36</Pages>
  <Words>4648</Words>
  <Characters>26497</Characters>
  <Application>Microsoft Office Word</Application>
  <DocSecurity>0</DocSecurity>
  <Lines>220</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50</cp:revision>
  <cp:lastPrinted>2021-11-26T01:40:00Z</cp:lastPrinted>
  <dcterms:created xsi:type="dcterms:W3CDTF">2021-11-26T01:40:00Z</dcterms:created>
  <dcterms:modified xsi:type="dcterms:W3CDTF">2021-12-19T08:52:00Z</dcterms:modified>
</cp:coreProperties>
</file>