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Default="00B674F1" w:rsidP="00B674F1">
      <w:pPr>
        <w:jc w:val="center"/>
        <w:rPr>
          <w:sz w:val="24"/>
        </w:rPr>
      </w:pPr>
    </w:p>
    <w:p w14:paraId="1AB22719" w14:textId="77777777" w:rsidR="00B674F1" w:rsidRDefault="00B674F1" w:rsidP="00B674F1">
      <w:pPr>
        <w:jc w:val="center"/>
        <w:rPr>
          <w:rFonts w:hint="eastAsia"/>
          <w:sz w:val="24"/>
        </w:rPr>
      </w:pPr>
    </w:p>
    <w:p w14:paraId="536CFA16" w14:textId="77777777" w:rsidR="00B674F1" w:rsidRDefault="00B674F1" w:rsidP="00B674F1">
      <w:pPr>
        <w:jc w:val="center"/>
        <w:rPr>
          <w:rFonts w:hint="eastAsia"/>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rFonts w:hint="eastAsia"/>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rFonts w:hint="eastAsia"/>
          <w:sz w:val="24"/>
        </w:rPr>
      </w:pPr>
    </w:p>
    <w:p w14:paraId="3E02885C" w14:textId="77777777" w:rsidR="00B674F1" w:rsidRPr="00B674F1" w:rsidRDefault="00B674F1" w:rsidP="00B674F1">
      <w:pPr>
        <w:jc w:val="center"/>
        <w:rPr>
          <w:rFonts w:hint="eastAsia"/>
          <w:sz w:val="24"/>
        </w:rPr>
      </w:pPr>
    </w:p>
    <w:p w14:paraId="3A334F23" w14:textId="203FE9E9" w:rsidR="00B674F1" w:rsidRPr="00B674F1" w:rsidRDefault="00B674F1" w:rsidP="00B674F1">
      <w:pPr>
        <w:jc w:val="center"/>
        <w:rPr>
          <w:sz w:val="36"/>
          <w:szCs w:val="36"/>
        </w:rPr>
      </w:pPr>
      <w:r w:rsidRPr="00B674F1">
        <w:rPr>
          <w:rFonts w:hint="eastAsia"/>
          <w:sz w:val="36"/>
          <w:szCs w:val="36"/>
        </w:rPr>
        <w:t>佐伯胖の学び観とコンピュータ教育</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rFonts w:hint="eastAsia"/>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rFonts w:hint="eastAsia"/>
          <w:sz w:val="24"/>
        </w:rPr>
      </w:pPr>
    </w:p>
    <w:p w14:paraId="47D15AA8" w14:textId="458FC42F" w:rsidR="00C00F14" w:rsidRPr="00C00F14" w:rsidRDefault="00B674F1" w:rsidP="00C00F14">
      <w:pPr>
        <w:spacing w:line="480" w:lineRule="auto"/>
        <w:jc w:val="center"/>
        <w:rPr>
          <w:rFonts w:hint="eastAsia"/>
          <w:sz w:val="28"/>
          <w:szCs w:val="28"/>
        </w:rPr>
      </w:pPr>
      <w:r w:rsidRPr="00B674F1">
        <w:rPr>
          <w:rFonts w:hint="eastAsia"/>
          <w:sz w:val="28"/>
          <w:szCs w:val="28"/>
        </w:rPr>
        <w:t>総合教育科学科</w:t>
      </w:r>
    </w:p>
    <w:p w14:paraId="403A5E93" w14:textId="1A4AFE7A" w:rsidR="00C00F14" w:rsidRPr="00C00F14" w:rsidRDefault="00B674F1" w:rsidP="00C00F14">
      <w:pPr>
        <w:jc w:val="center"/>
        <w:rPr>
          <w:rFonts w:hint="eastAsia"/>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069B916F" w14:textId="77777777" w:rsidR="00B674F1" w:rsidRDefault="00B674F1">
      <w:pPr>
        <w:widowControl/>
        <w:jc w:val="left"/>
        <w:rPr>
          <w:sz w:val="36"/>
          <w:szCs w:val="36"/>
        </w:rPr>
      </w:pPr>
      <w:r>
        <w:rPr>
          <w:sz w:val="36"/>
          <w:szCs w:val="36"/>
        </w:rPr>
        <w:br w:type="page"/>
      </w:r>
    </w:p>
    <w:p w14:paraId="7380BADB" w14:textId="2D62CC06" w:rsidR="00C00F14" w:rsidRDefault="00CC5266" w:rsidP="00CC5266">
      <w:pPr>
        <w:widowControl/>
        <w:jc w:val="center"/>
        <w:rPr>
          <w:szCs w:val="21"/>
        </w:rPr>
      </w:pPr>
      <w:r>
        <w:rPr>
          <w:rFonts w:hint="eastAsia"/>
          <w:szCs w:val="21"/>
        </w:rPr>
        <w:lastRenderedPageBreak/>
        <w:t>佐伯胖の学び観とコンピュータ教育</w:t>
      </w:r>
    </w:p>
    <w:p w14:paraId="4239D20E" w14:textId="3F3C2EB0" w:rsidR="00CC5266" w:rsidRDefault="00CC5266" w:rsidP="00CC5266">
      <w:pPr>
        <w:widowControl/>
        <w:rPr>
          <w:szCs w:val="21"/>
        </w:rPr>
      </w:pPr>
    </w:p>
    <w:p w14:paraId="02D7FA58" w14:textId="52236B69" w:rsidR="00CC5266" w:rsidRDefault="00CC5266" w:rsidP="00CC5266">
      <w:pPr>
        <w:widowControl/>
        <w:rPr>
          <w:rFonts w:hint="eastAsia"/>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rFonts w:hint="eastAsia"/>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rFonts w:hint="eastAsia"/>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119B9DC1" w:rsidR="00CC5266" w:rsidRDefault="00CC5266" w:rsidP="00CC5266">
      <w:pPr>
        <w:widowControl/>
        <w:ind w:firstLineChars="100" w:firstLine="210"/>
        <w:rPr>
          <w:rFonts w:hint="eastAsia"/>
          <w:szCs w:val="21"/>
        </w:rPr>
      </w:pPr>
      <w:r>
        <w:rPr>
          <w:rFonts w:hint="eastAsia"/>
          <w:szCs w:val="21"/>
        </w:rPr>
        <w:t>第３節　佐伯胖の来歴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rFonts w:hint="eastAsia"/>
          <w:szCs w:val="21"/>
        </w:rPr>
        <w:t>２</w:t>
      </w:r>
      <w:r>
        <w:rPr>
          <w:rFonts w:hint="eastAsia"/>
          <w:szCs w:val="21"/>
        </w:rPr>
        <w:t>頁</w:t>
      </w:r>
    </w:p>
    <w:p w14:paraId="61157005" w14:textId="1426FD01" w:rsidR="00CC5266" w:rsidRDefault="00CC5266" w:rsidP="00CC5266">
      <w:pPr>
        <w:widowControl/>
        <w:ind w:firstLineChars="100" w:firstLine="210"/>
        <w:rPr>
          <w:rFonts w:hint="eastAsia"/>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rFonts w:hint="eastAsia"/>
          <w:szCs w:val="21"/>
        </w:rPr>
        <w:t>３</w:t>
      </w:r>
      <w:r>
        <w:rPr>
          <w:rFonts w:hint="eastAsia"/>
          <w:szCs w:val="21"/>
        </w:rPr>
        <w:t>頁</w:t>
      </w:r>
    </w:p>
    <w:p w14:paraId="58C41688" w14:textId="77777777" w:rsidR="00CC5266" w:rsidRDefault="00CC5266" w:rsidP="00CC5266">
      <w:pPr>
        <w:widowControl/>
        <w:rPr>
          <w:rFonts w:hint="eastAsia"/>
          <w:szCs w:val="21"/>
        </w:rPr>
      </w:pPr>
    </w:p>
    <w:p w14:paraId="44E16375" w14:textId="1A5D63C2" w:rsidR="00CC5266" w:rsidRDefault="00CC5266" w:rsidP="00CC5266">
      <w:pPr>
        <w:widowControl/>
        <w:rPr>
          <w:rFonts w:hint="eastAsia"/>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w:t>
      </w:r>
      <w:r w:rsidR="002A5339">
        <w:rPr>
          <w:rFonts w:hint="eastAsia"/>
          <w:szCs w:val="21"/>
        </w:rPr>
        <w:t>４</w:t>
      </w:r>
      <w:r w:rsidR="002A5339">
        <w:rPr>
          <w:rFonts w:hint="eastAsia"/>
          <w:szCs w:val="21"/>
        </w:rPr>
        <w:t>頁</w:t>
      </w:r>
    </w:p>
    <w:p w14:paraId="46D8A3A4" w14:textId="62E2877A" w:rsidR="00CC5266" w:rsidRDefault="00CC5266" w:rsidP="00CC5266">
      <w:pPr>
        <w:widowControl/>
        <w:rPr>
          <w:rFonts w:hint="eastAsia"/>
          <w:szCs w:val="21"/>
        </w:rPr>
      </w:pPr>
      <w:r>
        <w:rPr>
          <w:rFonts w:hint="eastAsia"/>
          <w:szCs w:val="21"/>
        </w:rPr>
        <w:t xml:space="preserve">　第1節</w:t>
      </w:r>
      <w:r w:rsidR="002A533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w:t>
      </w:r>
      <w:r w:rsidR="002A5339">
        <w:rPr>
          <w:rFonts w:hint="eastAsia"/>
          <w:szCs w:val="21"/>
        </w:rPr>
        <w:t>４</w:t>
      </w:r>
      <w:r w:rsidR="002A5339">
        <w:rPr>
          <w:rFonts w:hint="eastAsia"/>
          <w:szCs w:val="21"/>
        </w:rPr>
        <w:t>頁</w:t>
      </w:r>
    </w:p>
    <w:p w14:paraId="273A9B0D" w14:textId="0D817215" w:rsidR="00CC5266" w:rsidRDefault="00CC5266" w:rsidP="00CC5266">
      <w:pPr>
        <w:widowControl/>
        <w:rPr>
          <w:szCs w:val="21"/>
        </w:rPr>
      </w:pPr>
      <w:r>
        <w:rPr>
          <w:rFonts w:hint="eastAsia"/>
          <w:szCs w:val="21"/>
        </w:rPr>
        <w:t xml:space="preserve">　第２節</w:t>
      </w:r>
    </w:p>
    <w:p w14:paraId="758CEE35" w14:textId="57947AAF" w:rsidR="00CC5266" w:rsidRDefault="00CC5266" w:rsidP="00CC5266">
      <w:pPr>
        <w:widowControl/>
        <w:rPr>
          <w:szCs w:val="21"/>
        </w:rPr>
      </w:pPr>
      <w:r>
        <w:rPr>
          <w:rFonts w:hint="eastAsia"/>
          <w:szCs w:val="21"/>
        </w:rPr>
        <w:t xml:space="preserve">　第３節</w:t>
      </w:r>
    </w:p>
    <w:p w14:paraId="1CA6E8B7" w14:textId="77777777" w:rsidR="00CC5266" w:rsidRDefault="00CC5266" w:rsidP="00CC5266">
      <w:pPr>
        <w:widowControl/>
        <w:rPr>
          <w:rFonts w:hint="eastAsia"/>
          <w:szCs w:val="21"/>
        </w:rPr>
      </w:pPr>
    </w:p>
    <w:p w14:paraId="1C698CE0" w14:textId="282C7296" w:rsidR="00CC5266" w:rsidRDefault="00CC5266" w:rsidP="00CC5266">
      <w:pPr>
        <w:widowControl/>
        <w:rPr>
          <w:rFonts w:hint="eastAsia"/>
          <w:szCs w:val="21"/>
        </w:rPr>
      </w:pPr>
      <w:r>
        <w:rPr>
          <w:rFonts w:hint="eastAsia"/>
          <w:szCs w:val="21"/>
        </w:rPr>
        <w:t>第２章</w:t>
      </w:r>
      <w:r w:rsidR="001C4445">
        <w:rPr>
          <w:rFonts w:hint="eastAsia"/>
          <w:szCs w:val="21"/>
        </w:rPr>
        <w:t xml:space="preserve">　認知科学を基盤とした学び観と</w:t>
      </w:r>
      <w:r w:rsidR="001C4445">
        <w:rPr>
          <w:szCs w:val="21"/>
        </w:rPr>
        <w:t>CAI</w:t>
      </w:r>
      <w:r w:rsidR="001C4445">
        <w:rPr>
          <w:rFonts w:hint="eastAsia"/>
          <w:szCs w:val="21"/>
        </w:rPr>
        <w:t>批判</w:t>
      </w:r>
      <w:r w:rsidR="00A81CFC">
        <w:rPr>
          <w:rFonts w:hint="eastAsia"/>
          <w:szCs w:val="21"/>
        </w:rPr>
        <w:t>（</w:t>
      </w:r>
      <w:r w:rsidR="00A81CFC">
        <w:rPr>
          <w:szCs w:val="21"/>
        </w:rPr>
        <w:t>77-82</w:t>
      </w:r>
      <w:r w:rsidR="00A81CFC">
        <w:rPr>
          <w:rFonts w:hint="eastAsia"/>
          <w:szCs w:val="21"/>
        </w:rPr>
        <w:t>）</w:t>
      </w:r>
    </w:p>
    <w:p w14:paraId="427E5C74" w14:textId="38836043" w:rsidR="00CC5266" w:rsidRDefault="00CC5266" w:rsidP="00CC5266">
      <w:pPr>
        <w:widowControl/>
        <w:rPr>
          <w:szCs w:val="21"/>
        </w:rPr>
      </w:pPr>
      <w:r>
        <w:rPr>
          <w:rFonts w:hint="eastAsia"/>
          <w:szCs w:val="21"/>
        </w:rPr>
        <w:t xml:space="preserve">　第１節</w:t>
      </w:r>
    </w:p>
    <w:p w14:paraId="042D5C74" w14:textId="32573517" w:rsidR="00CC5266" w:rsidRDefault="00CC5266" w:rsidP="00CC5266">
      <w:pPr>
        <w:widowControl/>
        <w:rPr>
          <w:szCs w:val="21"/>
        </w:rPr>
      </w:pPr>
      <w:r>
        <w:rPr>
          <w:rFonts w:hint="eastAsia"/>
          <w:szCs w:val="21"/>
        </w:rPr>
        <w:t xml:space="preserve">　第２節</w:t>
      </w:r>
    </w:p>
    <w:p w14:paraId="21C4DD0C" w14:textId="77777777" w:rsidR="00CC5266" w:rsidRDefault="00CC5266" w:rsidP="00CC5266">
      <w:pPr>
        <w:widowControl/>
        <w:rPr>
          <w:rFonts w:hint="eastAsia"/>
          <w:szCs w:val="21"/>
        </w:rPr>
      </w:pPr>
    </w:p>
    <w:p w14:paraId="1E68D21A" w14:textId="51768489" w:rsidR="00CC5266" w:rsidRDefault="00CC5266" w:rsidP="00CC5266">
      <w:pPr>
        <w:widowControl/>
        <w:rPr>
          <w:rFonts w:hint="eastAsia"/>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A81CFC">
        <w:rPr>
          <w:szCs w:val="21"/>
        </w:rPr>
        <w:t>83-92</w:t>
      </w:r>
      <w:r w:rsidR="00A81CFC">
        <w:rPr>
          <w:rFonts w:hint="eastAsia"/>
          <w:szCs w:val="21"/>
        </w:rPr>
        <w:t>）</w:t>
      </w:r>
    </w:p>
    <w:p w14:paraId="55335DD5" w14:textId="272B2022" w:rsidR="00CC5266" w:rsidRDefault="00CC5266" w:rsidP="00CC5266">
      <w:pPr>
        <w:widowControl/>
        <w:rPr>
          <w:szCs w:val="21"/>
        </w:rPr>
      </w:pPr>
      <w:r>
        <w:rPr>
          <w:rFonts w:hint="eastAsia"/>
          <w:szCs w:val="21"/>
        </w:rPr>
        <w:t xml:space="preserve">　第１節</w:t>
      </w:r>
    </w:p>
    <w:p w14:paraId="3F5A36F3" w14:textId="6DA44F92" w:rsidR="00CC5266" w:rsidRDefault="00CC5266" w:rsidP="00CC5266">
      <w:pPr>
        <w:widowControl/>
        <w:ind w:firstLineChars="100" w:firstLine="210"/>
        <w:rPr>
          <w:szCs w:val="21"/>
        </w:rPr>
      </w:pPr>
      <w:r>
        <w:rPr>
          <w:rFonts w:hint="eastAsia"/>
          <w:szCs w:val="21"/>
        </w:rPr>
        <w:t>第２節</w:t>
      </w:r>
    </w:p>
    <w:p w14:paraId="538D8E05" w14:textId="4AC753CF" w:rsidR="00CC5266" w:rsidRDefault="00CC5266" w:rsidP="00CC5266">
      <w:pPr>
        <w:widowControl/>
        <w:ind w:firstLineChars="100" w:firstLine="210"/>
        <w:rPr>
          <w:szCs w:val="21"/>
        </w:rPr>
      </w:pPr>
      <w:r>
        <w:rPr>
          <w:rFonts w:hint="eastAsia"/>
          <w:szCs w:val="21"/>
        </w:rPr>
        <w:t>第３節</w:t>
      </w:r>
    </w:p>
    <w:p w14:paraId="176042C9" w14:textId="62EEC633" w:rsidR="00A81CFC" w:rsidRDefault="00A81CFC" w:rsidP="00CC5266">
      <w:pPr>
        <w:widowControl/>
        <w:ind w:firstLineChars="100" w:firstLine="210"/>
        <w:rPr>
          <w:szCs w:val="21"/>
        </w:rPr>
      </w:pPr>
    </w:p>
    <w:p w14:paraId="33D74FD2" w14:textId="6741D632" w:rsidR="00CC5266" w:rsidRPr="001C4445" w:rsidRDefault="00A81CFC" w:rsidP="00CC5266">
      <w:pPr>
        <w:widowControl/>
        <w:rPr>
          <w:rFonts w:hint="eastAsia"/>
          <w:szCs w:val="21"/>
        </w:rPr>
      </w:pPr>
      <w:r>
        <w:rPr>
          <w:rFonts w:hint="eastAsia"/>
          <w:szCs w:val="21"/>
        </w:rPr>
        <w:t>終章</w:t>
      </w:r>
    </w:p>
    <w:p w14:paraId="2E935EFE" w14:textId="55172203" w:rsidR="00B674F1" w:rsidRDefault="00B674F1">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6"/>
          <w:pgSz w:w="11900" w:h="16840"/>
          <w:pgMar w:top="1985" w:right="1701" w:bottom="1701" w:left="1701" w:header="851" w:footer="992" w:gutter="0"/>
          <w:cols w:space="425"/>
          <w:docGrid w:type="linesAndChars" w:linePitch="438"/>
        </w:sectPr>
      </w:pPr>
    </w:p>
    <w:p w14:paraId="17D21DF6" w14:textId="4D1D9FE8" w:rsidR="00B674F1" w:rsidRPr="002A5339" w:rsidRDefault="00CC5266" w:rsidP="00B674F1">
      <w:pPr>
        <w:rPr>
          <w:rFonts w:ascii="ヒラギノ角ゴシック W4" w:eastAsia="ヒラギノ角ゴシック W4" w:hAnsi="ヒラギノ角ゴシック W4"/>
          <w:szCs w:val="21"/>
        </w:rPr>
      </w:pPr>
      <w:r w:rsidRPr="002A5339">
        <w:rPr>
          <w:rFonts w:ascii="ヒラギノ角ゴシック W4" w:eastAsia="ヒラギノ角ゴシック W4" w:hAnsi="ヒラギノ角ゴシック W4" w:hint="eastAsia"/>
          <w:szCs w:val="21"/>
        </w:rPr>
        <w:lastRenderedPageBreak/>
        <w:t>序章</w:t>
      </w:r>
    </w:p>
    <w:p w14:paraId="048C549C" w14:textId="2C08D01B" w:rsidR="00CC5266" w:rsidRPr="002A5339" w:rsidRDefault="00CC5266" w:rsidP="00B674F1">
      <w:pPr>
        <w:rPr>
          <w:rFonts w:ascii="ヒラギノ角ゴシック W4" w:eastAsia="ヒラギノ角ゴシック W4" w:hAnsi="ヒラギノ角ゴシック W4"/>
          <w:szCs w:val="21"/>
        </w:rPr>
      </w:pPr>
      <w:r w:rsidRPr="002A5339">
        <w:rPr>
          <w:rFonts w:ascii="ヒラギノ角ゴシック W4" w:eastAsia="ヒラギノ角ゴシック W4" w:hAnsi="ヒラギノ角ゴシック W4" w:hint="eastAsia"/>
          <w:szCs w:val="21"/>
        </w:rPr>
        <w:t>第１節　問題関心</w:t>
      </w:r>
    </w:p>
    <w:p w14:paraId="69245D25" w14:textId="3E2D90BD" w:rsidR="002A5339" w:rsidRPr="002A5339" w:rsidRDefault="002A5339" w:rsidP="002A5339">
      <w:pPr>
        <w:autoSpaceDE w:val="0"/>
        <w:autoSpaceDN w:val="0"/>
        <w:adjustRightInd w:val="0"/>
        <w:jc w:val="left"/>
        <w:rPr>
          <w:rFonts w:ascii="`’¡Ã˛" w:hAnsi="`’¡Ã˛" w:cs="`’¡Ã˛" w:hint="eastAsia"/>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年代から使われるようになり、その後情報技術の開発とともに現在に⾄るまでその勢いを増してきたが、教育⼯学の歴史について研究したものは少ない。そこで</w:t>
      </w:r>
      <w:r>
        <w:rPr>
          <w:rFonts w:ascii="`’¡Ã˛" w:hAnsi="`’¡Ã˛" w:cs="`’¡Ã˛" w:hint="eastAsia"/>
          <w:kern w:val="0"/>
          <w:szCs w:val="21"/>
        </w:rPr>
        <w:t>本論文</w:t>
      </w:r>
      <w:r>
        <w:rPr>
          <w:rFonts w:ascii="`’¡Ã˛" w:hAnsi="`’¡Ã˛" w:cs="`’¡Ã˛"/>
          <w:kern w:val="0"/>
          <w:szCs w:val="21"/>
        </w:rPr>
        <w:t>では、もともと⼯学部出⾝で教育⼯学を推進していたが、学びとはどうあるべきか、わかるとは何かということを研究したことを経て、教育⼯学の進展を反省的に捉え、コンピュータ教育の負の側⾯を指摘するに⾄った佐伯胖の思想に着⽬する。佐伯の</w:t>
      </w:r>
      <w:r>
        <w:rPr>
          <w:rFonts w:ascii="`’¡Ã˛" w:hAnsi="`’¡Ã˛" w:cs="`’¡Ã˛" w:hint="eastAsia"/>
          <w:kern w:val="0"/>
          <w:szCs w:val="21"/>
        </w:rPr>
        <w:t>学びそのものやコンピュータ教育に対する</w:t>
      </w:r>
      <w:r>
        <w:rPr>
          <w:rFonts w:ascii="`’¡Ã˛" w:hAnsi="`’¡Ã˛" w:cs="`’¡Ã˛"/>
          <w:kern w:val="0"/>
          <w:szCs w:val="21"/>
        </w:rPr>
        <w:t>意⾒の変遷を考察し、佐伯が批判やコンピュータ教育の負の側⾯を指摘するに⾄った原因は何か明らかにするとともに、現在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教育にも何か提⾔を与えられないか検討したい。</w:t>
      </w:r>
    </w:p>
    <w:p w14:paraId="0C2D0FBF" w14:textId="37C1D9A5" w:rsidR="00CC5266" w:rsidRDefault="00CC5266" w:rsidP="00B674F1">
      <w:pPr>
        <w:rPr>
          <w:szCs w:val="21"/>
        </w:rPr>
      </w:pPr>
    </w:p>
    <w:p w14:paraId="22C75ED1" w14:textId="50CF3FF2" w:rsidR="00CC5266" w:rsidRPr="002A5339" w:rsidRDefault="00CC5266" w:rsidP="00B674F1">
      <w:pPr>
        <w:rPr>
          <w:rFonts w:ascii="ヒラギノ角ゴシック W4" w:eastAsia="ヒラギノ角ゴシック W4" w:hAnsi="ヒラギノ角ゴシック W4"/>
          <w:szCs w:val="21"/>
        </w:rPr>
      </w:pPr>
      <w:r w:rsidRPr="002A5339">
        <w:rPr>
          <w:rFonts w:ascii="ヒラギノ角ゴシック W4" w:eastAsia="ヒラギノ角ゴシック W4" w:hAnsi="ヒラギノ角ゴシック W4" w:hint="eastAsia"/>
          <w:szCs w:val="21"/>
        </w:rPr>
        <w:t>第２節　先行研究</w:t>
      </w:r>
    </w:p>
    <w:p w14:paraId="39D518CE" w14:textId="13504189" w:rsidR="00CC5266" w:rsidRDefault="00533896" w:rsidP="00B674F1">
      <w:pPr>
        <w:rPr>
          <w:szCs w:val="21"/>
        </w:rPr>
      </w:pPr>
      <w:r>
        <w:rPr>
          <w:rFonts w:hint="eastAsia"/>
          <w:szCs w:val="21"/>
        </w:rPr>
        <w:t xml:space="preserve">　本節では、教育工学の歴史が先行研究においてどのように捉えられているのかについて確認する。</w:t>
      </w:r>
    </w:p>
    <w:p w14:paraId="08EEE656" w14:textId="2F4540B4" w:rsidR="00533896" w:rsidRDefault="00533896" w:rsidP="00B674F1">
      <w:pPr>
        <w:rPr>
          <w:szCs w:val="21"/>
        </w:rPr>
      </w:pPr>
      <w:r>
        <w:rPr>
          <w:rFonts w:hint="eastAsia"/>
          <w:szCs w:val="21"/>
        </w:rPr>
        <w:t xml:space="preserve">　</w:t>
      </w:r>
      <w:r w:rsidR="00BA7139">
        <w:rPr>
          <w:rFonts w:hint="eastAsia"/>
          <w:szCs w:val="21"/>
        </w:rPr>
        <w:t>山西・赤堀・大久保は</w:t>
      </w:r>
      <w:r w:rsidR="00BA7139">
        <w:rPr>
          <w:szCs w:val="21"/>
        </w:rPr>
        <w:t>1970</w:t>
      </w:r>
      <w:r w:rsidR="00BA7139">
        <w:rPr>
          <w:rFonts w:hint="eastAsia"/>
          <w:szCs w:val="21"/>
        </w:rPr>
        <w:t>年代は学習形態は一斉授業であり、効率化をキーワードに、映像などを用いて学習が行われた時代であるとしている。</w:t>
      </w:r>
      <w:r w:rsidR="00BA7139">
        <w:rPr>
          <w:szCs w:val="21"/>
        </w:rPr>
        <w:t>1980</w:t>
      </w:r>
      <w:r w:rsidR="00BA7139">
        <w:rPr>
          <w:rFonts w:hint="eastAsia"/>
          <w:szCs w:val="21"/>
        </w:rPr>
        <w:t>年代になると、一斉授業ではなく個別学習が重要なのではないかと考えられ、コンピュータを用いて一人一人に合った学習が目指された。</w:t>
      </w:r>
      <w:r w:rsidR="00BA7139">
        <w:rPr>
          <w:szCs w:val="21"/>
        </w:rPr>
        <w:t>1990</w:t>
      </w:r>
      <w:r w:rsidR="00BA7139">
        <w:rPr>
          <w:rFonts w:hint="eastAsia"/>
          <w:szCs w:val="21"/>
        </w:rPr>
        <w:t>年代になるとインターネットの出現も影響し、協同学習が注目されるようになった。</w:t>
      </w:r>
    </w:p>
    <w:p w14:paraId="0ECFF8C9" w14:textId="7DB8A74D" w:rsidR="0094160A" w:rsidRPr="00BA7139" w:rsidRDefault="0094160A" w:rsidP="00B674F1">
      <w:pPr>
        <w:rPr>
          <w:rFonts w:hint="eastAsia"/>
          <w:szCs w:val="21"/>
        </w:rPr>
      </w:pPr>
      <w:r>
        <w:rPr>
          <w:rFonts w:hint="eastAsia"/>
          <w:szCs w:val="21"/>
        </w:rPr>
        <w:t xml:space="preserve">　以上のように技術の発展やその当時の教育観に照らし合わせて教育工学の歴史を研究したものはあるが、あくまでも単線的な発展史に留まっており、学びとはどうあるべきかという考察とともに反省的にその歴史を捉えたものはない。そこで、</w:t>
      </w:r>
      <w:r>
        <w:rPr>
          <w:szCs w:val="21"/>
        </w:rPr>
        <w:t>CAI</w:t>
      </w:r>
      <w:r>
        <w:rPr>
          <w:rFonts w:hint="eastAsia"/>
          <w:szCs w:val="21"/>
        </w:rPr>
        <w:t>を肯定していたがその批判に転じた</w:t>
      </w:r>
      <w:r>
        <w:rPr>
          <w:rFonts w:hint="eastAsia"/>
          <w:szCs w:val="21"/>
        </w:rPr>
        <w:t>佐伯胖</w:t>
      </w:r>
      <w:r>
        <w:rPr>
          <w:rFonts w:hint="eastAsia"/>
          <w:szCs w:val="21"/>
        </w:rPr>
        <w:t>の思想の変遷を追うことで、教育工学の歴史を捉え直したい。</w:t>
      </w:r>
    </w:p>
    <w:p w14:paraId="403074EA" w14:textId="77777777" w:rsidR="00533896" w:rsidRDefault="00533896" w:rsidP="00B674F1">
      <w:pPr>
        <w:rPr>
          <w:rFonts w:hint="eastAsia"/>
          <w:szCs w:val="21"/>
        </w:rPr>
      </w:pPr>
    </w:p>
    <w:p w14:paraId="1AEA6850" w14:textId="3C6E6790" w:rsidR="00CC5266" w:rsidRPr="002A5339" w:rsidRDefault="00CC5266" w:rsidP="00B674F1">
      <w:pPr>
        <w:rPr>
          <w:rFonts w:ascii="ヒラギノ角ゴシック W4" w:eastAsia="ヒラギノ角ゴシック W4" w:hAnsi="ヒラギノ角ゴシック W4"/>
          <w:szCs w:val="21"/>
        </w:rPr>
      </w:pPr>
      <w:r w:rsidRPr="002A5339">
        <w:rPr>
          <w:rFonts w:ascii="ヒラギノ角ゴシック W4" w:eastAsia="ヒラギノ角ゴシック W4" w:hAnsi="ヒラギノ角ゴシック W4" w:hint="eastAsia"/>
          <w:szCs w:val="21"/>
        </w:rPr>
        <w:t>第３節　佐伯胖の来歴</w:t>
      </w:r>
    </w:p>
    <w:p w14:paraId="7FFBF951" w14:textId="77777777"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w:t>
      </w:r>
      <w:r w:rsidR="00A87D8E">
        <w:rPr>
          <w:rFonts w:hint="eastAsia"/>
          <w:szCs w:val="21"/>
        </w:rPr>
        <w:lastRenderedPageBreak/>
        <w:t>して過ごしたと述べている。</w:t>
      </w:r>
    </w:p>
    <w:p w14:paraId="4D9A4CFD" w14:textId="723F5297" w:rsidR="00AA6779" w:rsidRPr="001C4445" w:rsidRDefault="00AA6779" w:rsidP="001C4445">
      <w:pPr>
        <w:ind w:firstLineChars="100" w:firstLine="210"/>
        <w:rPr>
          <w:rFonts w:hint="eastAsia"/>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rFonts w:hint="eastAsia"/>
          <w:szCs w:val="21"/>
        </w:rPr>
      </w:pPr>
    </w:p>
    <w:p w14:paraId="6E5D1AF7" w14:textId="203DE21B" w:rsidR="00CC5266" w:rsidRDefault="00CC5266" w:rsidP="00B674F1">
      <w:pPr>
        <w:rPr>
          <w:rFonts w:ascii="ヒラギノ角ゴシック W4" w:eastAsia="ヒラギノ角ゴシック W4" w:hAnsi="ヒラギノ角ゴシック W4"/>
          <w:szCs w:val="21"/>
        </w:rPr>
      </w:pPr>
      <w:r w:rsidRPr="002A5339">
        <w:rPr>
          <w:rFonts w:ascii="ヒラギノ角ゴシック W4" w:eastAsia="ヒラギノ角ゴシック W4" w:hAnsi="ヒラギノ角ゴシック W4" w:hint="eastAsia"/>
          <w:szCs w:val="21"/>
        </w:rPr>
        <w:t>第４節　章構成</w:t>
      </w:r>
    </w:p>
    <w:p w14:paraId="1CA1F29F" w14:textId="36932E32" w:rsidR="001C4445" w:rsidRPr="00A81CFC" w:rsidRDefault="001C4445" w:rsidP="00B674F1">
      <w:pPr>
        <w:rPr>
          <w:rFonts w:asciiTheme="minorEastAsia" w:hAnsiTheme="minorEastAsia" w:hint="eastAsia"/>
          <w:szCs w:val="21"/>
        </w:rPr>
      </w:pPr>
      <w:r>
        <w:rPr>
          <w:rFonts w:asciiTheme="minorEastAsia" w:hAnsiTheme="minorEastAsia" w:hint="eastAsia"/>
          <w:szCs w:val="21"/>
        </w:rPr>
        <w:t>本論文では、以上のような先行研究と佐伯胖の来歴を受け、</w:t>
      </w:r>
      <w:r>
        <w:rPr>
          <w:rFonts w:asciiTheme="minorEastAsia" w:hAnsiTheme="minorEastAsia" w:hint="eastAsia"/>
          <w:szCs w:val="21"/>
        </w:rPr>
        <w:t>佐伯胖が</w:t>
      </w:r>
      <w:r>
        <w:rPr>
          <w:rFonts w:asciiTheme="minorEastAsia" w:hAnsiTheme="minorEastAsia" w:hint="eastAsia"/>
          <w:szCs w:val="21"/>
        </w:rPr>
        <w:t>学ぶとはどういうことだと捉えていたのか、また教育においてコンピュータがどのような役割を担うべきだと考えていたのかに関する変遷を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2B4931E3" w14:textId="03514C80" w:rsidR="00A81CFC" w:rsidRPr="00A81CFC" w:rsidRDefault="001C4445" w:rsidP="00A81CFC">
      <w:pPr>
        <w:autoSpaceDE w:val="0"/>
        <w:autoSpaceDN w:val="0"/>
        <w:adjustRightInd w:val="0"/>
        <w:jc w:val="left"/>
        <w:rPr>
          <w:rFonts w:asciiTheme="minorEastAsia" w:hAnsiTheme="minorEastAsia" w:cs="`’¡Ã˛"/>
          <w:color w:val="000000" w:themeColor="text1"/>
          <w:kern w:val="0"/>
          <w:szCs w:val="21"/>
        </w:rPr>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 年から1976 年までのCAI システムに賛成している時代について検討する。この時代では佐伯⾃らコンピュータを⽤いて個別指導を実現するCAI システムの開発にも取り組み、コンピュータを教育に積極的に使⽤する姿勢を取っている。「わかる」とはということに関しては、「おぼえる」と対⽐しつつ議論している。</w:t>
      </w:r>
    </w:p>
    <w:p w14:paraId="157DE43E" w14:textId="2C277B1E" w:rsidR="00A81CFC" w:rsidRPr="00A81CFC"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第⼆章では、1977 年から1982 年までの認知科学を基盤とし「わかる」とはということを考察したうえで、CAI 批判に転じた時代について検討する。</w:t>
      </w:r>
    </w:p>
    <w:p w14:paraId="6047E5B8" w14:textId="01AAF755" w:rsidR="001C4445" w:rsidRPr="00A81CFC" w:rsidRDefault="00A81CFC" w:rsidP="00A81CFC">
      <w:pPr>
        <w:autoSpaceDE w:val="0"/>
        <w:autoSpaceDN w:val="0"/>
        <w:adjustRightInd w:val="0"/>
        <w:ind w:firstLineChars="100" w:firstLine="210"/>
        <w:jc w:val="left"/>
        <w:rPr>
          <w:rFonts w:asciiTheme="minorEastAsia" w:hAnsiTheme="minorEastAsia" w:cs="`’¡Ã˛" w:hint="eastAsia"/>
          <w:color w:val="000000" w:themeColor="text1"/>
          <w:kern w:val="0"/>
          <w:szCs w:val="21"/>
        </w:rPr>
      </w:pPr>
      <w:r w:rsidRPr="00A81CFC">
        <w:rPr>
          <w:rFonts w:asciiTheme="minorEastAsia" w:hAnsiTheme="minorEastAsia" w:cs="`’¡Ã˛"/>
          <w:color w:val="000000" w:themeColor="text1"/>
          <w:kern w:val="0"/>
          <w:szCs w:val="21"/>
        </w:rPr>
        <w:t>第三章では1983 年から1992 年までの「わかる」とは⽂化的実践への参加であるということを提起し、教育におけるコンピュータ使⽤の負の⾯を指摘しつつも、そのあり⽅を模索した時代について検討する。</w:t>
      </w:r>
    </w:p>
    <w:sectPr w:rsidR="001C4445" w:rsidRPr="00A81CFC" w:rsidSect="00C00F14">
      <w:footerReference w:type="default" r:id="rId7"/>
      <w:type w:val="continuous"/>
      <w:pgSz w:w="11900" w:h="16840"/>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BFFF7" w14:textId="77777777" w:rsidR="003A7B64" w:rsidRDefault="003A7B64" w:rsidP="00B674F1">
      <w:r>
        <w:separator/>
      </w:r>
    </w:p>
  </w:endnote>
  <w:endnote w:type="continuationSeparator" w:id="0">
    <w:p w14:paraId="27364D9D" w14:textId="77777777" w:rsidR="003A7B64" w:rsidRDefault="003A7B64"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ヒラギノ角ゴシック W4">
    <w:panose1 w:val="020B0400000000000000"/>
    <w:charset w:val="80"/>
    <w:family w:val="swiss"/>
    <w:pitch w:val="variable"/>
    <w:sig w:usb0="E00002FF" w:usb1="7AC7FFFF" w:usb2="00000012" w:usb3="00000000" w:csb0="0002000D" w:csb1="00000000"/>
  </w:font>
  <w:font w:name="`’¡Ã˛">
    <w:altName w:val="Calibri"/>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FCBDF" w14:textId="77777777" w:rsidR="003A7B64" w:rsidRDefault="003A7B64" w:rsidP="00B674F1">
      <w:r>
        <w:separator/>
      </w:r>
    </w:p>
  </w:footnote>
  <w:footnote w:type="continuationSeparator" w:id="0">
    <w:p w14:paraId="2ED85065" w14:textId="77777777" w:rsidR="003A7B64" w:rsidRDefault="003A7B64" w:rsidP="00B67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1C4445"/>
    <w:rsid w:val="002A5339"/>
    <w:rsid w:val="003A7B64"/>
    <w:rsid w:val="00533896"/>
    <w:rsid w:val="00664A02"/>
    <w:rsid w:val="0094160A"/>
    <w:rsid w:val="00A05B53"/>
    <w:rsid w:val="00A434FE"/>
    <w:rsid w:val="00A81CFC"/>
    <w:rsid w:val="00A87D8E"/>
    <w:rsid w:val="00AA6779"/>
    <w:rsid w:val="00B12A5C"/>
    <w:rsid w:val="00B674F1"/>
    <w:rsid w:val="00BA7139"/>
    <w:rsid w:val="00C00F14"/>
    <w:rsid w:val="00CC5266"/>
    <w:rsid w:val="00E67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347</Words>
  <Characters>1983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1</cp:revision>
  <dcterms:created xsi:type="dcterms:W3CDTF">2021-11-05T00:46:00Z</dcterms:created>
  <dcterms:modified xsi:type="dcterms:W3CDTF">2021-11-05T03:26:00Z</dcterms:modified>
</cp:coreProperties>
</file>