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b/>
          <w:bCs/>
          <w:color w:val="1F7A6D"/>
          <w:sz w:val="22"/>
          <w:szCs w:val="22"/>
        </w:rPr>
        <w:t xml:space="preserve">INDEPENDENT REVIEW</w:t>
      </w:r>
    </w:p>
    <w:p>
      <w:pPr>
        <w:spacing w:after="60"/>
      </w:pPr>
      <w:r>
        <w:rPr>
          <w:b/>
          <w:bCs/>
          <w:color w:val="1F3A5F"/>
          <w:sz w:val="44"/>
          <w:szCs w:val="44"/>
        </w:rPr>
        <w:t xml:space="preserve">Accounting System Quality &amp; Accuracy Assessment</w:t>
      </w:r>
    </w:p>
    <w:p>
      <w:pPr>
        <w:spacing w:after="240"/>
      </w:pPr>
      <w:r>
        <w:rPr>
          <w:color w:val="555555"/>
          <w:sz w:val="24"/>
          <w:szCs w:val="24"/>
        </w:rPr>
        <w:t xml:space="preserve">Muhasib.ai (Netmara) - AI-assisted accounting platform for UAE SMEs</w:t>
      </w:r>
    </w:p>
    <w:p>
      <w:pPr>
        <w:pBdr>
          <w:bottom w:val="single" w:color="1F7A6D" w:sz="10" w:space="6"/>
        </w:pBdr>
      </w:pPr>
      <w:r>
        <w:t xml:space="preserve"/>
      </w:r>
    </w:p>
    <w:p>
      <w:pPr>
        <w:spacing w:after="40" w:before="160"/>
      </w:pPr>
      <w:r>
        <w:rPr>
          <w:b/>
          <w:bCs/>
        </w:rPr>
        <w:t xml:space="preserve">Reviewer:  </w:t>
      </w:r>
      <w:r>
        <w:t xml:space="preserve">Senior financial reviewer (40+ years in financial review, accounting systems and reporting accuracy)</w:t>
      </w:r>
    </w:p>
    <w:p>
      <w:pPr>
        <w:spacing w:after="40"/>
      </w:pPr>
      <w:r>
        <w:rPr>
          <w:b/>
          <w:bCs/>
        </w:rPr>
        <w:t xml:space="preserve">Environment reviewed:  </w:t>
      </w:r>
      <w:r>
        <w:t xml:space="preserve">Live production app - nr-ai-production.up.railway.app (tenant: Najma Raeda)</w:t>
      </w:r>
    </w:p>
    <w:p>
      <w:pPr>
        <w:spacing w:after="40"/>
      </w:pPr>
      <w:r>
        <w:rPr>
          <w:b/>
          <w:bCs/>
        </w:rPr>
        <w:t xml:space="preserve">Date of review:  </w:t>
      </w:r>
      <w:r>
        <w:t xml:space="preserve">21 June 2026</w:t>
      </w:r>
    </w:p>
    <w:p>
      <w:pPr>
        <w:spacing w:after="40"/>
      </w:pPr>
      <w:r>
        <w:rPr>
          <w:b/>
          <w:bCs/>
        </w:rPr>
        <w:t xml:space="preserve">Currency / jurisdiction:  </w:t>
      </w:r>
      <w:r>
        <w:t xml:space="preserve">AED - United Arab Emirates</w:t>
      </w:r>
    </w:p>
    <w:p>
      <w:pPr>
        <w:spacing w:after="240"/>
      </w:pPr>
      <w:r>
        <w:rPr>
          <w:b/>
          <w:bCs/>
        </w:rPr>
        <w:t xml:space="preserve">Overall verdict:  </w:t>
      </w:r>
      <w:r>
        <w:rPr>
          <w:b/>
          <w:bCs/>
          <w:color w:val="B5780B"/>
        </w:rPr>
        <w:t xml:space="preserve">CONDITIONALLY RELIABLE - strong foundation, material reporting/control gaps to fix (B-)</w:t>
      </w:r>
    </w:p>
    <w:p>
      <w:pPr>
        <w:pStyle w:val="Heading1"/>
      </w:pPr>
      <w:r>
        <w:t xml:space="preserve">1.  Scope &amp; method</w:t>
      </w:r>
    </w:p>
    <w:p>
      <w:pPr>
        <w:spacing w:after="140"/>
      </w:pPr>
      <w:r>
        <w:t xml:space="preserve">This is a reviewer's assessment of the accounting engine and reporting outputs of the live Muhasib.ai platform, judged against the standards a practising accountant would apply: double-entry integrity, accuracy of the financial statements, UAE tax compliance, and the internal controls protecting data integrity.</w:t>
      </w:r>
    </w:p>
    <w:p>
      <w:pPr>
        <w:spacing w:after="140"/>
      </w:pPr>
      <w:r>
        <w:t xml:space="preserve">The review was performed by navigating the running application as an authenticated user and inspecting the chart of accounts, the journal, the generated Profit &amp; Loss, Balance Sheet and Cash Flow statements, the report catalogue, the VAT and Corporate Tax modules, and the month-end close workflow. Conclusions are drawn from what the system actually produced, not from documentation or marketing claims.</w:t>
      </w:r>
    </w:p>
    <w:p>
      <w:pPr>
        <w:spacing w:after="140"/>
      </w:pPr>
      <w:r>
        <w:rPr>
          <w:b/>
          <w:bCs/>
        </w:rPr>
        <w:t xml:space="preserve">Important context:  </w:t>
      </w:r>
      <w:r>
        <w:t xml:space="preserve">the tenant inspected contains test/load data (entries labelled "fail probe", "prod concurrency", "parallel JE"), so this is a staging/test company rather than a live client's books. The verdict therefore concerns the capability and correctness of the system, not the integrity of any particular client ledger.</w:t>
      </w:r>
    </w:p>
    <w:p>
      <w:pPr>
        <w:pStyle w:val="Heading1"/>
      </w:pPr>
      <w:r>
        <w:t xml:space="preserve">2.  Executive verdict</w:t>
      </w:r>
    </w:p>
    <w:p>
      <w:pPr>
        <w:spacing w:after="140"/>
      </w:pPr>
      <w:r>
        <w:t xml:space="preserve">The fundamentals are sound. This is a genuinely capable, well-localised UAE accounting engine. Every posted journal entry balances, the system enforces double-entry on entry, the balance sheet self-checks and reports as "Balanced", VAT is calculated correctly at 5%, and the Corporate Tax and VAT modules are modelled on the actual FTA regime with sensible "draft only - does not submit" guardrails. The reporting surface (38+ reports including trial balance, general ledger, audit trail, AR/AP ageing, WPS/SIF and depreciation schedules) is broad and professionally framed.</w:t>
      </w:r>
    </w:p>
    <w:p>
      <w:pPr>
        <w:spacing w:after="140"/>
      </w:pPr>
      <w:r>
        <w:t xml:space="preserve">However, the review surfaced </w:t>
      </w:r>
      <w:r>
        <w:rPr>
          <w:b/>
          <w:bCs/>
        </w:rPr>
        <w:t xml:space="preserve">specific, reproducible accuracy defects</w:t>
      </w:r>
      <w:r>
        <w:t xml:space="preserve"> that a professional accountant would not accept in production books. The headline issue: when an already-</w:t>
      </w:r>
      <w:r>
        <w:rPr>
          <w:b/>
          <w:bCs/>
        </w:rPr>
        <w:t xml:space="preserve">paid</w:t>
      </w:r>
      <w:r>
        <w:t xml:space="preserve"> invoice is </w:t>
      </w:r>
      <w:r>
        <w:rPr>
          <w:b/>
          <w:bCs/>
        </w:rPr>
        <w:t xml:space="preserve">voided</w:t>
      </w:r>
      <w:r>
        <w:t xml:space="preserve">, the system reverses the revenue and VAT but does nothing about the cash already received. The result is an abnormal credit balance stuck in Accounts Receivable and cash sitting in the bank with no matching revenue or liability. This single behaviour then distorts both the balance sheet (a negative receivable left inside assets) and the cash flow statement.</w:t>
      </w:r>
    </w:p>
    <w:p>
      <w:pPr>
        <w:spacing w:after="140"/>
      </w:pPr>
      <w:r>
        <w:t xml:space="preserve">The accounting equation still holds in aggregate - debits equal credits - which is why the system honestly reports "Balanced". But </w:t>
      </w:r>
      <w:r>
        <w:rPr>
          <w:b/>
          <w:bCs/>
        </w:rPr>
        <w:t xml:space="preserve">"balanced" is not the same as "correctly stated"</w:t>
      </w:r>
      <w:r>
        <w:t xml:space="preserve">. The financial position is misclassified, and that is the gap between a system that adds up and a system you can trust unsupervised.</w:t>
      </w:r>
    </w:p>
    <w:p>
      <w:pPr>
        <w:pStyle w:val="Heading1"/>
      </w:pPr>
      <w:r>
        <w:t xml:space="preserve">3.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9D3DD" w:sz="1"/>
              <w:left w:val="single" w:color="C9D3DD" w:sz="1"/>
              <w:bottom w:val="single" w:color="C9D3DD" w:sz="1"/>
              <w:right w:val="single" w:color="C9D3DD" w:sz="1"/>
            </w:tcBorders>
            <w:shd w:fill="1F3A5F" w:val="clear"/>
            <w:tcMar>
              <w:top w:type="dxa" w:w="80"/>
              <w:left w:type="dxa" w:w="120"/>
              <w:bottom w:type="dxa" w:w="80"/>
              <w:right w:type="dxa" w:w="120"/>
            </w:tcMar>
          </w:tcPr>
          <w:p>
            <w:pPr>
              <w:jc w:val="left"/>
            </w:pPr>
            <w:r>
              <w:rPr>
                <w:b/>
                <w:bCs/>
                <w:color w:val="FFFFFF"/>
              </w:rPr>
              <w:t xml:space="preserve">Dimension</w:t>
            </w:r>
          </w:p>
        </w:tc>
        <w:tc>
          <w:tcPr>
            <w:tcW w:type="dxa" w:w="1400"/>
            <w:tcBorders>
              <w:top w:val="single" w:color="C9D3DD" w:sz="1"/>
              <w:left w:val="single" w:color="C9D3DD" w:sz="1"/>
              <w:bottom w:val="single" w:color="C9D3DD" w:sz="1"/>
              <w:right w:val="single" w:color="C9D3DD" w:sz="1"/>
            </w:tcBorders>
            <w:shd w:fill="1F3A5F" w:val="clear"/>
            <w:tcMar>
              <w:top w:type="dxa" w:w="80"/>
              <w:left w:type="dxa" w:w="120"/>
              <w:bottom w:type="dxa" w:w="80"/>
              <w:right w:type="dxa" w:w="120"/>
            </w:tcMar>
          </w:tcPr>
          <w:p>
            <w:pPr>
              <w:jc w:val="left"/>
            </w:pPr>
            <w:r>
              <w:rPr>
                <w:b/>
                <w:bCs/>
                <w:color w:val="FFFFFF"/>
              </w:rPr>
              <w:t xml:space="preserve">Score</w:t>
            </w:r>
          </w:p>
        </w:tc>
        <w:tc>
          <w:tcPr>
            <w:tcW w:type="dxa" w:w="3760"/>
            <w:tcBorders>
              <w:top w:val="single" w:color="C9D3DD" w:sz="1"/>
              <w:left w:val="single" w:color="C9D3DD" w:sz="1"/>
              <w:bottom w:val="single" w:color="C9D3DD" w:sz="1"/>
              <w:right w:val="single" w:color="C9D3DD" w:sz="1"/>
            </w:tcBorders>
            <w:shd w:fill="1F3A5F" w:val="clear"/>
            <w:tcMar>
              <w:top w:type="dxa" w:w="80"/>
              <w:left w:type="dxa" w:w="120"/>
              <w:bottom w:type="dxa" w:w="80"/>
              <w:right w:type="dxa" w:w="120"/>
            </w:tcMar>
          </w:tcPr>
          <w:p>
            <w:pPr>
              <w:jc w:val="left"/>
            </w:pPr>
            <w:r>
              <w:rPr>
                <w:b/>
                <w:bCs/>
                <w:color w:val="FFFFFF"/>
              </w:rPr>
              <w:t xml:space="preserve">Basis</w:t>
            </w:r>
          </w:p>
        </w:tc>
      </w:tr>
      <w:tr>
        <w:tc>
          <w:tcPr>
            <w:tcW w:type="dxa" w:w="420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Chart of accounts &amp; UAE localization</w:t>
            </w:r>
          </w:p>
        </w:tc>
        <w:tc>
          <w:tcPr>
            <w:tcW w:type="dxa" w:w="140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9 / 10</w:t>
            </w:r>
          </w:p>
        </w:tc>
        <w:tc>
          <w:tcPr>
            <w:tcW w:type="dxa" w:w="376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Comprehensive, IFRS-oriented, UAE-specific accounts present</w:t>
            </w:r>
          </w:p>
        </w:tc>
      </w:tr>
      <w:tr>
        <w:tc>
          <w:tcPr>
            <w:tcW w:type="dxa" w:w="420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Double-entry core integrity</w:t>
            </w:r>
          </w:p>
        </w:tc>
        <w:tc>
          <w:tcPr>
            <w:tcW w:type="dxa" w:w="140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8 / 10</w:t>
            </w:r>
          </w:p>
        </w:tc>
        <w:tc>
          <w:tcPr>
            <w:tcW w:type="dxa" w:w="376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All postings balance; lifecycle edge cases unhandled</w:t>
            </w:r>
          </w:p>
        </w:tc>
      </w:tr>
      <w:tr>
        <w:tc>
          <w:tcPr>
            <w:tcW w:type="dxa" w:w="420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Financial statement accuracy</w:t>
            </w:r>
          </w:p>
        </w:tc>
        <w:tc>
          <w:tcPr>
            <w:tcW w:type="dxa" w:w="140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5 / 10</w:t>
            </w:r>
          </w:p>
        </w:tc>
        <w:tc>
          <w:tcPr>
            <w:tcW w:type="dxa" w:w="376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P&amp;L sound; balance sheet &amp; cash flow have real defects</w:t>
            </w:r>
          </w:p>
        </w:tc>
      </w:tr>
      <w:tr>
        <w:tc>
          <w:tcPr>
            <w:tcW w:type="dxa" w:w="420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UAE tax compliance (VAT / CT)</w:t>
            </w:r>
          </w:p>
        </w:tc>
        <w:tc>
          <w:tcPr>
            <w:tcW w:type="dxa" w:w="140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8 / 10</w:t>
            </w:r>
          </w:p>
        </w:tc>
        <w:tc>
          <w:tcPr>
            <w:tcW w:type="dxa" w:w="376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Correct rates, correct forms, sound disclaimers</w:t>
            </w:r>
          </w:p>
        </w:tc>
      </w:tr>
      <w:tr>
        <w:tc>
          <w:tcPr>
            <w:tcW w:type="dxa" w:w="420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Internal controls &amp; guardrails</w:t>
            </w:r>
          </w:p>
        </w:tc>
        <w:tc>
          <w:tcPr>
            <w:tcW w:type="dxa" w:w="140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5 / 10</w:t>
            </w:r>
          </w:p>
        </w:tc>
        <w:tc>
          <w:tcPr>
            <w:tcW w:type="dxa" w:w="376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Period lock optional; paid-invoice void permitted</w:t>
            </w:r>
          </w:p>
        </w:tc>
      </w:tr>
      <w:tr>
        <w:tc>
          <w:tcPr>
            <w:tcW w:type="dxa" w:w="420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Reporting breadth &amp; audit trail</w:t>
            </w:r>
          </w:p>
        </w:tc>
        <w:tc>
          <w:tcPr>
            <w:tcW w:type="dxa" w:w="140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9 / 10</w:t>
            </w:r>
          </w:p>
        </w:tc>
        <w:tc>
          <w:tcPr>
            <w:tcW w:type="dxa" w:w="376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38+ reports incl. trial balance, GL, audit trail</w:t>
            </w:r>
          </w:p>
        </w:tc>
      </w:tr>
      <w:tr>
        <w:tc>
          <w:tcPr>
            <w:tcW w:type="dxa" w:w="4200"/>
            <w:tcBorders>
              <w:top w:val="single" w:color="C9D3DD" w:sz="1"/>
              <w:left w:val="single" w:color="C9D3DD" w:sz="1"/>
              <w:bottom w:val="single" w:color="C9D3DD" w:sz="1"/>
              <w:right w:val="single" w:color="C9D3DD" w:sz="1"/>
            </w:tcBorders>
            <w:shd w:fill="1F7A6D" w:val="clear"/>
            <w:tcMar>
              <w:top w:type="dxa" w:w="80"/>
              <w:left w:type="dxa" w:w="120"/>
              <w:bottom w:type="dxa" w:w="80"/>
              <w:right w:type="dxa" w:w="120"/>
            </w:tcMar>
          </w:tcPr>
          <w:p>
            <w:pPr>
              <w:jc w:val="left"/>
            </w:pPr>
            <w:r>
              <w:rPr>
                <w:b/>
                <w:bCs/>
                <w:color w:val="FFFFFF"/>
              </w:rPr>
              <w:t xml:space="preserve">Overall</w:t>
            </w:r>
          </w:p>
        </w:tc>
        <w:tc>
          <w:tcPr>
            <w:tcW w:type="dxa" w:w="1400"/>
            <w:tcBorders>
              <w:top w:val="single" w:color="C9D3DD" w:sz="1"/>
              <w:left w:val="single" w:color="C9D3DD" w:sz="1"/>
              <w:bottom w:val="single" w:color="C9D3DD" w:sz="1"/>
              <w:right w:val="single" w:color="C9D3DD" w:sz="1"/>
            </w:tcBorders>
            <w:shd w:fill="1F7A6D" w:val="clear"/>
            <w:tcMar>
              <w:top w:type="dxa" w:w="80"/>
              <w:left w:type="dxa" w:w="120"/>
              <w:bottom w:type="dxa" w:w="80"/>
              <w:right w:type="dxa" w:w="120"/>
            </w:tcMar>
          </w:tcPr>
          <w:p>
            <w:pPr>
              <w:jc w:val="left"/>
            </w:pPr>
            <w:r>
              <w:rPr>
                <w:b/>
                <w:bCs/>
                <w:color w:val="FFFFFF"/>
              </w:rPr>
              <w:t xml:space="preserve">7 / 10  (B-)</w:t>
            </w:r>
          </w:p>
        </w:tc>
        <w:tc>
          <w:tcPr>
            <w:tcW w:type="dxa" w:w="3760"/>
            <w:tcBorders>
              <w:top w:val="single" w:color="C9D3DD" w:sz="1"/>
              <w:left w:val="single" w:color="C9D3DD" w:sz="1"/>
              <w:bottom w:val="single" w:color="C9D3DD" w:sz="1"/>
              <w:right w:val="single" w:color="C9D3DD" w:sz="1"/>
            </w:tcBorders>
            <w:shd w:fill="1F7A6D" w:val="clear"/>
            <w:tcMar>
              <w:top w:type="dxa" w:w="80"/>
              <w:left w:type="dxa" w:w="120"/>
              <w:bottom w:type="dxa" w:w="80"/>
              <w:right w:type="dxa" w:w="120"/>
            </w:tcMar>
          </w:tcPr>
          <w:p>
            <w:pPr>
              <w:jc w:val="left"/>
            </w:pPr>
            <w:r>
              <w:rPr>
                <w:b/>
                <w:bCs/>
                <w:color w:val="FFFFFF"/>
              </w:rPr>
              <w:t xml:space="preserve">Conditionally reliable</w:t>
            </w:r>
          </w:p>
        </w:tc>
      </w:tr>
    </w:tbl>
    <w:p>
      <w:pPr>
        <w:spacing w:after="140"/>
      </w:pPr>
      <w:r>
        <w:t xml:space="preserve"/>
      </w:r>
    </w:p>
    <w:p>
      <w:pPr>
        <w:pStyle w:val="Heading1"/>
      </w:pPr>
      <w:r>
        <w:t xml:space="preserve">4.  Findings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200"/>
        <w:gridCol w:w="2160"/>
      </w:tblGrid>
      <w:tr>
        <w:trPr>
          <w:tblHeader/>
        </w:trPr>
        <w:tc>
          <w:tcPr>
            <w:tcW w:type="dxa" w:w="600"/>
            <w:tcBorders>
              <w:top w:val="single" w:color="C9D3DD" w:sz="1"/>
              <w:left w:val="single" w:color="C9D3DD" w:sz="1"/>
              <w:bottom w:val="single" w:color="C9D3DD" w:sz="1"/>
              <w:right w:val="single" w:color="C9D3DD" w:sz="1"/>
            </w:tcBorders>
            <w:shd w:fill="1F3A5F" w:val="clear"/>
            <w:tcMar>
              <w:top w:type="dxa" w:w="80"/>
              <w:left w:type="dxa" w:w="120"/>
              <w:bottom w:type="dxa" w:w="80"/>
              <w:right w:type="dxa" w:w="120"/>
            </w:tcMar>
          </w:tcPr>
          <w:p>
            <w:pPr>
              <w:jc w:val="left"/>
            </w:pPr>
            <w:r>
              <w:rPr>
                <w:b/>
                <w:bCs/>
                <w:color w:val="FFFFFF"/>
              </w:rPr>
              <w:t xml:space="preserve">#</w:t>
            </w:r>
          </w:p>
        </w:tc>
        <w:tc>
          <w:tcPr>
            <w:tcW w:type="dxa" w:w="5400"/>
            <w:tcBorders>
              <w:top w:val="single" w:color="C9D3DD" w:sz="1"/>
              <w:left w:val="single" w:color="C9D3DD" w:sz="1"/>
              <w:bottom w:val="single" w:color="C9D3DD" w:sz="1"/>
              <w:right w:val="single" w:color="C9D3DD" w:sz="1"/>
            </w:tcBorders>
            <w:shd w:fill="1F3A5F" w:val="clear"/>
            <w:tcMar>
              <w:top w:type="dxa" w:w="80"/>
              <w:left w:type="dxa" w:w="120"/>
              <w:bottom w:type="dxa" w:w="80"/>
              <w:right w:type="dxa" w:w="120"/>
            </w:tcMar>
          </w:tcPr>
          <w:p>
            <w:pPr>
              <w:jc w:val="left"/>
            </w:pPr>
            <w:r>
              <w:rPr>
                <w:b/>
                <w:bCs/>
                <w:color w:val="FFFFFF"/>
              </w:rPr>
              <w:t xml:space="preserve">Finding</w:t>
            </w:r>
          </w:p>
        </w:tc>
        <w:tc>
          <w:tcPr>
            <w:tcW w:type="dxa" w:w="1200"/>
            <w:tcBorders>
              <w:top w:val="single" w:color="C9D3DD" w:sz="1"/>
              <w:left w:val="single" w:color="C9D3DD" w:sz="1"/>
              <w:bottom w:val="single" w:color="C9D3DD" w:sz="1"/>
              <w:right w:val="single" w:color="C9D3DD" w:sz="1"/>
            </w:tcBorders>
            <w:shd w:fill="1F3A5F" w:val="clear"/>
            <w:tcMar>
              <w:top w:type="dxa" w:w="80"/>
              <w:left w:type="dxa" w:w="120"/>
              <w:bottom w:type="dxa" w:w="80"/>
              <w:right w:type="dxa" w:w="120"/>
            </w:tcMar>
          </w:tcPr>
          <w:p>
            <w:pPr>
              <w:jc w:val="left"/>
            </w:pPr>
            <w:r>
              <w:rPr>
                <w:b/>
                <w:bCs/>
                <w:color w:val="FFFFFF"/>
              </w:rPr>
              <w:t xml:space="preserve">Severity</w:t>
            </w:r>
          </w:p>
        </w:tc>
        <w:tc>
          <w:tcPr>
            <w:tcW w:type="dxa" w:w="2160"/>
            <w:tcBorders>
              <w:top w:val="single" w:color="C9D3DD" w:sz="1"/>
              <w:left w:val="single" w:color="C9D3DD" w:sz="1"/>
              <w:bottom w:val="single" w:color="C9D3DD" w:sz="1"/>
              <w:right w:val="single" w:color="C9D3DD" w:sz="1"/>
            </w:tcBorders>
            <w:shd w:fill="1F3A5F" w:val="clear"/>
            <w:tcMar>
              <w:top w:type="dxa" w:w="80"/>
              <w:left w:type="dxa" w:w="120"/>
              <w:bottom w:type="dxa" w:w="80"/>
              <w:right w:type="dxa" w:w="120"/>
            </w:tcMar>
          </w:tcPr>
          <w:p>
            <w:pPr>
              <w:jc w:val="left"/>
            </w:pPr>
            <w:r>
              <w:rPr>
                <w:b/>
                <w:bCs/>
                <w:color w:val="FFFFFF"/>
              </w:rPr>
              <w:t xml:space="preserve">Area</w:t>
            </w:r>
          </w:p>
        </w:tc>
      </w:tr>
      <w:tr>
        <w:tc>
          <w:tcPr>
            <w:tcW w:type="dxa" w:w="60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center"/>
            </w:pPr>
            <w:r>
              <w:rPr>
                <w:b w:val="false"/>
                <w:bCs w:val="false"/>
              </w:rPr>
              <w:t xml:space="preserve">1</w:t>
            </w:r>
          </w:p>
        </w:tc>
        <w:tc>
          <w:tcPr>
            <w:tcW w:type="dxa" w:w="540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Voiding an already-paid invoice leaves cash unmatched and creates an abnormal credit balance in Accounts Receivable; no control blocks it.</w:t>
            </w:r>
          </w:p>
        </w:tc>
        <w:tc>
          <w:tcPr>
            <w:tcW w:type="dxa" w:w="120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bCs/>
                <w:color w:val="B3261E"/>
              </w:rPr>
              <w:t xml:space="preserve">Critical</w:t>
            </w:r>
          </w:p>
        </w:tc>
        <w:tc>
          <w:tcPr>
            <w:tcW w:type="dxa" w:w="216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Accuracy / Controls</w:t>
            </w:r>
          </w:p>
        </w:tc>
      </w:tr>
      <w:tr>
        <w:tc>
          <w:tcPr>
            <w:tcW w:type="dxa" w:w="60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center"/>
            </w:pPr>
            <w:r>
              <w:rPr>
                <w:b w:val="false"/>
                <w:bCs w:val="false"/>
              </w:rPr>
              <w:t xml:space="preserve">2</w:t>
            </w:r>
          </w:p>
        </w:tc>
        <w:tc>
          <w:tcPr>
            <w:tcW w:type="dxa" w:w="540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Net credit (negative) Accounts Receivable is left inside Assets on the balance sheet rather than reclassified to a customer-refund liability.</w:t>
            </w:r>
          </w:p>
        </w:tc>
        <w:tc>
          <w:tcPr>
            <w:tcW w:type="dxa" w:w="120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bCs/>
                <w:color w:val="B3261E"/>
              </w:rPr>
              <w:t xml:space="preserve">High</w:t>
            </w:r>
          </w:p>
        </w:tc>
        <w:tc>
          <w:tcPr>
            <w:tcW w:type="dxa" w:w="216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Reporting</w:t>
            </w:r>
          </w:p>
        </w:tc>
      </w:tr>
      <w:tr>
        <w:tc>
          <w:tcPr>
            <w:tcW w:type="dxa" w:w="60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center"/>
            </w:pPr>
            <w:r>
              <w:rPr>
                <w:b w:val="false"/>
                <w:bCs w:val="false"/>
              </w:rPr>
              <w:t xml:space="preserve">3</w:t>
            </w:r>
          </w:p>
        </w:tc>
        <w:tc>
          <w:tcPr>
            <w:tcW w:type="dxa" w:w="540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Cash Flow Statement lists the cash account itself as an operating line and reports Net Cash Change of zero that does not tie to the change in the bank balance.</w:t>
            </w:r>
          </w:p>
        </w:tc>
        <w:tc>
          <w:tcPr>
            <w:tcW w:type="dxa" w:w="120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bCs/>
                <w:color w:val="B3261E"/>
              </w:rPr>
              <w:t xml:space="preserve">High</w:t>
            </w:r>
          </w:p>
        </w:tc>
        <w:tc>
          <w:tcPr>
            <w:tcW w:type="dxa" w:w="216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Reporting</w:t>
            </w:r>
          </w:p>
        </w:tc>
      </w:tr>
      <w:tr>
        <w:tc>
          <w:tcPr>
            <w:tcW w:type="dxa" w:w="60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center"/>
            </w:pPr>
            <w:r>
              <w:rPr>
                <w:b w:val="false"/>
                <w:bCs w:val="false"/>
              </w:rPr>
              <w:t xml:space="preserve">4</w:t>
            </w:r>
          </w:p>
        </w:tc>
        <w:tc>
          <w:tcPr>
            <w:tcW w:type="dxa" w:w="540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Future-dated entries (Aug 2026) were posted with no period locked; period-lock capability exists but is not enforced as a guardrail.</w:t>
            </w:r>
          </w:p>
        </w:tc>
        <w:tc>
          <w:tcPr>
            <w:tcW w:type="dxa" w:w="120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bCs/>
                <w:color w:val="B5780B"/>
              </w:rPr>
              <w:t xml:space="preserve">Medium</w:t>
            </w:r>
          </w:p>
        </w:tc>
        <w:tc>
          <w:tcPr>
            <w:tcW w:type="dxa" w:w="216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Controls</w:t>
            </w:r>
          </w:p>
        </w:tc>
      </w:tr>
      <w:tr>
        <w:tc>
          <w:tcPr>
            <w:tcW w:type="dxa" w:w="60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center"/>
            </w:pPr>
            <w:r>
              <w:rPr>
                <w:b w:val="false"/>
                <w:bCs w:val="false"/>
              </w:rPr>
              <w:t xml:space="preserve">5</w:t>
            </w:r>
          </w:p>
        </w:tc>
        <w:tc>
          <w:tcPr>
            <w:tcW w:type="dxa" w:w="540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Chart-of-Accounts screen shows credit-balance asset accounts as positive amounts, inconsistent with the signed balance-sheet presentation.</w:t>
            </w:r>
          </w:p>
        </w:tc>
        <w:tc>
          <w:tcPr>
            <w:tcW w:type="dxa" w:w="120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bCs/>
                <w:color w:val="555555"/>
              </w:rPr>
              <w:t xml:space="preserve">Low</w:t>
            </w:r>
          </w:p>
        </w:tc>
        <w:tc>
          <w:tcPr>
            <w:tcW w:type="dxa" w:w="216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Presentation</w:t>
            </w:r>
          </w:p>
        </w:tc>
      </w:tr>
      <w:tr>
        <w:tc>
          <w:tcPr>
            <w:tcW w:type="dxa" w:w="60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center"/>
            </w:pPr>
            <w:r>
              <w:rPr>
                <w:b w:val="false"/>
                <w:bCs w:val="false"/>
              </w:rPr>
              <w:t xml:space="preserve">6</w:t>
            </w:r>
          </w:p>
        </w:tc>
        <w:tc>
          <w:tcPr>
            <w:tcW w:type="dxa" w:w="540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Corporate Tax module does not surface Small Business Relief (revenue &lt;= AED 3M -&gt; 0% election through 2026), relevant to the SME target market.</w:t>
            </w:r>
          </w:p>
        </w:tc>
        <w:tc>
          <w:tcPr>
            <w:tcW w:type="dxa" w:w="120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bCs/>
                <w:color w:val="555555"/>
              </w:rPr>
              <w:t xml:space="preserve">Low</w:t>
            </w:r>
          </w:p>
        </w:tc>
        <w:tc>
          <w:tcPr>
            <w:tcW w:type="dxa" w:w="216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Compliance</w:t>
            </w:r>
          </w:p>
        </w:tc>
      </w:tr>
    </w:tbl>
    <w:p>
      <w:pPr>
        <w:spacing w:after="140"/>
      </w:pPr>
      <w:r>
        <w:t xml:space="preserve"/>
      </w:r>
    </w:p>
    <w:p>
      <w:pPr>
        <w:pStyle w:val="Heading1"/>
      </w:pPr>
      <w:r>
        <w:t xml:space="preserve">5.  What works well</w:t>
      </w:r>
    </w:p>
    <w:p>
      <w:pPr>
        <w:pStyle w:val="Heading2"/>
      </w:pPr>
      <w:r>
        <w:t xml:space="preserve">Chart of accounts &amp; UAE localisation</w:t>
      </w:r>
    </w:p>
    <w:p>
      <w:pPr>
        <w:spacing w:after="140"/>
      </w:pPr>
      <w:r>
        <w:t xml:space="preserve">The chart of accounts is comprehensive and clearly built by someone who knows UAE practice. Across 49 accounts in five classes it includes the UAE-specific items that matter: Input VAT (VAT Receivable), Output VAT (VAT Payable), an FTA VAT Control account, GPSSA pension payable, an End-of-Service Gratuity provision and expense, and separate Zero-Rated and Exempt sales accounts. The structure follows an IFRS-oriented layout suitable for SME statutory reporting.</w:t>
      </w:r>
    </w:p>
    <w:p>
      <w:pPr>
        <w:pStyle w:val="Heading2"/>
      </w:pPr>
      <w:r>
        <w:t xml:space="preserve">Double-entry discipline</w:t>
      </w:r>
    </w:p>
    <w:p>
      <w:pPr>
        <w:spacing w:after="140"/>
      </w:pPr>
      <w:r>
        <w:t xml:space="preserve">Every posted journal entry inspected was balanced, and the journal screen advertises - and demonstrably enforces - automatic balance validation. Draft entries are excluded from balances until posted. The invoice lifecycle posts correct entries: an invoice debits Accounts Receivable and credits Product Sales and Output VAT; a 5% VAT charge on a 5,000 sale was correctly computed as 250.</w:t>
      </w:r>
    </w:p>
    <w:p>
      <w:pPr>
        <w:pStyle w:val="Heading2"/>
      </w:pPr>
      <w:r>
        <w:t xml:space="preserve">Tax modules</w:t>
      </w:r>
    </w:p>
    <w:p>
      <w:pPr>
        <w:spacing w:after="140"/>
      </w:pPr>
      <w:r>
        <w:t xml:space="preserve">The VAT module is built around the actual FTA VAT 201 return and refuses to generate a return until a TRN is present - a sensible control. The Corporate Tax module states the regime correctly (9% on taxable income above AED 375,000), provides a pre-submission P&amp;L workpaper and a calculator from journal entries, and is explicit that it produces a draft only, does not submit to the FTA, and posts no accounting entries. These are exactly the right guardrails for a tax-preparation aid.</w:t>
      </w:r>
    </w:p>
    <w:p>
      <w:pPr>
        <w:pStyle w:val="Heading2"/>
      </w:pPr>
      <w:r>
        <w:t xml:space="preserve">Reporting &amp; close</w:t>
      </w:r>
    </w:p>
    <w:p>
      <w:pPr>
        <w:spacing w:after="140"/>
      </w:pPr>
      <w:r>
        <w:t xml:space="preserve">The report centre offers a broad, business-question-framed catalogue - trial balance, general ledger, account transactions, AR/AP ageing, VAT summary/return, corporate tax estimate, audit trail, inventory valuation, fixed-asset register, depreciation schedule, budget-vs-actual, cash-flow forecast and cost-centre P&amp;L. A month-end close workflow provides a seven-point checklist, an AI readiness validation, closing-entry generation and a period-lock function.</w:t>
      </w:r>
    </w:p>
    <w:p>
      <w:pPr>
        <w:pStyle w:val="Heading1"/>
      </w:pPr>
      <w:r>
        <w:t xml:space="preserve">6.  What needs to be fixed</w:t>
      </w:r>
    </w:p>
    <w:p>
      <w:pPr>
        <w:pStyle w:val="Heading2"/>
      </w:pPr>
      <w:r>
        <w:t xml:space="preserve">6.1  Critical - voiding a paid invoice (Finding 1)</w:t>
      </w:r>
    </w:p>
    <w:p>
      <w:pPr>
        <w:spacing w:after="140"/>
      </w:pPr>
      <w:r>
        <w:t xml:space="preserve">Invoice INV-2026-00016 was raised, then paid, then voided. The three postings the system produced were each individually balanced: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60"/>
        <w:gridCol w:w="2300"/>
        <w:gridCol w:w="1150"/>
        <w:gridCol w:w="1150"/>
      </w:tblGrid>
      <w:tr>
        <w:trPr>
          <w:tblHeader/>
        </w:trPr>
        <w:tc>
          <w:tcPr>
            <w:tcW w:type="dxa" w:w="1700"/>
            <w:tcBorders>
              <w:top w:val="single" w:color="C9D3DD" w:sz="1"/>
              <w:left w:val="single" w:color="C9D3DD" w:sz="1"/>
              <w:bottom w:val="single" w:color="C9D3DD" w:sz="1"/>
              <w:right w:val="single" w:color="C9D3DD" w:sz="1"/>
            </w:tcBorders>
            <w:shd w:fill="1F3A5F" w:val="clear"/>
            <w:tcMar>
              <w:top w:type="dxa" w:w="80"/>
              <w:left w:type="dxa" w:w="120"/>
              <w:bottom w:type="dxa" w:w="80"/>
              <w:right w:type="dxa" w:w="120"/>
            </w:tcMar>
          </w:tcPr>
          <w:p>
            <w:pPr>
              <w:jc w:val="left"/>
            </w:pPr>
            <w:r>
              <w:rPr>
                <w:b/>
                <w:bCs/>
                <w:color w:val="FFFFFF"/>
              </w:rPr>
              <w:t xml:space="preserve">Entry</w:t>
            </w:r>
          </w:p>
        </w:tc>
        <w:tc>
          <w:tcPr>
            <w:tcW w:type="dxa" w:w="3060"/>
            <w:tcBorders>
              <w:top w:val="single" w:color="C9D3DD" w:sz="1"/>
              <w:left w:val="single" w:color="C9D3DD" w:sz="1"/>
              <w:bottom w:val="single" w:color="C9D3DD" w:sz="1"/>
              <w:right w:val="single" w:color="C9D3DD" w:sz="1"/>
            </w:tcBorders>
            <w:shd w:fill="1F3A5F" w:val="clear"/>
            <w:tcMar>
              <w:top w:type="dxa" w:w="80"/>
              <w:left w:type="dxa" w:w="120"/>
              <w:bottom w:type="dxa" w:w="80"/>
              <w:right w:type="dxa" w:w="120"/>
            </w:tcMar>
          </w:tcPr>
          <w:p>
            <w:pPr>
              <w:jc w:val="left"/>
            </w:pPr>
            <w:r>
              <w:rPr>
                <w:b/>
                <w:bCs/>
                <w:color w:val="FFFFFF"/>
              </w:rPr>
              <w:t xml:space="preserve">Narrative</w:t>
            </w:r>
          </w:p>
        </w:tc>
        <w:tc>
          <w:tcPr>
            <w:tcW w:type="dxa" w:w="2300"/>
            <w:tcBorders>
              <w:top w:val="single" w:color="C9D3DD" w:sz="1"/>
              <w:left w:val="single" w:color="C9D3DD" w:sz="1"/>
              <w:bottom w:val="single" w:color="C9D3DD" w:sz="1"/>
              <w:right w:val="single" w:color="C9D3DD" w:sz="1"/>
            </w:tcBorders>
            <w:shd w:fill="1F3A5F" w:val="clear"/>
            <w:tcMar>
              <w:top w:type="dxa" w:w="80"/>
              <w:left w:type="dxa" w:w="120"/>
              <w:bottom w:type="dxa" w:w="80"/>
              <w:right w:type="dxa" w:w="120"/>
            </w:tcMar>
          </w:tcPr>
          <w:p>
            <w:pPr>
              <w:jc w:val="left"/>
            </w:pPr>
            <w:r>
              <w:rPr>
                <w:b/>
                <w:bCs/>
                <w:color w:val="FFFFFF"/>
              </w:rPr>
              <w:t xml:space="preserve">Account</w:t>
            </w:r>
          </w:p>
        </w:tc>
        <w:tc>
          <w:tcPr>
            <w:tcW w:type="dxa" w:w="1150"/>
            <w:tcBorders>
              <w:top w:val="single" w:color="C9D3DD" w:sz="1"/>
              <w:left w:val="single" w:color="C9D3DD" w:sz="1"/>
              <w:bottom w:val="single" w:color="C9D3DD" w:sz="1"/>
              <w:right w:val="single" w:color="C9D3DD" w:sz="1"/>
            </w:tcBorders>
            <w:shd w:fill="1F3A5F" w:val="clear"/>
            <w:tcMar>
              <w:top w:type="dxa" w:w="80"/>
              <w:left w:type="dxa" w:w="120"/>
              <w:bottom w:type="dxa" w:w="80"/>
              <w:right w:type="dxa" w:w="120"/>
            </w:tcMar>
          </w:tcPr>
          <w:p>
            <w:pPr>
              <w:jc w:val="left"/>
            </w:pPr>
            <w:r>
              <w:rPr>
                <w:b/>
                <w:bCs/>
                <w:color w:val="FFFFFF"/>
              </w:rPr>
              <w:t xml:space="preserve">Debit</w:t>
            </w:r>
          </w:p>
        </w:tc>
        <w:tc>
          <w:tcPr>
            <w:tcW w:type="dxa" w:w="1150"/>
            <w:tcBorders>
              <w:top w:val="single" w:color="C9D3DD" w:sz="1"/>
              <w:left w:val="single" w:color="C9D3DD" w:sz="1"/>
              <w:bottom w:val="single" w:color="C9D3DD" w:sz="1"/>
              <w:right w:val="single" w:color="C9D3DD" w:sz="1"/>
            </w:tcBorders>
            <w:shd w:fill="1F3A5F" w:val="clear"/>
            <w:tcMar>
              <w:top w:type="dxa" w:w="80"/>
              <w:left w:type="dxa" w:w="120"/>
              <w:bottom w:type="dxa" w:w="80"/>
              <w:right w:type="dxa" w:w="120"/>
            </w:tcMar>
          </w:tcPr>
          <w:p>
            <w:pPr>
              <w:jc w:val="left"/>
            </w:pPr>
            <w:r>
              <w:rPr>
                <w:b/>
                <w:bCs/>
                <w:color w:val="FFFFFF"/>
              </w:rPr>
              <w:t xml:space="preserve">Credit</w:t>
            </w:r>
          </w:p>
        </w:tc>
      </w:tr>
      <w:tr>
        <w:tc>
          <w:tcPr>
            <w:tcW w:type="dxa" w:w="170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JE-...612-001</w:t>
            </w:r>
          </w:p>
        </w:tc>
        <w:tc>
          <w:tcPr>
            <w:tcW w:type="dxa" w:w="306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Sales invoice INV-2026-00016</w:t>
            </w:r>
          </w:p>
        </w:tc>
        <w:tc>
          <w:tcPr>
            <w:tcW w:type="dxa" w:w="230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Dr Accounts Receivable</w:t>
            </w:r>
          </w:p>
        </w:tc>
        <w:tc>
          <w:tcPr>
            <w:tcW w:type="dxa" w:w="115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right"/>
            </w:pPr>
            <w:r>
              <w:rPr>
                <w:b w:val="false"/>
                <w:bCs w:val="false"/>
              </w:rPr>
              <w:t xml:space="preserve">5,250.00</w:t>
            </w:r>
          </w:p>
        </w:tc>
        <w:tc>
          <w:tcPr>
            <w:tcW w:type="dxa" w:w="115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right"/>
            </w:pPr>
            <w:r>
              <w:rPr>
                <w:b w:val="false"/>
                <w:bCs w:val="false"/>
              </w:rPr>
              <w:t xml:space="preserve">-</w:t>
            </w:r>
          </w:p>
        </w:tc>
      </w:tr>
      <w:tr>
        <w:tc>
          <w:tcPr>
            <w:tcW w:type="dxa" w:w="170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
            </w:r>
          </w:p>
        </w:tc>
        <w:tc>
          <w:tcPr>
            <w:tcW w:type="dxa" w:w="306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
            </w:r>
          </w:p>
        </w:tc>
        <w:tc>
          <w:tcPr>
            <w:tcW w:type="dxa" w:w="230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Cr Product Sales</w:t>
            </w:r>
          </w:p>
        </w:tc>
        <w:tc>
          <w:tcPr>
            <w:tcW w:type="dxa" w:w="115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right"/>
            </w:pPr>
            <w:r>
              <w:rPr>
                <w:b w:val="false"/>
                <w:bCs w:val="false"/>
              </w:rPr>
              <w:t xml:space="preserve">-</w:t>
            </w:r>
          </w:p>
        </w:tc>
        <w:tc>
          <w:tcPr>
            <w:tcW w:type="dxa" w:w="115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right"/>
            </w:pPr>
            <w:r>
              <w:rPr>
                <w:b w:val="false"/>
                <w:bCs w:val="false"/>
              </w:rPr>
              <w:t xml:space="preserve">5,000.00</w:t>
            </w:r>
          </w:p>
        </w:tc>
      </w:tr>
      <w:tr>
        <w:tc>
          <w:tcPr>
            <w:tcW w:type="dxa" w:w="170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
            </w:r>
          </w:p>
        </w:tc>
        <w:tc>
          <w:tcPr>
            <w:tcW w:type="dxa" w:w="306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
            </w:r>
          </w:p>
        </w:tc>
        <w:tc>
          <w:tcPr>
            <w:tcW w:type="dxa" w:w="230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Cr VAT Payable (Output)</w:t>
            </w:r>
          </w:p>
        </w:tc>
        <w:tc>
          <w:tcPr>
            <w:tcW w:type="dxa" w:w="115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right"/>
            </w:pPr>
            <w:r>
              <w:rPr>
                <w:b w:val="false"/>
                <w:bCs w:val="false"/>
              </w:rPr>
              <w:t xml:space="preserve">-</w:t>
            </w:r>
          </w:p>
        </w:tc>
        <w:tc>
          <w:tcPr>
            <w:tcW w:type="dxa" w:w="115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right"/>
            </w:pPr>
            <w:r>
              <w:rPr>
                <w:b w:val="false"/>
                <w:bCs w:val="false"/>
              </w:rPr>
              <w:t xml:space="preserve">250.00</w:t>
            </w:r>
          </w:p>
        </w:tc>
      </w:tr>
      <w:tr>
        <w:tc>
          <w:tcPr>
            <w:tcW w:type="dxa" w:w="170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JE-...613-001</w:t>
            </w:r>
          </w:p>
        </w:tc>
        <w:tc>
          <w:tcPr>
            <w:tcW w:type="dxa" w:w="306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Payment received (invoice settled)</w:t>
            </w:r>
          </w:p>
        </w:tc>
        <w:tc>
          <w:tcPr>
            <w:tcW w:type="dxa" w:w="230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Dr Bank Accounts</w:t>
            </w:r>
          </w:p>
        </w:tc>
        <w:tc>
          <w:tcPr>
            <w:tcW w:type="dxa" w:w="115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right"/>
            </w:pPr>
            <w:r>
              <w:rPr>
                <w:b w:val="false"/>
                <w:bCs w:val="false"/>
              </w:rPr>
              <w:t xml:space="preserve">5,250.00</w:t>
            </w:r>
          </w:p>
        </w:tc>
        <w:tc>
          <w:tcPr>
            <w:tcW w:type="dxa" w:w="115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right"/>
            </w:pPr>
            <w:r>
              <w:rPr>
                <w:b w:val="false"/>
                <w:bCs w:val="false"/>
              </w:rPr>
              <w:t xml:space="preserve">-</w:t>
            </w:r>
          </w:p>
        </w:tc>
      </w:tr>
      <w:tr>
        <w:tc>
          <w:tcPr>
            <w:tcW w:type="dxa" w:w="170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
            </w:r>
          </w:p>
        </w:tc>
        <w:tc>
          <w:tcPr>
            <w:tcW w:type="dxa" w:w="306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
            </w:r>
          </w:p>
        </w:tc>
        <w:tc>
          <w:tcPr>
            <w:tcW w:type="dxa" w:w="230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Cr Accounts Receivable</w:t>
            </w:r>
          </w:p>
        </w:tc>
        <w:tc>
          <w:tcPr>
            <w:tcW w:type="dxa" w:w="115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right"/>
            </w:pPr>
            <w:r>
              <w:rPr>
                <w:b w:val="false"/>
                <w:bCs w:val="false"/>
              </w:rPr>
              <w:t xml:space="preserve">-</w:t>
            </w:r>
          </w:p>
        </w:tc>
        <w:tc>
          <w:tcPr>
            <w:tcW w:type="dxa" w:w="115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right"/>
            </w:pPr>
            <w:r>
              <w:rPr>
                <w:b w:val="false"/>
                <w:bCs w:val="false"/>
              </w:rPr>
              <w:t xml:space="preserve">5,250.00</w:t>
            </w:r>
          </w:p>
        </w:tc>
      </w:tr>
      <w:tr>
        <w:tc>
          <w:tcPr>
            <w:tcW w:type="dxa" w:w="170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JE-...613-002</w:t>
            </w:r>
          </w:p>
        </w:tc>
        <w:tc>
          <w:tcPr>
            <w:tcW w:type="dxa" w:w="306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Void invoice - reversal of posting</w:t>
            </w:r>
          </w:p>
        </w:tc>
        <w:tc>
          <w:tcPr>
            <w:tcW w:type="dxa" w:w="230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Dr Product Sales</w:t>
            </w:r>
          </w:p>
        </w:tc>
        <w:tc>
          <w:tcPr>
            <w:tcW w:type="dxa" w:w="115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right"/>
            </w:pPr>
            <w:r>
              <w:rPr>
                <w:b w:val="false"/>
                <w:bCs w:val="false"/>
              </w:rPr>
              <w:t xml:space="preserve">5,000.00</w:t>
            </w:r>
          </w:p>
        </w:tc>
        <w:tc>
          <w:tcPr>
            <w:tcW w:type="dxa" w:w="115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right"/>
            </w:pPr>
            <w:r>
              <w:rPr>
                <w:b w:val="false"/>
                <w:bCs w:val="false"/>
              </w:rPr>
              <w:t xml:space="preserve">-</w:t>
            </w:r>
          </w:p>
        </w:tc>
      </w:tr>
      <w:tr>
        <w:tc>
          <w:tcPr>
            <w:tcW w:type="dxa" w:w="170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
            </w:r>
          </w:p>
        </w:tc>
        <w:tc>
          <w:tcPr>
            <w:tcW w:type="dxa" w:w="306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
            </w:r>
          </w:p>
        </w:tc>
        <w:tc>
          <w:tcPr>
            <w:tcW w:type="dxa" w:w="230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left"/>
            </w:pPr>
            <w:r>
              <w:rPr>
                <w:b w:val="false"/>
                <w:bCs w:val="false"/>
              </w:rPr>
              <w:t xml:space="preserve">Dr VAT Payable (Output)</w:t>
            </w:r>
          </w:p>
        </w:tc>
        <w:tc>
          <w:tcPr>
            <w:tcW w:type="dxa" w:w="115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right"/>
            </w:pPr>
            <w:r>
              <w:rPr>
                <w:b w:val="false"/>
                <w:bCs w:val="false"/>
              </w:rPr>
              <w:t xml:space="preserve">250.00</w:t>
            </w:r>
          </w:p>
        </w:tc>
        <w:tc>
          <w:tcPr>
            <w:tcW w:type="dxa" w:w="1150"/>
            <w:tcBorders>
              <w:top w:val="single" w:color="C9D3DD" w:sz="1"/>
              <w:left w:val="single" w:color="C9D3DD" w:sz="1"/>
              <w:bottom w:val="single" w:color="C9D3DD" w:sz="1"/>
              <w:right w:val="single" w:color="C9D3DD" w:sz="1"/>
            </w:tcBorders>
            <w:tcMar>
              <w:top w:type="dxa" w:w="80"/>
              <w:left w:type="dxa" w:w="120"/>
              <w:bottom w:type="dxa" w:w="80"/>
              <w:right w:type="dxa" w:w="120"/>
            </w:tcMar>
          </w:tcPr>
          <w:p>
            <w:pPr>
              <w:jc w:val="right"/>
            </w:pPr>
            <w:r>
              <w:rPr>
                <w:b w:val="false"/>
                <w:bCs w:val="false"/>
              </w:rPr>
              <w:t xml:space="preserve">-</w:t>
            </w:r>
          </w:p>
        </w:tc>
      </w:tr>
      <w:tr>
        <w:tc>
          <w:tcPr>
            <w:tcW w:type="dxa" w:w="170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
            </w:r>
          </w:p>
        </w:tc>
        <w:tc>
          <w:tcPr>
            <w:tcW w:type="dxa" w:w="306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
            </w:r>
          </w:p>
        </w:tc>
        <w:tc>
          <w:tcPr>
            <w:tcW w:type="dxa" w:w="230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left"/>
            </w:pPr>
            <w:r>
              <w:rPr>
                <w:b w:val="false"/>
                <w:bCs w:val="false"/>
              </w:rPr>
              <w:t xml:space="preserve">Cr Accounts Receivable</w:t>
            </w:r>
          </w:p>
        </w:tc>
        <w:tc>
          <w:tcPr>
            <w:tcW w:type="dxa" w:w="115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right"/>
            </w:pPr>
            <w:r>
              <w:rPr>
                <w:b w:val="false"/>
                <w:bCs w:val="false"/>
              </w:rPr>
              <w:t xml:space="preserve">-</w:t>
            </w:r>
          </w:p>
        </w:tc>
        <w:tc>
          <w:tcPr>
            <w:tcW w:type="dxa" w:w="1150"/>
            <w:tcBorders>
              <w:top w:val="single" w:color="C9D3DD" w:sz="1"/>
              <w:left w:val="single" w:color="C9D3DD" w:sz="1"/>
              <w:bottom w:val="single" w:color="C9D3DD" w:sz="1"/>
              <w:right w:val="single" w:color="C9D3DD" w:sz="1"/>
            </w:tcBorders>
            <w:shd w:fill="EEF2F6" w:val="clear"/>
            <w:tcMar>
              <w:top w:type="dxa" w:w="80"/>
              <w:left w:type="dxa" w:w="120"/>
              <w:bottom w:type="dxa" w:w="80"/>
              <w:right w:type="dxa" w:w="120"/>
            </w:tcMar>
          </w:tcPr>
          <w:p>
            <w:pPr>
              <w:jc w:val="right"/>
            </w:pPr>
            <w:r>
              <w:rPr>
                <w:b w:val="false"/>
                <w:bCs w:val="false"/>
              </w:rPr>
              <w:t xml:space="preserve">5,250.00</w:t>
            </w:r>
          </w:p>
        </w:tc>
      </w:tr>
    </w:tbl>
    <w:p>
      <w:pPr>
        <w:spacing w:after="140"/>
      </w:pPr>
      <w:r>
        <w:t xml:space="preserve"/>
      </w:r>
    </w:p>
    <w:p>
      <w:pPr>
        <w:spacing w:after="140"/>
      </w:pPr>
      <w:r>
        <w:t xml:space="preserve">The void reversed the original invoice (revenue and VAT correctly removed) but </w:t>
      </w:r>
      <w:r>
        <w:rPr>
          <w:b/>
          <w:bCs/>
        </w:rPr>
        <w:t xml:space="preserve">ignored the payment that had already settled the invoice</w:t>
      </w:r>
      <w:r>
        <w:t xml:space="preserve">. The net effect on Accounts Receivable is +5,250 - 5,250 - 5,250 = a 5,250 </w:t>
      </w:r>
      <w:r>
        <w:rPr>
          <w:b/>
          <w:bCs/>
        </w:rPr>
        <w:t xml:space="preserve">credit</w:t>
      </w:r>
      <w:r>
        <w:t xml:space="preserve"> balance - an abnormal position for an asset - while the customer's 5,250 remains in the bank with no offsetting revenue or liability. Economically the business now holds cash it owes back to the customer, but the books show neither a refund liability nor a customer advance.</w:t>
      </w:r>
    </w:p>
    <w:p>
      <w:pPr>
        <w:spacing w:after="140"/>
      </w:pPr>
      <w:r>
        <w:rPr>
          <w:b/>
          <w:bCs/>
        </w:rPr>
        <w:t xml:space="preserve">Expected behaviour:  </w:t>
      </w:r>
      <w:r>
        <w:t xml:space="preserve">the system should either block voiding a settled invoice (requiring a credit note / refund instead), or, on void, reclassify the received cash to a customer-refund payable (or customer advance) so that the balance sheet shows the cash asset and the matching liability.</w:t>
      </w:r>
    </w:p>
    <w:p>
      <w:pPr>
        <w:pStyle w:val="Heading2"/>
      </w:pPr>
      <w:r>
        <w:t xml:space="preserve">6.2  High - abnormal balances not reclassified (Finding 2)</w:t>
      </w:r>
    </w:p>
    <w:p>
      <w:pPr>
        <w:spacing w:after="140"/>
      </w:pPr>
      <w:r>
        <w:t xml:space="preserve">The Balance Sheet (as at 22 Jun 2026) reports Bank 5,350, Accounts Receivable </w:t>
      </w:r>
      <w:r>
        <w:rPr>
          <w:b/>
          <w:bCs/>
        </w:rPr>
        <w:t xml:space="preserve">-5,250</w:t>
      </w:r>
      <w:r>
        <w:t xml:space="preserve">, total assets 100, liabilities 0, equity 100 - and flags "Balanced". It does balance, but a net credit receivable should be reclassified out of assets and presented as a liability (customer advances / refunds payable). As presented, total assets are understated and liabilities are understated by 5,250 each; a reader would believe the entity holds AED 100 of assets when it actually holds AED 5,350 of cash and owes a customer AED 5,250.</w:t>
      </w:r>
    </w:p>
    <w:p>
      <w:pPr>
        <w:pStyle w:val="Heading2"/>
      </w:pPr>
      <w:r>
        <w:t xml:space="preserve">6.3  High - cash flow statement construction (Finding 3)</w:t>
      </w:r>
    </w:p>
    <w:p>
      <w:pPr>
        <w:spacing w:after="140"/>
      </w:pPr>
      <w:r>
        <w:t xml:space="preserve">The Cash Flow Statement lists the Bank account itself as an operating-activity line (-5,350) and reports </w:t>
      </w:r>
      <w:r>
        <w:rPr>
          <w:b/>
          <w:bCs/>
        </w:rPr>
        <w:t xml:space="preserve">Net Cash Change of AED 0.00</w:t>
      </w:r>
      <w:r>
        <w:t xml:space="preserve">. The cash/bank movement is the reconciling result of a cash flow statement, not a line item within it, and a net change of zero does not tie to the bank balance, which actually rose to 5,350. The statement does not correctly isolate cash, so the period's cash movement is misstated.</w:t>
      </w:r>
    </w:p>
    <w:p>
      <w:pPr>
        <w:pStyle w:val="Heading2"/>
      </w:pPr>
      <w:r>
        <w:t xml:space="preserve">6.4  Medium - period lock not enforced (Finding 4)</w:t>
      </w:r>
    </w:p>
    <w:p>
      <w:pPr>
        <w:spacing w:after="140"/>
      </w:pPr>
      <w:r>
        <w:t xml:space="preserve">Entries dated 1-2 August 2026 - in the future relative to the review date of 21 June 2026 - were posted successfully, and no period had ever been locked. The month-end "Lock Period" capability exists but is optional and was not acting as a guardrail. A hard control should prevent posting into future or closed periods without an explicit override and audit note.</w:t>
      </w:r>
    </w:p>
    <w:p>
      <w:pPr>
        <w:pStyle w:val="Heading2"/>
      </w:pPr>
      <w:r>
        <w:t xml:space="preserve">6.5  Low - presentation &amp; compliance polish (Findings 5-6)</w:t>
      </w:r>
    </w:p>
    <w:p>
      <w:pPr>
        <w:pStyle w:val="ListParagraph"/>
        <w:numPr>
          <w:ilvl w:val="0"/>
          <w:numId w:val="2"/>
        </w:numPr>
        <w:spacing w:after="80"/>
      </w:pPr>
      <w:r>
        <w:rPr>
          <w:b/>
          <w:bCs/>
        </w:rPr>
        <w:t xml:space="preserve">Chart-of-accounts sign display.  </w:t>
      </w:r>
      <w:r>
        <w:t xml:space="preserve">Asset accounts carrying credit balances are shown as positive amounts on the chart-of-accounts screen and the group totals are netted, which is inconsistent with the signed presentation on the balance sheet and can mislead at a glance.</w:t>
      </w:r>
    </w:p>
    <w:p>
      <w:pPr>
        <w:pStyle w:val="ListParagraph"/>
        <w:numPr>
          <w:ilvl w:val="0"/>
          <w:numId w:val="2"/>
        </w:numPr>
        <w:spacing w:after="80"/>
      </w:pPr>
      <w:r>
        <w:rPr>
          <w:b/>
          <w:bCs/>
        </w:rPr>
        <w:t xml:space="preserve">Small Business Relief.  </w:t>
      </w:r>
      <w:r>
        <w:t xml:space="preserve">The Corporate Tax module states 9% above AED 375,000 correctly but does not surface Small Business Relief (taxable persons with revenue not exceeding AED 3M may elect 0% through tax periods ending before 1 Jan 2027) - directly relevant to the SME audience this product targets.</w:t>
      </w:r>
    </w:p>
    <w:p>
      <w:pPr>
        <w:pStyle w:val="Heading1"/>
      </w:pPr>
      <w:r>
        <w:t xml:space="preserve">7.  Recommendations (prioritised)</w:t>
      </w:r>
    </w:p>
    <w:p>
      <w:pPr>
        <w:pStyle w:val="ListParagraph"/>
        <w:numPr>
          <w:ilvl w:val="0"/>
          <w:numId w:val="3"/>
        </w:numPr>
        <w:spacing w:after="80"/>
      </w:pPr>
      <w:r>
        <w:rPr>
          <w:b/>
          <w:bCs/>
        </w:rPr>
        <w:t xml:space="preserve">Block or properly account for voiding settled invoices.  </w:t>
      </w:r>
      <w:r>
        <w:t xml:space="preserve">Disallow voiding a paid invoice; route corrections through a credit note or refund. Where a void is permitted, automatically reclassify received cash to a refund-payable/customer-advance account.</w:t>
      </w:r>
    </w:p>
    <w:p>
      <w:pPr>
        <w:pStyle w:val="ListParagraph"/>
        <w:numPr>
          <w:ilvl w:val="0"/>
          <w:numId w:val="3"/>
        </w:numPr>
        <w:spacing w:after="80"/>
      </w:pPr>
      <w:r>
        <w:rPr>
          <w:b/>
          <w:bCs/>
        </w:rPr>
        <w:t xml:space="preserve">Reclassify abnormal balances on the statements.  </w:t>
      </w:r>
      <w:r>
        <w:t xml:space="preserve">On the balance sheet, move net-credit receivables to liabilities and net-debit payables to assets, so financial position is stated correctly even when accounts carry abnormal balances.</w:t>
      </w:r>
    </w:p>
    <w:p>
      <w:pPr>
        <w:pStyle w:val="ListParagraph"/>
        <w:numPr>
          <w:ilvl w:val="0"/>
          <w:numId w:val="3"/>
        </w:numPr>
        <w:spacing w:after="80"/>
      </w:pPr>
      <w:r>
        <w:rPr>
          <w:b/>
          <w:bCs/>
        </w:rPr>
        <w:t xml:space="preserve">Rebuild the cash flow statement.  </w:t>
      </w:r>
      <w:r>
        <w:t xml:space="preserve">Treat cash as the reconciling figure: opening cash + operating + investing + financing = closing cash, with net cash change tying to the movement in bank/cash balances. Remove the cash account from the activity sections.</w:t>
      </w:r>
    </w:p>
    <w:p>
      <w:pPr>
        <w:pStyle w:val="ListParagraph"/>
        <w:numPr>
          <w:ilvl w:val="0"/>
          <w:numId w:val="3"/>
        </w:numPr>
        <w:spacing w:after="80"/>
      </w:pPr>
      <w:r>
        <w:rPr>
          <w:b/>
          <w:bCs/>
        </w:rPr>
        <w:t xml:space="preserve">Enforce period controls.  </w:t>
      </w:r>
      <w:r>
        <w:t xml:space="preserve">Prevent posting into future or locked periods by default; require an explicit, logged override. Encourage locking each period at close.</w:t>
      </w:r>
    </w:p>
    <w:p>
      <w:pPr>
        <w:pStyle w:val="ListParagraph"/>
        <w:numPr>
          <w:ilvl w:val="0"/>
          <w:numId w:val="3"/>
        </w:numPr>
        <w:spacing w:after="80"/>
      </w:pPr>
      <w:r>
        <w:rPr>
          <w:b/>
          <w:bCs/>
        </w:rPr>
        <w:t xml:space="preserve">Add validation alerts for abnormal balances.  </w:t>
      </w:r>
      <w:r>
        <w:t xml:space="preserve">Flag any account holding a balance opposite to its normal side (e.g., credit-balance AR) in the month-end checklist and anomaly scan.</w:t>
      </w:r>
    </w:p>
    <w:p>
      <w:pPr>
        <w:pStyle w:val="ListParagraph"/>
        <w:numPr>
          <w:ilvl w:val="0"/>
          <w:numId w:val="3"/>
        </w:numPr>
        <w:spacing w:after="80"/>
      </w:pPr>
      <w:r>
        <w:rPr>
          <w:b/>
          <w:bCs/>
        </w:rPr>
        <w:t xml:space="preserve">Surface Small Business Relief in the CT workpaper.  </w:t>
      </w:r>
      <w:r>
        <w:t xml:space="preserve">Detect the AED 3M revenue threshold and prompt the relief election where eligible.</w:t>
      </w:r>
    </w:p>
    <w:p>
      <w:pPr>
        <w:pStyle w:val="Heading1"/>
      </w:pPr>
      <w:r>
        <w:t xml:space="preserve">8.  Reviewer's closing note</w:t>
      </w:r>
    </w:p>
    <w:p>
      <w:pPr>
        <w:spacing w:after="140"/>
      </w:pPr>
      <w:r>
        <w:t xml:space="preserve">In four decades of reviewing accounting systems, the difference between a promising platform and a trustworthy one is rarely whether the debits equal the credits - it is whether the system protects the books when a user does something untidy, like voiding an invoice that has already been paid. Muhasib.ai gets the hard parts of UAE accounting right: the chart of accounts, the VAT mechanics, the corporate-tax framing and the breadth of reporting are genuinely strong, and the double-entry core is solid. The gaps are specific and fixable, concentrated in transaction-lifecycle controls and the construction of the balance sheet and cash flow statement.</w:t>
      </w:r>
    </w:p>
    <w:p>
      <w:pPr>
        <w:spacing w:after="140"/>
      </w:pPr>
      <w:r>
        <w:t xml:space="preserve">My verdict is </w:t>
      </w:r>
      <w:r>
        <w:rPr>
          <w:b/>
          <w:bCs/>
        </w:rPr>
        <w:t xml:space="preserve">conditionally reliable (B-)</w:t>
      </w:r>
      <w:r>
        <w:t xml:space="preserve">: a strong foundation that is not yet ready to keep a live client's books unsupervised until Findings 1-3 are remediated. Resolve the void-of-paid-invoice handling, the reclassification of abnormal balances, and the cash flow methodology, and this system moves comfortably into "trustworthy for production" territory.</w:t>
      </w:r>
    </w:p>
    <w:p>
      <w:pPr>
        <w:spacing w:after="140"/>
      </w:pPr>
      <w:r>
        <w:rPr>
          <w:i/>
          <w:iCs/>
          <w:color w:val="555555"/>
          <w:sz w:val="17"/>
          <w:szCs w:val="17"/>
        </w:rPr>
        <w:t xml:space="preserve">Prepared as an independent system review on a test tenant. Figures cited are illustrative of system behaviour and are not the books of a real client. This document is not an audit opinion and does not constitute regulated tax or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Confidential - prepared for management use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right" w:pos="9026"/>
      </w:tabs>
    </w:pPr>
    <w:r>
      <w:rPr>
        <w:color w:val="555555"/>
        <w:sz w:val="16"/>
        <w:szCs w:val="16"/>
      </w:rPr>
      <w:t xml:space="preserve">Independent Accounting Systems Review</w:t>
    </w:r>
    <w:r>
      <w:rPr>
        <w:color w:val="555555"/>
        <w:sz w:val="16"/>
        <w:szCs w:val="16"/>
      </w:rPr>
      <w:t xml:space="preserve">	Muhasib.ai / Netmara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7A6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Muhasib.ai / Netmara - Accounting System Review</dc:title>
  <dc:creator>Independent Financial Systems Review</dc:creator>
  <cp:lastModifiedBy>Un-named</cp:lastModifiedBy>
  <cp:revision>1</cp:revision>
  <dcterms:created xsi:type="dcterms:W3CDTF">2026-06-21T16:27:14.151Z</dcterms:created>
  <dcterms:modified xsi:type="dcterms:W3CDTF">2026-06-21T16:27:14.152Z</dcterms:modified>
</cp:coreProperties>
</file>

<file path=docProps/custom.xml><?xml version="1.0" encoding="utf-8"?>
<Properties xmlns="http://schemas.openxmlformats.org/officeDocument/2006/custom-properties" xmlns:vt="http://schemas.openxmlformats.org/officeDocument/2006/docPropsVTypes"/>
</file>