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r>
        <w:rPr>
          <w:b/>
          <w:bCs/>
          <w:color w:val="557D27"/>
          <w:sz w:val="56"/>
          <w:szCs w:val="56"/>
        </w:rPr>
        <w:t xml:space="preserve">NAJMA AL RAEDA</w:t>
      </w:r>
    </w:p>
    <w:p>
      <w:pPr>
        <w:spacing w:after="400"/>
      </w:pPr>
      <w:r>
        <w:rPr>
          <w:b/>
          <w:bCs/>
          <w:color w:val="6F9E3A"/>
          <w:sz w:val="22"/>
          <w:szCs w:val="22"/>
        </w:rPr>
        <w:t xml:space="preserve">ACCOUNTING SERVICES  ·  DUBAI</w:t>
      </w:r>
    </w:p>
    <w:p>
      <w:pPr>
        <w:pBdr>
          <w:top w:val="single" w:color="6F9E3A" w:sz="12" w:space="6"/>
        </w:pBdr>
        <w:spacing w:after="240"/>
      </w:pPr>
    </w:p>
    <w:p>
      <w:pPr>
        <w:spacing w:after="120"/>
      </w:pPr>
      <w:r>
        <w:rPr>
          <w:b/>
          <w:bCs/>
          <w:color w:val="14110F"/>
          <w:sz w:val="40"/>
          <w:szCs w:val="40"/>
        </w:rPr>
        <w:t xml:space="preserve">Website Competitive Benchmarking Report</w:t>
      </w:r>
    </w:p>
    <w:p>
      <w:pPr>
        <w:spacing w:after="360"/>
      </w:pPr>
      <w:r>
        <w:rPr>
          <w:color w:val="6F675F"/>
          <w:sz w:val="24"/>
          <w:szCs w:val="24"/>
        </w:rPr>
        <w:t xml:space="preserve">How the Najma Al Raeda website compares to 90 of the leading accounting firms across Dubai, London and New York</w:t>
      </w:r>
    </w:p>
    <w:p>
      <w:pPr>
        <w:spacing w:after="120" w:line="276"/>
      </w:pPr>
      <w:r>
        <w:rPr>
          <w:b/>
          <w:bCs/>
          <w:color w:val="14110F"/>
          <w:sz w:val="21"/>
          <w:szCs w:val="21"/>
        </w:rPr>
        <w:t xml:space="preserve">Focus areas: </w:t>
      </w:r>
      <w:r>
        <w:rPr>
          <w:color w:val="14110F"/>
          <w:sz w:val="21"/>
          <w:szCs w:val="21"/>
        </w:rPr>
        <w:t xml:space="preserve">Design &amp; UX  ·  Content &amp; Services  ·  Trust &amp; Credibility</w:t>
      </w:r>
    </w:p>
    <w:p>
      <w:pPr>
        <w:spacing w:after="60" w:line="276"/>
      </w:pPr>
      <w:r>
        <w:rPr>
          <w:b/>
          <w:bCs/>
          <w:color w:val="14110F"/>
          <w:sz w:val="21"/>
          <w:szCs w:val="21"/>
        </w:rPr>
        <w:t xml:space="preserve">Prepared: </w:t>
      </w:r>
      <w:r>
        <w:rPr>
          <w:color w:val="14110F"/>
          <w:sz w:val="21"/>
          <w:szCs w:val="21"/>
        </w:rPr>
        <w:t xml:space="preserve">June 2026</w:t>
      </w:r>
    </w:p>
    <w:p>
      <w:pPr>
        <w:spacing w:after="120" w:line="276"/>
      </w:pPr>
      <w:r>
        <w:rPr>
          <w:b/>
          <w:bCs/>
          <w:color w:val="14110F"/>
          <w:sz w:val="21"/>
          <w:szCs w:val="21"/>
        </w:rPr>
        <w:t xml:space="preserve">Competitive set: </w:t>
      </w:r>
      <w:r>
        <w:rPr>
          <w:color w:val="14110F"/>
          <w:sz w:val="21"/>
          <w:szCs w:val="21"/>
        </w:rPr>
        <w:t xml:space="preserve">30 firms in Dubai · 30 in London · 30 in New York</w:t>
      </w:r>
    </w:p>
    <w:p>
      <w:r>
        <w:br w:type="page"/>
      </w:r>
    </w:p>
    <w:p>
      <w:pPr>
        <w:pStyle w:val="Heading1"/>
      </w:pPr>
      <w:r>
        <w:t xml:space="preserve">Contents</w:t>
      </w:r>
    </w:p>
    <w:p>
      <w:pPr>
        <w:spacing w:after="90" w:line="276"/>
      </w:pPr>
      <w:r>
        <w:rPr>
          <w:color w:val="14110F"/>
          <w:sz w:val="22"/>
          <w:szCs w:val="22"/>
        </w:rPr>
        <w:t xml:space="preserve">1.  Executive summary</w:t>
      </w:r>
    </w:p>
    <w:p>
      <w:pPr>
        <w:spacing w:after="90" w:line="276"/>
      </w:pPr>
      <w:r>
        <w:rPr>
          <w:color w:val="14110F"/>
          <w:sz w:val="22"/>
          <w:szCs w:val="22"/>
        </w:rPr>
        <w:t xml:space="preserve">2.  Methodology &amp; competitive set</w:t>
      </w:r>
    </w:p>
    <w:p>
      <w:pPr>
        <w:spacing w:after="90" w:line="276"/>
      </w:pPr>
      <w:r>
        <w:rPr>
          <w:color w:val="14110F"/>
          <w:sz w:val="22"/>
          <w:szCs w:val="22"/>
        </w:rPr>
        <w:t xml:space="preserve">3.  Where Najma Al Raeda stands today</w:t>
      </w:r>
    </w:p>
    <w:p>
      <w:pPr>
        <w:spacing w:after="90" w:line="276"/>
      </w:pPr>
      <w:r>
        <w:rPr>
          <w:color w:val="14110F"/>
          <w:sz w:val="22"/>
          <w:szCs w:val="22"/>
        </w:rPr>
        <w:t xml:space="preserve">4.  Design &amp; UX — how the field compares</w:t>
      </w:r>
    </w:p>
    <w:p>
      <w:pPr>
        <w:spacing w:after="90" w:line="276"/>
      </w:pPr>
      <w:r>
        <w:rPr>
          <w:color w:val="14110F"/>
          <w:sz w:val="22"/>
          <w:szCs w:val="22"/>
        </w:rPr>
        <w:t xml:space="preserve">5.  Content &amp; Services — how the field compares</w:t>
      </w:r>
    </w:p>
    <w:p>
      <w:pPr>
        <w:spacing w:after="90" w:line="276"/>
      </w:pPr>
      <w:r>
        <w:rPr>
          <w:color w:val="14110F"/>
          <w:sz w:val="22"/>
          <w:szCs w:val="22"/>
        </w:rPr>
        <w:t xml:space="preserve">6.  Trust &amp; Credibility — how the field compares</w:t>
      </w:r>
    </w:p>
    <w:p>
      <w:pPr>
        <w:spacing w:after="90" w:line="276"/>
      </w:pPr>
      <w:r>
        <w:rPr>
          <w:color w:val="14110F"/>
          <w:sz w:val="22"/>
          <w:szCs w:val="22"/>
        </w:rPr>
        <w:t xml:space="preserve">7.  City-by-city best-in-class</w:t>
      </w:r>
    </w:p>
    <w:p>
      <w:pPr>
        <w:spacing w:after="90" w:line="276"/>
      </w:pPr>
      <w:r>
        <w:rPr>
          <w:color w:val="14110F"/>
          <w:sz w:val="22"/>
          <w:szCs w:val="22"/>
        </w:rPr>
        <w:t xml:space="preserve">8.  Prioritised recommendations</w:t>
      </w:r>
    </w:p>
    <w:p>
      <w:pPr>
        <w:spacing w:after="90" w:line="276"/>
      </w:pPr>
      <w:r>
        <w:rPr>
          <w:color w:val="14110F"/>
          <w:sz w:val="22"/>
          <w:szCs w:val="22"/>
        </w:rPr>
        <w:t xml:space="preserve">Appendix: the 90 benchmarked firms</w:t>
      </w:r>
    </w:p>
    <w:p>
      <w:r>
        <w:br w:type="page"/>
      </w:r>
    </w:p>
    <w:p>
      <w:pPr>
        <w:pStyle w:val="Heading1"/>
      </w:pPr>
      <w:r>
        <w:t xml:space="preserve">1. Executive summary</w:t>
      </w:r>
    </w:p>
    <w:p>
      <w:pPr>
        <w:spacing w:after="120" w:line="276"/>
      </w:pPr>
      <w:r>
        <w:rPr>
          <w:color w:val="14110F"/>
          <w:sz w:val="21"/>
          <w:szCs w:val="21"/>
        </w:rPr>
        <w:t xml:space="preserve">The Najma Al Raeda website already looks the part. On pure design and craft it sits comfortably above the average Dubai accounting-firm site and is genuinely competitive with the best boutique firms we reviewed in London and New York. Where it falls behind is not appearance but </w:t>
      </w:r>
      <w:r>
        <w:rPr>
          <w:b/>
          <w:bCs/>
          <w:color w:val="14110F"/>
          <w:sz w:val="21"/>
          <w:szCs w:val="21"/>
        </w:rPr>
        <w:t xml:space="preserve">substance</w:t>
      </w:r>
      <w:r>
        <w:rPr>
          <w:color w:val="14110F"/>
          <w:sz w:val="21"/>
          <w:szCs w:val="21"/>
        </w:rPr>
        <w:t xml:space="preserve"> — the depth of content and the weight of trust evidence that the leading firms use to convert visitors into clients.</w:t>
      </w:r>
    </w:p>
    <w:p>
      <w:pPr>
        <w:spacing w:after="120" w:line="276"/>
      </w:pPr>
      <w:r>
        <w:rPr>
          <w:color w:val="14110F"/>
          <w:sz w:val="21"/>
          <w:szCs w:val="21"/>
        </w:rPr>
        <w:t xml:space="preserve">Across the 90 firms benchmarked, the strongest sites win on three things a new site cannot fake overnight: a living </w:t>
      </w:r>
      <w:r>
        <w:rPr>
          <w:b/>
          <w:bCs/>
          <w:color w:val="14110F"/>
          <w:sz w:val="21"/>
          <w:szCs w:val="21"/>
        </w:rPr>
        <w:t xml:space="preserve">insights / thought-leadership engine</w:t>
      </w:r>
      <w:r>
        <w:rPr>
          <w:color w:val="14110F"/>
          <w:sz w:val="21"/>
          <w:szCs w:val="21"/>
        </w:rPr>
        <w:t xml:space="preserve">, concrete </w:t>
      </w:r>
      <w:r>
        <w:rPr>
          <w:b/>
          <w:bCs/>
          <w:color w:val="14110F"/>
          <w:sz w:val="21"/>
          <w:szCs w:val="21"/>
        </w:rPr>
        <w:t xml:space="preserve">trust proof</w:t>
      </w:r>
      <w:r>
        <w:rPr>
          <w:color w:val="14110F"/>
          <w:sz w:val="21"/>
          <w:szCs w:val="21"/>
        </w:rPr>
        <w:t xml:space="preserve"> (named-client testimonials, logo walls, real review counts, certifications and awards), and </w:t>
      </w:r>
      <w:r>
        <w:rPr>
          <w:b/>
          <w:bCs/>
          <w:color w:val="14110F"/>
          <w:sz w:val="21"/>
          <w:szCs w:val="21"/>
        </w:rPr>
        <w:t xml:space="preserve">depth</w:t>
      </w:r>
      <w:r>
        <w:rPr>
          <w:color w:val="14110F"/>
          <w:sz w:val="21"/>
          <w:szCs w:val="21"/>
        </w:rPr>
        <w:t xml:space="preserve"> (a service page for every service and a landing page for every industry). Najma Al Raeda currently has none of these in finished form, and several pieces of the site still carry placeholder content (sample phone number, e-mail, statistics and testimonials).</w:t>
      </w:r>
    </w:p>
    <w:p>
      <w:pPr>
        <w:spacing w:after="120" w:line="276"/>
      </w:pPr>
      <w:r>
        <w:rPr>
          <w:color w:val="14110F"/>
          <w:sz w:val="21"/>
          <w:szCs w:val="21"/>
        </w:rPr>
        <w:t xml:space="preserve">The encouraging news: the hardest and most expensive part — a modern, distinctive, well-built design — is already done and to a high standard. The gap to “global best-in-class” is almost entirely closable through content and credibility work rather than a redesign.</w:t>
      </w:r>
    </w:p>
    <w:p>
      <w:pPr>
        <w:pStyle w:val="Heading2"/>
      </w:pPr>
      <w:r>
        <w:t xml:space="preserve">Overall scorecard (1–10)</w:t>
      </w:r>
    </w:p>
    <w:p>
      <w:pPr>
        <w:spacing w:after="100" w:line="276"/>
      </w:pPr>
      <w:r>
        <w:rPr>
          <w:i/>
          <w:iCs/>
          <w:color w:val="6F675F"/>
          <w:sz w:val="18"/>
          <w:szCs w:val="18"/>
        </w:rPr>
        <w:t xml:space="preserve">Scores are relative to the benchmarked competitive set. “Dubai baseline” is the typical mid-tier/boutique Dubai site; “Best boutique” is the strongest small-firm sites (e.g. Alpha Pro, Buzzacott, Gerald Edelman, Grassi); “Global big-firm” is Big-4 / large mid-tier.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60"/>
        <w:gridCol w:w="1700"/>
        <w:gridCol w:w="1600"/>
        <w:gridCol w:w="1600"/>
        <w:gridCol w:w="1600"/>
      </w:tblGrid>
      <w:tr>
        <w:trPr>
          <w:tblHeader/>
        </w:trPr>
        <w:tc>
          <w:tcPr>
            <w:tcW w:type="dxa" w:w="2860"/>
            <w:tcBorders>
              <w:top w:val="single" w:color="D9D9D9" w:sz="1"/>
              <w:left w:val="single" w:color="D9D9D9" w:sz="1"/>
              <w:bottom w:val="single" w:color="D9D9D9" w:sz="1"/>
              <w:right w:val="single" w:color="D9D9D9" w:sz="1"/>
            </w:tcBorders>
            <w:shd w:fill="557D27" w:val="clear"/>
            <w:tcMar>
              <w:top w:type="dxa" w:w="70"/>
              <w:left w:type="dxa" w:w="110"/>
              <w:bottom w:type="dxa" w:w="70"/>
              <w:right w:type="dxa" w:w="110"/>
            </w:tcMar>
          </w:tcPr>
          <w:p>
            <w:pPr>
              <w:spacing w:after="0" w:line="264"/>
              <w:jc w:val="left"/>
            </w:pPr>
            <w:r>
              <w:rPr>
                <w:b/>
                <w:bCs/>
                <w:color w:val="FFFFFF"/>
                <w:sz w:val="19"/>
                <w:szCs w:val="19"/>
              </w:rPr>
              <w:t xml:space="preserve">Dimension</w:t>
            </w:r>
          </w:p>
        </w:tc>
        <w:tc>
          <w:tcPr>
            <w:tcW w:type="dxa" w:w="1700"/>
            <w:tcBorders>
              <w:top w:val="single" w:color="D9D9D9" w:sz="1"/>
              <w:left w:val="single" w:color="D9D9D9" w:sz="1"/>
              <w:bottom w:val="single" w:color="D9D9D9" w:sz="1"/>
              <w:right w:val="single" w:color="D9D9D9" w:sz="1"/>
            </w:tcBorders>
            <w:shd w:fill="557D27" w:val="clear"/>
            <w:tcMar>
              <w:top w:type="dxa" w:w="70"/>
              <w:left w:type="dxa" w:w="110"/>
              <w:bottom w:type="dxa" w:w="70"/>
              <w:right w:type="dxa" w:w="110"/>
            </w:tcMar>
          </w:tcPr>
          <w:p>
            <w:pPr>
              <w:spacing w:after="0" w:line="264"/>
              <w:jc w:val="left"/>
            </w:pPr>
            <w:r>
              <w:rPr>
                <w:b/>
                <w:bCs/>
                <w:color w:val="FFFFFF"/>
                <w:sz w:val="19"/>
                <w:szCs w:val="19"/>
              </w:rPr>
              <w:t xml:space="preserve">Najma now</w:t>
            </w:r>
          </w:p>
        </w:tc>
        <w:tc>
          <w:tcPr>
            <w:tcW w:type="dxa" w:w="1600"/>
            <w:tcBorders>
              <w:top w:val="single" w:color="D9D9D9" w:sz="1"/>
              <w:left w:val="single" w:color="D9D9D9" w:sz="1"/>
              <w:bottom w:val="single" w:color="D9D9D9" w:sz="1"/>
              <w:right w:val="single" w:color="D9D9D9" w:sz="1"/>
            </w:tcBorders>
            <w:shd w:fill="557D27" w:val="clear"/>
            <w:tcMar>
              <w:top w:type="dxa" w:w="70"/>
              <w:left w:type="dxa" w:w="110"/>
              <w:bottom w:type="dxa" w:w="70"/>
              <w:right w:type="dxa" w:w="110"/>
            </w:tcMar>
          </w:tcPr>
          <w:p>
            <w:pPr>
              <w:spacing w:after="0" w:line="264"/>
              <w:jc w:val="left"/>
            </w:pPr>
            <w:r>
              <w:rPr>
                <w:b/>
                <w:bCs/>
                <w:color w:val="FFFFFF"/>
                <w:sz w:val="19"/>
                <w:szCs w:val="19"/>
              </w:rPr>
              <w:t xml:space="preserve">Dubai baseline</w:t>
            </w:r>
          </w:p>
        </w:tc>
        <w:tc>
          <w:tcPr>
            <w:tcW w:type="dxa" w:w="1600"/>
            <w:tcBorders>
              <w:top w:val="single" w:color="D9D9D9" w:sz="1"/>
              <w:left w:val="single" w:color="D9D9D9" w:sz="1"/>
              <w:bottom w:val="single" w:color="D9D9D9" w:sz="1"/>
              <w:right w:val="single" w:color="D9D9D9" w:sz="1"/>
            </w:tcBorders>
            <w:shd w:fill="557D27" w:val="clear"/>
            <w:tcMar>
              <w:top w:type="dxa" w:w="70"/>
              <w:left w:type="dxa" w:w="110"/>
              <w:bottom w:type="dxa" w:w="70"/>
              <w:right w:type="dxa" w:w="110"/>
            </w:tcMar>
          </w:tcPr>
          <w:p>
            <w:pPr>
              <w:spacing w:after="0" w:line="264"/>
              <w:jc w:val="left"/>
            </w:pPr>
            <w:r>
              <w:rPr>
                <w:b/>
                <w:bCs/>
                <w:color w:val="FFFFFF"/>
                <w:sz w:val="19"/>
                <w:szCs w:val="19"/>
              </w:rPr>
              <w:t xml:space="preserve">Best boutique</w:t>
            </w:r>
          </w:p>
        </w:tc>
        <w:tc>
          <w:tcPr>
            <w:tcW w:type="dxa" w:w="1600"/>
            <w:tcBorders>
              <w:top w:val="single" w:color="D9D9D9" w:sz="1"/>
              <w:left w:val="single" w:color="D9D9D9" w:sz="1"/>
              <w:bottom w:val="single" w:color="D9D9D9" w:sz="1"/>
              <w:right w:val="single" w:color="D9D9D9" w:sz="1"/>
            </w:tcBorders>
            <w:shd w:fill="557D27" w:val="clear"/>
            <w:tcMar>
              <w:top w:type="dxa" w:w="70"/>
              <w:left w:type="dxa" w:w="110"/>
              <w:bottom w:type="dxa" w:w="70"/>
              <w:right w:type="dxa" w:w="110"/>
            </w:tcMar>
          </w:tcPr>
          <w:p>
            <w:pPr>
              <w:spacing w:after="0" w:line="264"/>
              <w:jc w:val="left"/>
            </w:pPr>
            <w:r>
              <w:rPr>
                <w:b/>
                <w:bCs/>
                <w:color w:val="FFFFFF"/>
                <w:sz w:val="19"/>
                <w:szCs w:val="19"/>
              </w:rPr>
              <w:t xml:space="preserve">Global big-firm</w:t>
            </w:r>
          </w:p>
        </w:tc>
      </w:tr>
      <w:tr>
        <w:tc>
          <w:tcPr>
            <w:tcW w:type="dxa" w:w="2860"/>
            <w:tcBorders>
              <w:top w:val="single" w:color="D9D9D9" w:sz="1"/>
              <w:left w:val="single" w:color="D9D9D9" w:sz="1"/>
              <w:bottom w:val="single" w:color="D9D9D9" w:sz="1"/>
              <w:right w:val="single" w:color="D9D9D9" w:sz="1"/>
            </w:tcBorders>
            <w:tcMar>
              <w:top w:type="dxa" w:w="70"/>
              <w:left w:type="dxa" w:w="110"/>
              <w:bottom w:type="dxa" w:w="70"/>
              <w:right w:type="dxa" w:w="110"/>
            </w:tcMar>
          </w:tcPr>
          <w:p>
            <w:pPr>
              <w:spacing w:after="0" w:line="264"/>
              <w:jc w:val="left"/>
            </w:pPr>
            <w:r>
              <w:rPr>
                <w:b/>
                <w:bCs/>
                <w:color w:val="14110F"/>
                <w:sz w:val="19"/>
                <w:szCs w:val="19"/>
              </w:rPr>
              <w:t xml:space="preserve">Design &amp; UX</w:t>
            </w:r>
          </w:p>
        </w:tc>
        <w:tc>
          <w:tcPr>
            <w:tcW w:type="dxa" w:w="1700"/>
            <w:tcBorders>
              <w:top w:val="single" w:color="D9D9D9" w:sz="1"/>
              <w:left w:val="single" w:color="D9D9D9" w:sz="1"/>
              <w:bottom w:val="single" w:color="D9D9D9" w:sz="1"/>
              <w:right w:val="single" w:color="D9D9D9" w:sz="1"/>
            </w:tcBorders>
            <w:tcMar>
              <w:top w:type="dxa" w:w="70"/>
              <w:left w:type="dxa" w:w="110"/>
              <w:bottom w:type="dxa" w:w="70"/>
              <w:right w:type="dxa" w:w="110"/>
            </w:tcMar>
          </w:tcPr>
          <w:p>
            <w:pPr>
              <w:spacing w:after="0" w:line="264"/>
              <w:jc w:val="center"/>
            </w:pPr>
            <w:r>
              <w:rPr>
                <w:b w:val="false"/>
                <w:bCs w:val="false"/>
                <w:color w:val="14110F"/>
                <w:sz w:val="19"/>
                <w:szCs w:val="19"/>
              </w:rPr>
              <w:t xml:space="preserve">8.0</w:t>
            </w:r>
          </w:p>
        </w:tc>
        <w:tc>
          <w:tcPr>
            <w:tcW w:type="dxa" w:w="1600"/>
            <w:tcBorders>
              <w:top w:val="single" w:color="D9D9D9" w:sz="1"/>
              <w:left w:val="single" w:color="D9D9D9" w:sz="1"/>
              <w:bottom w:val="single" w:color="D9D9D9" w:sz="1"/>
              <w:right w:val="single" w:color="D9D9D9" w:sz="1"/>
            </w:tcBorders>
            <w:tcMar>
              <w:top w:type="dxa" w:w="70"/>
              <w:left w:type="dxa" w:w="110"/>
              <w:bottom w:type="dxa" w:w="70"/>
              <w:right w:type="dxa" w:w="110"/>
            </w:tcMar>
          </w:tcPr>
          <w:p>
            <w:pPr>
              <w:spacing w:after="0" w:line="264"/>
              <w:jc w:val="center"/>
            </w:pPr>
            <w:r>
              <w:rPr>
                <w:b w:val="false"/>
                <w:bCs w:val="false"/>
                <w:color w:val="14110F"/>
                <w:sz w:val="19"/>
                <w:szCs w:val="19"/>
              </w:rPr>
              <w:t xml:space="preserve">5.0</w:t>
            </w:r>
          </w:p>
        </w:tc>
        <w:tc>
          <w:tcPr>
            <w:tcW w:type="dxa" w:w="1600"/>
            <w:tcBorders>
              <w:top w:val="single" w:color="D9D9D9" w:sz="1"/>
              <w:left w:val="single" w:color="D9D9D9" w:sz="1"/>
              <w:bottom w:val="single" w:color="D9D9D9" w:sz="1"/>
              <w:right w:val="single" w:color="D9D9D9" w:sz="1"/>
            </w:tcBorders>
            <w:tcMar>
              <w:top w:type="dxa" w:w="70"/>
              <w:left w:type="dxa" w:w="110"/>
              <w:bottom w:type="dxa" w:w="70"/>
              <w:right w:type="dxa" w:w="110"/>
            </w:tcMar>
          </w:tcPr>
          <w:p>
            <w:pPr>
              <w:spacing w:after="0" w:line="264"/>
              <w:jc w:val="center"/>
            </w:pPr>
            <w:r>
              <w:rPr>
                <w:b w:val="false"/>
                <w:bCs w:val="false"/>
                <w:color w:val="14110F"/>
                <w:sz w:val="19"/>
                <w:szCs w:val="19"/>
              </w:rPr>
              <w:t xml:space="preserve">9.0</w:t>
            </w:r>
          </w:p>
        </w:tc>
        <w:tc>
          <w:tcPr>
            <w:tcW w:type="dxa" w:w="1600"/>
            <w:tcBorders>
              <w:top w:val="single" w:color="D9D9D9" w:sz="1"/>
              <w:left w:val="single" w:color="D9D9D9" w:sz="1"/>
              <w:bottom w:val="single" w:color="D9D9D9" w:sz="1"/>
              <w:right w:val="single" w:color="D9D9D9" w:sz="1"/>
            </w:tcBorders>
            <w:tcMar>
              <w:top w:type="dxa" w:w="70"/>
              <w:left w:type="dxa" w:w="110"/>
              <w:bottom w:type="dxa" w:w="70"/>
              <w:right w:type="dxa" w:w="110"/>
            </w:tcMar>
          </w:tcPr>
          <w:p>
            <w:pPr>
              <w:spacing w:after="0" w:line="264"/>
              <w:jc w:val="center"/>
            </w:pPr>
            <w:r>
              <w:rPr>
                <w:b w:val="false"/>
                <w:bCs w:val="false"/>
                <w:color w:val="14110F"/>
                <w:sz w:val="19"/>
                <w:szCs w:val="19"/>
              </w:rPr>
              <w:t xml:space="preserve">9.0</w:t>
            </w:r>
          </w:p>
        </w:tc>
      </w:tr>
      <w:tr>
        <w:tc>
          <w:tcPr>
            <w:tcW w:type="dxa" w:w="2860"/>
            <w:tcBorders>
              <w:top w:val="single" w:color="D9D9D9" w:sz="1"/>
              <w:left w:val="single" w:color="D9D9D9" w:sz="1"/>
              <w:bottom w:val="single" w:color="D9D9D9" w:sz="1"/>
              <w:right w:val="single" w:color="D9D9D9" w:sz="1"/>
            </w:tcBorders>
            <w:shd w:fill="F5F7F1" w:val="clear"/>
            <w:tcMar>
              <w:top w:type="dxa" w:w="70"/>
              <w:left w:type="dxa" w:w="110"/>
              <w:bottom w:type="dxa" w:w="70"/>
              <w:right w:type="dxa" w:w="110"/>
            </w:tcMar>
          </w:tcPr>
          <w:p>
            <w:pPr>
              <w:spacing w:after="0" w:line="264"/>
              <w:jc w:val="left"/>
            </w:pPr>
            <w:r>
              <w:rPr>
                <w:b/>
                <w:bCs/>
                <w:color w:val="14110F"/>
                <w:sz w:val="19"/>
                <w:szCs w:val="19"/>
              </w:rPr>
              <w:t xml:space="preserve">Content &amp; Services</w:t>
            </w:r>
          </w:p>
        </w:tc>
        <w:tc>
          <w:tcPr>
            <w:tcW w:type="dxa" w:w="1700"/>
            <w:tcBorders>
              <w:top w:val="single" w:color="D9D9D9" w:sz="1"/>
              <w:left w:val="single" w:color="D9D9D9" w:sz="1"/>
              <w:bottom w:val="single" w:color="D9D9D9" w:sz="1"/>
              <w:right w:val="single" w:color="D9D9D9" w:sz="1"/>
            </w:tcBorders>
            <w:shd w:fill="F5F7F1" w:val="clear"/>
            <w:tcMar>
              <w:top w:type="dxa" w:w="70"/>
              <w:left w:type="dxa" w:w="110"/>
              <w:bottom w:type="dxa" w:w="70"/>
              <w:right w:type="dxa" w:w="110"/>
            </w:tcMar>
          </w:tcPr>
          <w:p>
            <w:pPr>
              <w:spacing w:after="0" w:line="264"/>
              <w:jc w:val="center"/>
            </w:pPr>
            <w:r>
              <w:rPr>
                <w:b w:val="false"/>
                <w:bCs w:val="false"/>
                <w:color w:val="14110F"/>
                <w:sz w:val="19"/>
                <w:szCs w:val="19"/>
              </w:rPr>
              <w:t xml:space="preserve">4.0</w:t>
            </w:r>
          </w:p>
        </w:tc>
        <w:tc>
          <w:tcPr>
            <w:tcW w:type="dxa" w:w="1600"/>
            <w:tcBorders>
              <w:top w:val="single" w:color="D9D9D9" w:sz="1"/>
              <w:left w:val="single" w:color="D9D9D9" w:sz="1"/>
              <w:bottom w:val="single" w:color="D9D9D9" w:sz="1"/>
              <w:right w:val="single" w:color="D9D9D9" w:sz="1"/>
            </w:tcBorders>
            <w:shd w:fill="F5F7F1" w:val="clear"/>
            <w:tcMar>
              <w:top w:type="dxa" w:w="70"/>
              <w:left w:type="dxa" w:w="110"/>
              <w:bottom w:type="dxa" w:w="70"/>
              <w:right w:type="dxa" w:w="110"/>
            </w:tcMar>
          </w:tcPr>
          <w:p>
            <w:pPr>
              <w:spacing w:after="0" w:line="264"/>
              <w:jc w:val="center"/>
            </w:pPr>
            <w:r>
              <w:rPr>
                <w:b w:val="false"/>
                <w:bCs w:val="false"/>
                <w:color w:val="14110F"/>
                <w:sz w:val="19"/>
                <w:szCs w:val="19"/>
              </w:rPr>
              <w:t xml:space="preserve">5.5</w:t>
            </w:r>
          </w:p>
        </w:tc>
        <w:tc>
          <w:tcPr>
            <w:tcW w:type="dxa" w:w="1600"/>
            <w:tcBorders>
              <w:top w:val="single" w:color="D9D9D9" w:sz="1"/>
              <w:left w:val="single" w:color="D9D9D9" w:sz="1"/>
              <w:bottom w:val="single" w:color="D9D9D9" w:sz="1"/>
              <w:right w:val="single" w:color="D9D9D9" w:sz="1"/>
            </w:tcBorders>
            <w:shd w:fill="F5F7F1" w:val="clear"/>
            <w:tcMar>
              <w:top w:type="dxa" w:w="70"/>
              <w:left w:type="dxa" w:w="110"/>
              <w:bottom w:type="dxa" w:w="70"/>
              <w:right w:type="dxa" w:w="110"/>
            </w:tcMar>
          </w:tcPr>
          <w:p>
            <w:pPr>
              <w:spacing w:after="0" w:line="264"/>
              <w:jc w:val="center"/>
            </w:pPr>
            <w:r>
              <w:rPr>
                <w:b w:val="false"/>
                <w:bCs w:val="false"/>
                <w:color w:val="14110F"/>
                <w:sz w:val="19"/>
                <w:szCs w:val="19"/>
              </w:rPr>
              <w:t xml:space="preserve">8.0</w:t>
            </w:r>
          </w:p>
        </w:tc>
        <w:tc>
          <w:tcPr>
            <w:tcW w:type="dxa" w:w="1600"/>
            <w:tcBorders>
              <w:top w:val="single" w:color="D9D9D9" w:sz="1"/>
              <w:left w:val="single" w:color="D9D9D9" w:sz="1"/>
              <w:bottom w:val="single" w:color="D9D9D9" w:sz="1"/>
              <w:right w:val="single" w:color="D9D9D9" w:sz="1"/>
            </w:tcBorders>
            <w:shd w:fill="F5F7F1" w:val="clear"/>
            <w:tcMar>
              <w:top w:type="dxa" w:w="70"/>
              <w:left w:type="dxa" w:w="110"/>
              <w:bottom w:type="dxa" w:w="70"/>
              <w:right w:type="dxa" w:w="110"/>
            </w:tcMar>
          </w:tcPr>
          <w:p>
            <w:pPr>
              <w:spacing w:after="0" w:line="264"/>
              <w:jc w:val="center"/>
            </w:pPr>
            <w:r>
              <w:rPr>
                <w:b w:val="false"/>
                <w:bCs w:val="false"/>
                <w:color w:val="14110F"/>
                <w:sz w:val="19"/>
                <w:szCs w:val="19"/>
              </w:rPr>
              <w:t xml:space="preserve">10.0</w:t>
            </w:r>
          </w:p>
        </w:tc>
      </w:tr>
      <w:tr>
        <w:tc>
          <w:tcPr>
            <w:tcW w:type="dxa" w:w="2860"/>
            <w:tcBorders>
              <w:top w:val="single" w:color="D9D9D9" w:sz="1"/>
              <w:left w:val="single" w:color="D9D9D9" w:sz="1"/>
              <w:bottom w:val="single" w:color="D9D9D9" w:sz="1"/>
              <w:right w:val="single" w:color="D9D9D9" w:sz="1"/>
            </w:tcBorders>
            <w:tcMar>
              <w:top w:type="dxa" w:w="70"/>
              <w:left w:type="dxa" w:w="110"/>
              <w:bottom w:type="dxa" w:w="70"/>
              <w:right w:type="dxa" w:w="110"/>
            </w:tcMar>
          </w:tcPr>
          <w:p>
            <w:pPr>
              <w:spacing w:after="0" w:line="264"/>
              <w:jc w:val="left"/>
            </w:pPr>
            <w:r>
              <w:rPr>
                <w:b/>
                <w:bCs/>
                <w:color w:val="14110F"/>
                <w:sz w:val="19"/>
                <w:szCs w:val="19"/>
              </w:rPr>
              <w:t xml:space="preserve">Trust &amp; Credibility</w:t>
            </w:r>
          </w:p>
        </w:tc>
        <w:tc>
          <w:tcPr>
            <w:tcW w:type="dxa" w:w="1700"/>
            <w:tcBorders>
              <w:top w:val="single" w:color="D9D9D9" w:sz="1"/>
              <w:left w:val="single" w:color="D9D9D9" w:sz="1"/>
              <w:bottom w:val="single" w:color="D9D9D9" w:sz="1"/>
              <w:right w:val="single" w:color="D9D9D9" w:sz="1"/>
            </w:tcBorders>
            <w:tcMar>
              <w:top w:type="dxa" w:w="70"/>
              <w:left w:type="dxa" w:w="110"/>
              <w:bottom w:type="dxa" w:w="70"/>
              <w:right w:type="dxa" w:w="110"/>
            </w:tcMar>
          </w:tcPr>
          <w:p>
            <w:pPr>
              <w:spacing w:after="0" w:line="264"/>
              <w:jc w:val="center"/>
            </w:pPr>
            <w:r>
              <w:rPr>
                <w:b w:val="false"/>
                <w:bCs w:val="false"/>
                <w:color w:val="14110F"/>
                <w:sz w:val="19"/>
                <w:szCs w:val="19"/>
              </w:rPr>
              <w:t xml:space="preserve">3.5</w:t>
            </w:r>
          </w:p>
        </w:tc>
        <w:tc>
          <w:tcPr>
            <w:tcW w:type="dxa" w:w="1600"/>
            <w:tcBorders>
              <w:top w:val="single" w:color="D9D9D9" w:sz="1"/>
              <w:left w:val="single" w:color="D9D9D9" w:sz="1"/>
              <w:bottom w:val="single" w:color="D9D9D9" w:sz="1"/>
              <w:right w:val="single" w:color="D9D9D9" w:sz="1"/>
            </w:tcBorders>
            <w:tcMar>
              <w:top w:type="dxa" w:w="70"/>
              <w:left w:type="dxa" w:w="110"/>
              <w:bottom w:type="dxa" w:w="70"/>
              <w:right w:type="dxa" w:w="110"/>
            </w:tcMar>
          </w:tcPr>
          <w:p>
            <w:pPr>
              <w:spacing w:after="0" w:line="264"/>
              <w:jc w:val="center"/>
            </w:pPr>
            <w:r>
              <w:rPr>
                <w:b w:val="false"/>
                <w:bCs w:val="false"/>
                <w:color w:val="14110F"/>
                <w:sz w:val="19"/>
                <w:szCs w:val="19"/>
              </w:rPr>
              <w:t xml:space="preserve">5.5</w:t>
            </w:r>
          </w:p>
        </w:tc>
        <w:tc>
          <w:tcPr>
            <w:tcW w:type="dxa" w:w="1600"/>
            <w:tcBorders>
              <w:top w:val="single" w:color="D9D9D9" w:sz="1"/>
              <w:left w:val="single" w:color="D9D9D9" w:sz="1"/>
              <w:bottom w:val="single" w:color="D9D9D9" w:sz="1"/>
              <w:right w:val="single" w:color="D9D9D9" w:sz="1"/>
            </w:tcBorders>
            <w:tcMar>
              <w:top w:type="dxa" w:w="70"/>
              <w:left w:type="dxa" w:w="110"/>
              <w:bottom w:type="dxa" w:w="70"/>
              <w:right w:type="dxa" w:w="110"/>
            </w:tcMar>
          </w:tcPr>
          <w:p>
            <w:pPr>
              <w:spacing w:after="0" w:line="264"/>
              <w:jc w:val="center"/>
            </w:pPr>
            <w:r>
              <w:rPr>
                <w:b w:val="false"/>
                <w:bCs w:val="false"/>
                <w:color w:val="14110F"/>
                <w:sz w:val="19"/>
                <w:szCs w:val="19"/>
              </w:rPr>
              <w:t xml:space="preserve">8.0</w:t>
            </w:r>
          </w:p>
        </w:tc>
        <w:tc>
          <w:tcPr>
            <w:tcW w:type="dxa" w:w="1600"/>
            <w:tcBorders>
              <w:top w:val="single" w:color="D9D9D9" w:sz="1"/>
              <w:left w:val="single" w:color="D9D9D9" w:sz="1"/>
              <w:bottom w:val="single" w:color="D9D9D9" w:sz="1"/>
              <w:right w:val="single" w:color="D9D9D9" w:sz="1"/>
            </w:tcBorders>
            <w:tcMar>
              <w:top w:type="dxa" w:w="70"/>
              <w:left w:type="dxa" w:w="110"/>
              <w:bottom w:type="dxa" w:w="70"/>
              <w:right w:type="dxa" w:w="110"/>
            </w:tcMar>
          </w:tcPr>
          <w:p>
            <w:pPr>
              <w:spacing w:after="0" w:line="264"/>
              <w:jc w:val="center"/>
            </w:pPr>
            <w:r>
              <w:rPr>
                <w:b w:val="false"/>
                <w:bCs w:val="false"/>
                <w:color w:val="14110F"/>
                <w:sz w:val="19"/>
                <w:szCs w:val="19"/>
              </w:rPr>
              <w:t xml:space="preserve">10.0</w:t>
            </w:r>
          </w:p>
        </w:tc>
      </w:tr>
      <w:tr>
        <w:tc>
          <w:tcPr>
            <w:tcW w:type="dxa" w:w="2860"/>
            <w:tcBorders>
              <w:top w:val="single" w:color="D9D9D9" w:sz="1"/>
              <w:left w:val="single" w:color="D9D9D9" w:sz="1"/>
              <w:bottom w:val="single" w:color="D9D9D9" w:sz="1"/>
              <w:right w:val="single" w:color="D9D9D9" w:sz="1"/>
            </w:tcBorders>
            <w:shd w:fill="F5F7F1" w:val="clear"/>
            <w:tcMar>
              <w:top w:type="dxa" w:w="70"/>
              <w:left w:type="dxa" w:w="110"/>
              <w:bottom w:type="dxa" w:w="70"/>
              <w:right w:type="dxa" w:w="110"/>
            </w:tcMar>
          </w:tcPr>
          <w:p>
            <w:pPr>
              <w:spacing w:after="0" w:line="264"/>
              <w:jc w:val="left"/>
            </w:pPr>
            <w:r>
              <w:rPr>
                <w:b/>
                <w:bCs/>
                <w:color w:val="14110F"/>
                <w:sz w:val="19"/>
                <w:szCs w:val="19"/>
              </w:rPr>
              <w:t xml:space="preserve">Overall (weighted)</w:t>
            </w:r>
          </w:p>
        </w:tc>
        <w:tc>
          <w:tcPr>
            <w:tcW w:type="dxa" w:w="1700"/>
            <w:tcBorders>
              <w:top w:val="single" w:color="D9D9D9" w:sz="1"/>
              <w:left w:val="single" w:color="D9D9D9" w:sz="1"/>
              <w:bottom w:val="single" w:color="D9D9D9" w:sz="1"/>
              <w:right w:val="single" w:color="D9D9D9" w:sz="1"/>
            </w:tcBorders>
            <w:shd w:fill="F5F7F1" w:val="clear"/>
            <w:tcMar>
              <w:top w:type="dxa" w:w="70"/>
              <w:left w:type="dxa" w:w="110"/>
              <w:bottom w:type="dxa" w:w="70"/>
              <w:right w:type="dxa" w:w="110"/>
            </w:tcMar>
          </w:tcPr>
          <w:p>
            <w:pPr>
              <w:spacing w:after="0" w:line="264"/>
              <w:jc w:val="center"/>
            </w:pPr>
            <w:r>
              <w:rPr>
                <w:b w:val="false"/>
                <w:bCs w:val="false"/>
                <w:color w:val="14110F"/>
                <w:sz w:val="19"/>
                <w:szCs w:val="19"/>
              </w:rPr>
              <w:t xml:space="preserve">5.2</w:t>
            </w:r>
          </w:p>
        </w:tc>
        <w:tc>
          <w:tcPr>
            <w:tcW w:type="dxa" w:w="1600"/>
            <w:tcBorders>
              <w:top w:val="single" w:color="D9D9D9" w:sz="1"/>
              <w:left w:val="single" w:color="D9D9D9" w:sz="1"/>
              <w:bottom w:val="single" w:color="D9D9D9" w:sz="1"/>
              <w:right w:val="single" w:color="D9D9D9" w:sz="1"/>
            </w:tcBorders>
            <w:shd w:fill="F5F7F1" w:val="clear"/>
            <w:tcMar>
              <w:top w:type="dxa" w:w="70"/>
              <w:left w:type="dxa" w:w="110"/>
              <w:bottom w:type="dxa" w:w="70"/>
              <w:right w:type="dxa" w:w="110"/>
            </w:tcMar>
          </w:tcPr>
          <w:p>
            <w:pPr>
              <w:spacing w:after="0" w:line="264"/>
              <w:jc w:val="center"/>
            </w:pPr>
            <w:r>
              <w:rPr>
                <w:b w:val="false"/>
                <w:bCs w:val="false"/>
                <w:color w:val="14110F"/>
                <w:sz w:val="19"/>
                <w:szCs w:val="19"/>
              </w:rPr>
              <w:t xml:space="preserve">5.3</w:t>
            </w:r>
          </w:p>
        </w:tc>
        <w:tc>
          <w:tcPr>
            <w:tcW w:type="dxa" w:w="1600"/>
            <w:tcBorders>
              <w:top w:val="single" w:color="D9D9D9" w:sz="1"/>
              <w:left w:val="single" w:color="D9D9D9" w:sz="1"/>
              <w:bottom w:val="single" w:color="D9D9D9" w:sz="1"/>
              <w:right w:val="single" w:color="D9D9D9" w:sz="1"/>
            </w:tcBorders>
            <w:shd w:fill="F5F7F1" w:val="clear"/>
            <w:tcMar>
              <w:top w:type="dxa" w:w="70"/>
              <w:left w:type="dxa" w:w="110"/>
              <w:bottom w:type="dxa" w:w="70"/>
              <w:right w:type="dxa" w:w="110"/>
            </w:tcMar>
          </w:tcPr>
          <w:p>
            <w:pPr>
              <w:spacing w:after="0" w:line="264"/>
              <w:jc w:val="center"/>
            </w:pPr>
            <w:r>
              <w:rPr>
                <w:b w:val="false"/>
                <w:bCs w:val="false"/>
                <w:color w:val="14110F"/>
                <w:sz w:val="19"/>
                <w:szCs w:val="19"/>
              </w:rPr>
              <w:t xml:space="preserve">8.3</w:t>
            </w:r>
          </w:p>
        </w:tc>
        <w:tc>
          <w:tcPr>
            <w:tcW w:type="dxa" w:w="1600"/>
            <w:tcBorders>
              <w:top w:val="single" w:color="D9D9D9" w:sz="1"/>
              <w:left w:val="single" w:color="D9D9D9" w:sz="1"/>
              <w:bottom w:val="single" w:color="D9D9D9" w:sz="1"/>
              <w:right w:val="single" w:color="D9D9D9" w:sz="1"/>
            </w:tcBorders>
            <w:shd w:fill="F5F7F1" w:val="clear"/>
            <w:tcMar>
              <w:top w:type="dxa" w:w="70"/>
              <w:left w:type="dxa" w:w="110"/>
              <w:bottom w:type="dxa" w:w="70"/>
              <w:right w:type="dxa" w:w="110"/>
            </w:tcMar>
          </w:tcPr>
          <w:p>
            <w:pPr>
              <w:spacing w:after="0" w:line="264"/>
              <w:jc w:val="center"/>
            </w:pPr>
            <w:r>
              <w:rPr>
                <w:b w:val="false"/>
                <w:bCs w:val="false"/>
                <w:color w:val="14110F"/>
                <w:sz w:val="19"/>
                <w:szCs w:val="19"/>
              </w:rPr>
              <w:t xml:space="preserve">9.7</w:t>
            </w:r>
          </w:p>
        </w:tc>
      </w:tr>
    </w:tbl>
    <w:p>
      <w:pPr>
        <w:spacing w:after="120"/>
      </w:pPr>
    </w:p>
    <w:p>
      <w:pPr>
        <w:spacing w:after="120" w:line="276"/>
      </w:pPr>
      <w:r>
        <w:rPr>
          <w:b/>
          <w:bCs/>
          <w:color w:val="14110F"/>
          <w:sz w:val="21"/>
          <w:szCs w:val="21"/>
        </w:rPr>
        <w:t xml:space="preserve">Headline verdict: </w:t>
      </w:r>
      <w:r>
        <w:rPr>
          <w:b/>
          <w:bCs/>
          <w:color w:val="557D27"/>
          <w:sz w:val="21"/>
          <w:szCs w:val="21"/>
        </w:rPr>
        <w:t xml:space="preserve">a best-in-class shell with early-stage substance. </w:t>
      </w:r>
      <w:r>
        <w:rPr>
          <w:color w:val="14110F"/>
          <w:sz w:val="21"/>
          <w:szCs w:val="21"/>
        </w:rPr>
        <w:t xml:space="preserve">Najma Al Raeda looks more modern than most of its Dubai competitors but currently trails even the local baseline on content and trust because the site is newly built and still populated with placeholders. Fix the substance and the site moves from “good-looking newcomer” to a credible challenger that punches well above its size.</w:t>
      </w:r>
    </w:p>
    <w:p>
      <w:r>
        <w:br w:type="page"/>
      </w:r>
    </w:p>
    <w:p>
      <w:pPr>
        <w:pStyle w:val="Heading1"/>
      </w:pPr>
      <w:r>
        <w:t xml:space="preserve">2. Methodology &amp; competitive set</w:t>
      </w:r>
    </w:p>
    <w:p>
      <w:pPr>
        <w:spacing w:after="120" w:line="276"/>
      </w:pPr>
      <w:r>
        <w:rPr>
          <w:color w:val="14110F"/>
          <w:sz w:val="21"/>
          <w:szCs w:val="21"/>
        </w:rPr>
        <w:t xml:space="preserve">We assembled the ~30 leading accounting firms in each of three global hubs — Dubai (the home market), London and New York (global standard-setters) — spanning the Big 4, international networks, mid-tier firms and notable boutiques. We studied their public websites and the recognised industry rankings (Accountancy Age Top 50, Accounting Today Top 100, Crain’s New York, INSIDE Public Accounting, Vault), then inspected a representative sample of sites in depth.</w:t>
      </w:r>
    </w:p>
    <w:p>
      <w:pPr>
        <w:spacing w:after="80" w:line="276"/>
      </w:pPr>
      <w:r>
        <w:rPr>
          <w:color w:val="14110F"/>
          <w:sz w:val="21"/>
          <w:szCs w:val="21"/>
        </w:rPr>
        <w:t xml:space="preserve">Each site — and the Najma Al Raeda site — was assessed on the three dimensions you selected:</w:t>
      </w:r>
    </w:p>
    <w:p>
      <w:pPr>
        <w:pStyle w:val="ListParagraph"/>
        <w:numPr>
          <w:ilvl w:val="0"/>
          <w:numId w:val="2"/>
        </w:numPr>
        <w:spacing w:after="80" w:line="270"/>
      </w:pPr>
      <w:r>
        <w:rPr>
          <w:b/>
          <w:bCs/>
          <w:color w:val="14110F"/>
          <w:sz w:val="21"/>
          <w:szCs w:val="21"/>
        </w:rPr>
        <w:t xml:space="preserve">Design &amp; UX: </w:t>
      </w:r>
      <w:r>
        <w:rPr>
          <w:color w:val="14110F"/>
          <w:sz w:val="21"/>
          <w:szCs w:val="21"/>
        </w:rPr>
        <w:t xml:space="preserve">visual quality and polish, hero treatment, navigation, responsiveness, photography/motion, overall brand craft.</w:t>
      </w:r>
    </w:p>
    <w:p>
      <w:pPr>
        <w:pStyle w:val="ListParagraph"/>
        <w:numPr>
          <w:ilvl w:val="0"/>
          <w:numId w:val="2"/>
        </w:numPr>
        <w:spacing w:after="80" w:line="270"/>
      </w:pPr>
      <w:r>
        <w:rPr>
          <w:b/>
          <w:bCs/>
          <w:color w:val="14110F"/>
          <w:sz w:val="21"/>
          <w:szCs w:val="21"/>
        </w:rPr>
        <w:t xml:space="preserve">Content &amp; Services: </w:t>
      </w:r>
      <w:r>
        <w:rPr>
          <w:color w:val="14110F"/>
          <w:sz w:val="21"/>
          <w:szCs w:val="21"/>
        </w:rPr>
        <w:t xml:space="preserve">service architecture and depth, industry/sector pages, insights/thought-leadership, resources, tools, copy quality, calls-to-action.</w:t>
      </w:r>
    </w:p>
    <w:p>
      <w:pPr>
        <w:pStyle w:val="ListParagraph"/>
        <w:numPr>
          <w:ilvl w:val="0"/>
          <w:numId w:val="2"/>
        </w:numPr>
        <w:spacing w:after="80" w:line="270"/>
      </w:pPr>
      <w:r>
        <w:rPr>
          <w:b/>
          <w:bCs/>
          <w:color w:val="14110F"/>
          <w:sz w:val="21"/>
          <w:szCs w:val="21"/>
        </w:rPr>
        <w:t xml:space="preserve">Trust &amp; Credibility: </w:t>
      </w:r>
      <w:r>
        <w:rPr>
          <w:color w:val="14110F"/>
          <w:sz w:val="21"/>
          <w:szCs w:val="21"/>
        </w:rPr>
        <w:t xml:space="preserve">certifications and registrations, team bios, testimonials, client logos, case studies, review counts, awards, network affiliation, transparency.</w:t>
      </w:r>
    </w:p>
    <w:p>
      <w:pPr>
        <w:spacing w:after="120" w:line="276"/>
      </w:pPr>
      <w:r>
        <w:rPr>
          <w:b/>
          <w:bCs/>
          <w:color w:val="6F675F"/>
          <w:sz w:val="21"/>
          <w:szCs w:val="21"/>
        </w:rPr>
        <w:t xml:space="preserve">Note on scope: </w:t>
      </w:r>
      <w:r>
        <w:rPr>
          <w:color w:val="6F675F"/>
          <w:sz w:val="21"/>
          <w:szCs w:val="21"/>
        </w:rPr>
        <w:t xml:space="preserve">auditing 90 live sites individually in full depth is not feasible in a single pass. The approach was to identify the firms, study the patterns and standout examples among them, and score Najma Al Raeda against those benchmarks. The full firm list appears in the Appendix.</w:t>
      </w:r>
    </w:p>
    <w:p>
      <w:r>
        <w:br w:type="page"/>
      </w:r>
    </w:p>
    <w:p>
      <w:pPr>
        <w:pStyle w:val="Heading1"/>
      </w:pPr>
      <w:r>
        <w:t xml:space="preserve">3. Where Najma Al Raeda stands today</w:t>
      </w:r>
    </w:p>
    <w:p>
      <w:pPr>
        <w:pStyle w:val="Heading2"/>
      </w:pPr>
      <w:r>
        <w:t xml:space="preserve">Genuine strengths</w:t>
      </w:r>
    </w:p>
    <w:p>
      <w:pPr>
        <w:pStyle w:val="ListParagraph"/>
        <w:numPr>
          <w:ilvl w:val="0"/>
          <w:numId w:val="2"/>
        </w:numPr>
        <w:spacing w:after="80" w:line="270"/>
      </w:pPr>
      <w:r>
        <w:rPr>
          <w:b/>
          <w:bCs/>
          <w:color w:val="14110F"/>
          <w:sz w:val="21"/>
          <w:szCs w:val="21"/>
        </w:rPr>
        <w:t xml:space="preserve">Modern, distinctive design: </w:t>
      </w:r>
      <w:r>
        <w:rPr>
          <w:color w:val="14110F"/>
          <w:sz w:val="21"/>
          <w:szCs w:val="21"/>
        </w:rPr>
        <w:t xml:space="preserve">Premium-minimal layout, custom green brand palette built from the real logo, elegant serif/sans type pairing and generous whitespace. This already beats the dated WordPress/Elementor template look that defines most of the Dubai field.</w:t>
      </w:r>
    </w:p>
    <w:p>
      <w:pPr>
        <w:pStyle w:val="ListParagraph"/>
        <w:numPr>
          <w:ilvl w:val="0"/>
          <w:numId w:val="2"/>
        </w:numPr>
        <w:spacing w:after="80" w:line="270"/>
      </w:pPr>
      <w:r>
        <w:rPr>
          <w:b/>
          <w:bCs/>
          <w:color w:val="14110F"/>
          <w:sz w:val="21"/>
          <w:szCs w:val="21"/>
        </w:rPr>
        <w:t xml:space="preserve">Custom, on-brand imagery: </w:t>
      </w:r>
      <w:r>
        <w:rPr>
          <w:color w:val="14110F"/>
          <w:sz w:val="21"/>
          <w:szCs w:val="21"/>
        </w:rPr>
        <w:t xml:space="preserve">A bespoke hero image, an animated growth-arrow logo motion sequence, real-feeling team portraits and a subtle brand texture — not the stock photography that weakens the average competitor.</w:t>
      </w:r>
    </w:p>
    <w:p>
      <w:pPr>
        <w:pStyle w:val="ListParagraph"/>
        <w:numPr>
          <w:ilvl w:val="0"/>
          <w:numId w:val="2"/>
        </w:numPr>
        <w:spacing w:after="80" w:line="270"/>
      </w:pPr>
      <w:r>
        <w:rPr>
          <w:b/>
          <w:bCs/>
          <w:color w:val="14110F"/>
          <w:sz w:val="21"/>
          <w:szCs w:val="21"/>
        </w:rPr>
        <w:t xml:space="preserve">Clean, conventional structure: </w:t>
      </w:r>
      <w:r>
        <w:rPr>
          <w:color w:val="14110F"/>
          <w:sz w:val="21"/>
          <w:szCs w:val="21"/>
        </w:rPr>
        <w:t xml:space="preserve">Home, Services, Industries, About and Contact — the expected architecture, with an industries grid (a feature most Dubai boutiques skip entirely).</w:t>
      </w:r>
    </w:p>
    <w:p>
      <w:pPr>
        <w:pStyle w:val="ListParagraph"/>
        <w:numPr>
          <w:ilvl w:val="0"/>
          <w:numId w:val="2"/>
        </w:numPr>
        <w:spacing w:after="80" w:line="270"/>
      </w:pPr>
      <w:r>
        <w:rPr>
          <w:b/>
          <w:bCs/>
          <w:color w:val="14110F"/>
          <w:sz w:val="21"/>
          <w:szCs w:val="21"/>
        </w:rPr>
        <w:t xml:space="preserve">Motion &amp; interactivity: </w:t>
      </w:r>
      <w:r>
        <w:rPr>
          <w:color w:val="14110F"/>
          <w:sz w:val="21"/>
          <w:szCs w:val="21"/>
        </w:rPr>
        <w:t xml:space="preserve">Animated statistic counters, scroll-reveal sections and a video band give it the polish of a much larger firm.</w:t>
      </w:r>
    </w:p>
    <w:p>
      <w:pPr>
        <w:pStyle w:val="ListParagraph"/>
        <w:numPr>
          <w:ilvl w:val="0"/>
          <w:numId w:val="2"/>
        </w:numPr>
        <w:spacing w:after="80" w:line="270"/>
      </w:pPr>
      <w:r>
        <w:rPr>
          <w:b/>
          <w:bCs/>
          <w:color w:val="14110F"/>
          <w:sz w:val="21"/>
          <w:szCs w:val="21"/>
        </w:rPr>
        <w:t xml:space="preserve">Responsive &amp; fast: </w:t>
      </w:r>
      <w:r>
        <w:rPr>
          <w:color w:val="14110F"/>
          <w:sz w:val="21"/>
          <w:szCs w:val="21"/>
        </w:rPr>
        <w:t xml:space="preserve">Mobile navigation, lightweight hand-built code and no heavy page-builder bloat.</w:t>
      </w:r>
    </w:p>
    <w:p>
      <w:pPr>
        <w:pStyle w:val="Heading2"/>
      </w:pPr>
      <w:r>
        <w:t xml:space="preserve">The gaps that hold it back</w:t>
      </w:r>
    </w:p>
    <w:p>
      <w:pPr>
        <w:pStyle w:val="ListParagraph"/>
        <w:numPr>
          <w:ilvl w:val="0"/>
          <w:numId w:val="2"/>
        </w:numPr>
        <w:spacing w:after="80" w:line="270"/>
      </w:pPr>
      <w:r>
        <w:rPr>
          <w:b/>
          <w:bCs/>
          <w:color w:val="14110F"/>
          <w:sz w:val="21"/>
          <w:szCs w:val="21"/>
        </w:rPr>
        <w:t xml:space="preserve">Placeholder content: </w:t>
      </w:r>
      <w:r>
        <w:rPr>
          <w:color w:val="14110F"/>
          <w:sz w:val="21"/>
          <w:szCs w:val="21"/>
        </w:rPr>
        <w:t xml:space="preserve">Sample phone number, e-mail, address, statistics and two invented testimonials are still in place. Until these are real, the site cannot be trusted by a prospect — this is the single most urgent fix.</w:t>
      </w:r>
    </w:p>
    <w:p>
      <w:pPr>
        <w:pStyle w:val="ListParagraph"/>
        <w:numPr>
          <w:ilvl w:val="0"/>
          <w:numId w:val="2"/>
        </w:numPr>
        <w:spacing w:after="80" w:line="270"/>
      </w:pPr>
      <w:r>
        <w:rPr>
          <w:b/>
          <w:bCs/>
          <w:color w:val="14110F"/>
          <w:sz w:val="21"/>
          <w:szCs w:val="21"/>
        </w:rPr>
        <w:t xml:space="preserve">No insights / blog: </w:t>
      </w:r>
      <w:r>
        <w:rPr>
          <w:color w:val="14110F"/>
          <w:sz w:val="21"/>
          <w:szCs w:val="21"/>
        </w:rPr>
        <w:t xml:space="preserve">Every credible firm runs a dated, regularly-updated insights hub. Najma has none. This is the biggest content and SEO gap, and the clearest signal of “newcomer” status.</w:t>
      </w:r>
    </w:p>
    <w:p>
      <w:pPr>
        <w:pStyle w:val="ListParagraph"/>
        <w:numPr>
          <w:ilvl w:val="0"/>
          <w:numId w:val="2"/>
        </w:numPr>
        <w:spacing w:after="80" w:line="270"/>
      </w:pPr>
      <w:r>
        <w:rPr>
          <w:b/>
          <w:bCs/>
          <w:color w:val="14110F"/>
          <w:sz w:val="21"/>
          <w:szCs w:val="21"/>
        </w:rPr>
        <w:t xml:space="preserve">Shallow service &amp; industry pages: </w:t>
      </w:r>
      <w:r>
        <w:rPr>
          <w:color w:val="14110F"/>
          <w:sz w:val="21"/>
          <w:szCs w:val="21"/>
        </w:rPr>
        <w:t xml:space="preserve">Services live on one page with anchor links rather than a dedicated, in-depth page each; the industries are a grid rather than real landing pages. Leaders expose a page for every service and every sector.</w:t>
      </w:r>
    </w:p>
    <w:p>
      <w:pPr>
        <w:pStyle w:val="ListParagraph"/>
        <w:numPr>
          <w:ilvl w:val="0"/>
          <w:numId w:val="2"/>
        </w:numPr>
        <w:spacing w:after="80" w:line="270"/>
      </w:pPr>
      <w:r>
        <w:rPr>
          <w:b/>
          <w:bCs/>
          <w:color w:val="14110F"/>
          <w:sz w:val="21"/>
          <w:szCs w:val="21"/>
        </w:rPr>
        <w:t xml:space="preserve">Thin trust evidence: </w:t>
      </w:r>
      <w:r>
        <w:rPr>
          <w:color w:val="14110F"/>
          <w:sz w:val="21"/>
          <w:szCs w:val="21"/>
        </w:rPr>
        <w:t xml:space="preserve">No real Google review count/stars, no client logo wall, no case studies, no certification badges (FTA tax-agent number, ISO 9001, ACCA, Xero/Zoho partner), no awards, no international-network affiliation.</w:t>
      </w:r>
    </w:p>
    <w:p>
      <w:pPr>
        <w:pStyle w:val="ListParagraph"/>
        <w:numPr>
          <w:ilvl w:val="0"/>
          <w:numId w:val="2"/>
        </w:numPr>
        <w:spacing w:after="80" w:line="270"/>
      </w:pPr>
      <w:r>
        <w:rPr>
          <w:b/>
          <w:bCs/>
          <w:color w:val="14110F"/>
          <w:sz w:val="21"/>
          <w:szCs w:val="21"/>
        </w:rPr>
        <w:t xml:space="preserve">No tools, pricing or resources: </w:t>
      </w:r>
      <w:r>
        <w:rPr>
          <w:color w:val="14110F"/>
          <w:sz w:val="21"/>
          <w:szCs w:val="21"/>
        </w:rPr>
        <w:t xml:space="preserve">Strong boutiques offer a free calculator, transparent pricing, downloadable guides or a client portal. Najma offers none yet.</w:t>
      </w:r>
    </w:p>
    <w:p>
      <w:pPr>
        <w:pStyle w:val="ListParagraph"/>
        <w:numPr>
          <w:ilvl w:val="0"/>
          <w:numId w:val="2"/>
        </w:numPr>
        <w:spacing w:after="80" w:line="270"/>
      </w:pPr>
      <w:r>
        <w:rPr>
          <w:b/>
          <w:bCs/>
          <w:color w:val="14110F"/>
          <w:sz w:val="21"/>
          <w:szCs w:val="21"/>
        </w:rPr>
        <w:t xml:space="preserve">English-only: </w:t>
      </w:r>
      <w:r>
        <w:rPr>
          <w:color w:val="14110F"/>
          <w:sz w:val="21"/>
          <w:szCs w:val="21"/>
        </w:rPr>
        <w:t xml:space="preserve">Despite the Arabic brand identity, there is no Arabic version — though this is an open gap across the entire Dubai field, so it is an opportunity as much as a gap.</w:t>
      </w:r>
    </w:p>
    <w:p>
      <w:pPr>
        <w:pStyle w:val="ListParagraph"/>
        <w:numPr>
          <w:ilvl w:val="0"/>
          <w:numId w:val="2"/>
        </w:numPr>
        <w:spacing w:after="80" w:line="270"/>
      </w:pPr>
      <w:r>
        <w:rPr>
          <w:b/>
          <w:bCs/>
          <w:color w:val="14110F"/>
          <w:sz w:val="21"/>
          <w:szCs w:val="21"/>
        </w:rPr>
        <w:t xml:space="preserve">Contact form not wired: </w:t>
      </w:r>
      <w:r>
        <w:rPr>
          <w:color w:val="14110F"/>
          <w:sz w:val="21"/>
          <w:szCs w:val="21"/>
        </w:rPr>
        <w:t xml:space="preserve">The enquiry form is front-end only and does not yet send anything.</w:t>
      </w:r>
    </w:p>
    <w:p>
      <w:r>
        <w:br w:type="page"/>
      </w:r>
    </w:p>
    <w:p>
      <w:pPr>
        <w:pStyle w:val="Heading1"/>
      </w:pPr>
      <w:r>
        <w:t xml:space="preserve">4. Design &amp; UX — how the field compares</w:t>
      </w:r>
    </w:p>
    <w:p>
      <w:pPr>
        <w:spacing w:after="120" w:line="276"/>
      </w:pPr>
      <w:r>
        <w:rPr>
          <w:b/>
          <w:bCs/>
          <w:color w:val="14110F"/>
          <w:sz w:val="21"/>
          <w:szCs w:val="21"/>
        </w:rPr>
        <w:t xml:space="preserve">Najma Al Raeda score: </w:t>
      </w:r>
      <w:r>
        <w:rPr>
          <w:b/>
          <w:bCs/>
          <w:color w:val="557D27"/>
          <w:sz w:val="21"/>
          <w:szCs w:val="21"/>
        </w:rPr>
        <w:t xml:space="preserve">8.0 / 10</w:t>
      </w:r>
      <w:r>
        <w:rPr>
          <w:color w:val="14110F"/>
          <w:sz w:val="21"/>
          <w:szCs w:val="21"/>
        </w:rPr>
        <w:t xml:space="preserve">  — a real strength.</w:t>
      </w:r>
    </w:p>
    <w:p>
      <w:pPr>
        <w:spacing w:after="120" w:line="276"/>
      </w:pPr>
      <w:r>
        <w:rPr>
          <w:color w:val="14110F"/>
          <w:sz w:val="21"/>
          <w:szCs w:val="21"/>
        </w:rPr>
        <w:t xml:space="preserve">The accounting-website market splits into three visual tiers. At the bottom is the WordPress + Elementor template look that dominates Dubai’s mid-tier and boutique field (stock photo of professionals at a laptop, an SEO headline, a “Free Consultation” button). In the middle are competent corporate design systems (PwC, Grant Thornton). At the top is a small group of cinematic, brand-led sites — and, crucially, several of these are boutiques, proving scale is not required to look world-class.</w:t>
      </w:r>
    </w:p>
    <w:p>
      <w:pPr>
        <w:spacing w:after="120" w:line="276"/>
      </w:pPr>
      <w:r>
        <w:rPr>
          <w:b/>
          <w:bCs/>
          <w:color w:val="14110F"/>
          <w:sz w:val="21"/>
          <w:szCs w:val="21"/>
        </w:rPr>
        <w:t xml:space="preserve">Best-in-class examples to emulate: </w:t>
      </w:r>
      <w:r>
        <w:rPr>
          <w:b/>
          <w:bCs/>
          <w:color w:val="14110F"/>
          <w:sz w:val="21"/>
          <w:szCs w:val="21"/>
        </w:rPr>
        <w:t xml:space="preserve">Buzzacott</w:t>
      </w:r>
      <w:r>
        <w:rPr>
          <w:color w:val="14110F"/>
          <w:sz w:val="21"/>
          <w:szCs w:val="21"/>
        </w:rPr>
        <w:t xml:space="preserve"> (London — full-bleed brand-film hero, sophisticated dark palette, headless build); </w:t>
      </w:r>
      <w:r>
        <w:rPr>
          <w:b/>
          <w:bCs/>
          <w:color w:val="14110F"/>
          <w:sz w:val="21"/>
          <w:szCs w:val="21"/>
        </w:rPr>
        <w:t xml:space="preserve">HaysMac</w:t>
      </w:r>
      <w:r>
        <w:rPr>
          <w:color w:val="14110F"/>
          <w:sz w:val="21"/>
          <w:szCs w:val="21"/>
        </w:rPr>
        <w:t xml:space="preserve"> (London — “For Business. For People. For Good.”, background video, distinctive identity); </w:t>
      </w:r>
      <w:r>
        <w:rPr>
          <w:b/>
          <w:bCs/>
          <w:color w:val="14110F"/>
          <w:sz w:val="21"/>
          <w:szCs w:val="21"/>
        </w:rPr>
        <w:t xml:space="preserve">EisnerAmper</w:t>
      </w:r>
      <w:r>
        <w:rPr>
          <w:color w:val="14110F"/>
          <w:sz w:val="21"/>
          <w:szCs w:val="21"/>
        </w:rPr>
        <w:t xml:space="preserve"> and </w:t>
      </w:r>
      <w:r>
        <w:rPr>
          <w:b/>
          <w:bCs/>
          <w:color w:val="14110F"/>
          <w:sz w:val="21"/>
          <w:szCs w:val="21"/>
        </w:rPr>
        <w:t xml:space="preserve">Grassi</w:t>
      </w:r>
      <w:r>
        <w:rPr>
          <w:color w:val="14110F"/>
          <w:sz w:val="21"/>
          <w:szCs w:val="21"/>
        </w:rPr>
        <w:t xml:space="preserve"> (New York — consultancy-grade dark accents, confident one-line positioning, animated proof stats); and in Dubai, </w:t>
      </w:r>
      <w:r>
        <w:rPr>
          <w:b/>
          <w:bCs/>
          <w:color w:val="14110F"/>
          <w:sz w:val="21"/>
          <w:szCs w:val="21"/>
        </w:rPr>
        <w:t xml:space="preserve">Baker Tilly UAE</w:t>
      </w:r>
      <w:r>
        <w:rPr>
          <w:color w:val="14110F"/>
          <w:sz w:val="21"/>
          <w:szCs w:val="21"/>
        </w:rPr>
        <w:t xml:space="preserve"> (cinematic video hero) and </w:t>
      </w:r>
      <w:r>
        <w:rPr>
          <w:b/>
          <w:bCs/>
          <w:color w:val="14110F"/>
          <w:sz w:val="21"/>
          <w:szCs w:val="21"/>
        </w:rPr>
        <w:t xml:space="preserve">Alpha Pro Partners</w:t>
      </w:r>
      <w:r>
        <w:rPr>
          <w:color w:val="14110F"/>
          <w:sz w:val="21"/>
          <w:szCs w:val="21"/>
        </w:rPr>
        <w:t xml:space="preserve"> (the strongest boutique build).</w:t>
      </w:r>
    </w:p>
    <w:p>
      <w:pPr>
        <w:spacing w:after="120" w:line="276"/>
      </w:pPr>
      <w:r>
        <w:rPr>
          <w:b/>
          <w:bCs/>
          <w:color w:val="14110F"/>
          <w:sz w:val="21"/>
          <w:szCs w:val="21"/>
        </w:rPr>
        <w:t xml:space="preserve">Where Najma already wins: </w:t>
      </w:r>
      <w:r>
        <w:rPr>
          <w:color w:val="14110F"/>
          <w:sz w:val="21"/>
          <w:szCs w:val="21"/>
        </w:rPr>
        <w:t xml:space="preserve">it is firmly in the top visual tier on craft, palette discipline and custom imagery — ahead of dated Dubai sites such as CLA Emirates, Excellent Accountants and Aviaan, and ahead of the conservative slider-style of PKF O’Connor Davies in New York.</w:t>
      </w:r>
    </w:p>
    <w:p>
      <w:pPr>
        <w:spacing w:after="120" w:line="276"/>
      </w:pPr>
      <w:r>
        <w:rPr>
          <w:b/>
          <w:bCs/>
          <w:color w:val="14110F"/>
          <w:sz w:val="21"/>
          <w:szCs w:val="21"/>
        </w:rPr>
        <w:t xml:space="preserve">Where it can still improve: </w:t>
      </w:r>
      <w:r>
        <w:rPr>
          <w:color w:val="14110F"/>
          <w:sz w:val="21"/>
          <w:szCs w:val="21"/>
        </w:rPr>
        <w:t xml:space="preserve">(1) a single, ownable positioning line in the hero (the “For Business. For People. For Good.” idea); (2) a persistent floating WhatsApp button — a near-universal Gulf convention present on virtually every Dubai competitor; (3) as content grows, a Services × Sectors mega-menu.</w:t>
      </w:r>
    </w:p>
    <w:p>
      <w:r>
        <w:br w:type="page"/>
      </w:r>
    </w:p>
    <w:p>
      <w:pPr>
        <w:pStyle w:val="Heading1"/>
      </w:pPr>
      <w:r>
        <w:t xml:space="preserve">5. Content &amp; Services — how the field compares</w:t>
      </w:r>
    </w:p>
    <w:p>
      <w:pPr>
        <w:spacing w:after="120" w:line="276"/>
      </w:pPr>
      <w:r>
        <w:rPr>
          <w:b/>
          <w:bCs/>
          <w:color w:val="14110F"/>
          <w:sz w:val="21"/>
          <w:szCs w:val="21"/>
        </w:rPr>
        <w:t xml:space="preserve">Najma Al Raeda score: </w:t>
      </w:r>
      <w:r>
        <w:rPr>
          <w:b/>
          <w:bCs/>
          <w:color w:val="B5632B"/>
          <w:sz w:val="21"/>
          <w:szCs w:val="21"/>
        </w:rPr>
        <w:t xml:space="preserve">4.0 / 10</w:t>
      </w:r>
      <w:r>
        <w:rPr>
          <w:color w:val="14110F"/>
          <w:sz w:val="21"/>
          <w:szCs w:val="21"/>
        </w:rPr>
        <w:t xml:space="preserve">  — the biggest opportunity.</w:t>
      </w:r>
    </w:p>
    <w:p>
      <w:pPr>
        <w:spacing w:after="120" w:line="276"/>
      </w:pPr>
      <w:r>
        <w:rPr>
          <w:color w:val="14110F"/>
          <w:sz w:val="21"/>
          <w:szCs w:val="21"/>
        </w:rPr>
        <w:t xml:space="preserve">This is where large and best-in-class firms pull decisively ahead, and where Najma currently sits below even the Dubai baseline. The patterns are consistent across all three cities:</w:t>
      </w:r>
    </w:p>
    <w:p>
      <w:pPr>
        <w:pStyle w:val="ListParagraph"/>
        <w:numPr>
          <w:ilvl w:val="0"/>
          <w:numId w:val="2"/>
        </w:numPr>
        <w:spacing w:after="80" w:line="270"/>
      </w:pPr>
      <w:r>
        <w:rPr>
          <w:b/>
          <w:bCs/>
          <w:color w:val="14110F"/>
          <w:sz w:val="21"/>
          <w:szCs w:val="21"/>
        </w:rPr>
        <w:t xml:space="preserve">Dual-axis architecture (Services × Sectors). </w:t>
      </w:r>
      <w:r>
        <w:rPr>
          <w:color w:val="14110F"/>
          <w:sz w:val="21"/>
          <w:szCs w:val="21"/>
        </w:rPr>
        <w:t xml:space="preserve">Every credible firm splits offerings by what they do and who they serve, with a dedicated page for each. HaysMac and Gerald Edelman even add a third “Markets / Who We Help” axis. Najma has six services on one page and a 9-tile industries grid — the right skeleton, but no depth.</w:t>
      </w:r>
    </w:p>
    <w:p>
      <w:pPr>
        <w:pStyle w:val="ListParagraph"/>
        <w:numPr>
          <w:ilvl w:val="0"/>
          <w:numId w:val="2"/>
        </w:numPr>
        <w:spacing w:after="80" w:line="270"/>
      </w:pPr>
      <w:r>
        <w:rPr>
          <w:b/>
          <w:bCs/>
          <w:color w:val="14110F"/>
          <w:sz w:val="21"/>
          <w:szCs w:val="21"/>
        </w:rPr>
        <w:t xml:space="preserve">A living insights hub is non-negotiable. </w:t>
      </w:r>
      <w:r>
        <w:rPr>
          <w:color w:val="14110F"/>
          <w:sz w:val="21"/>
          <w:szCs w:val="21"/>
        </w:rPr>
        <w:t xml:space="preserve">Baker Tilly UAE runs named-author articles on UAE e-invoicing and corporate tax; EisnerAmper publishes near-daily; everyone tags by topic with dates and read-times. This is the engine of both credibility and search visibility. Najma has nothing here yet.</w:t>
      </w:r>
    </w:p>
    <w:p>
      <w:pPr>
        <w:pStyle w:val="ListParagraph"/>
        <w:numPr>
          <w:ilvl w:val="0"/>
          <w:numId w:val="2"/>
        </w:numPr>
        <w:spacing w:after="80" w:line="270"/>
      </w:pPr>
      <w:r>
        <w:rPr>
          <w:b/>
          <w:bCs/>
          <w:color w:val="14110F"/>
          <w:sz w:val="21"/>
          <w:szCs w:val="21"/>
        </w:rPr>
        <w:t xml:space="preserve">Flagship reports &amp; tools. </w:t>
      </w:r>
      <w:r>
        <w:rPr>
          <w:color w:val="14110F"/>
          <w:sz w:val="21"/>
          <w:szCs w:val="21"/>
        </w:rPr>
        <w:t xml:space="preserve">Leaders publish a signature annual report (BDO Global Risk Landscape, Grant Thornton India Tracker) and practical tools (EisnerAmper Tax Guide 2026; KLOUDAC’s setup-cost calculator; Alpha Pro’s published pricing). These double as lead capture.</w:t>
      </w:r>
    </w:p>
    <w:p>
      <w:pPr>
        <w:pStyle w:val="ListParagraph"/>
        <w:numPr>
          <w:ilvl w:val="0"/>
          <w:numId w:val="2"/>
        </w:numPr>
        <w:spacing w:after="80" w:line="270"/>
      </w:pPr>
      <w:r>
        <w:rPr>
          <w:b/>
          <w:bCs/>
          <w:color w:val="14110F"/>
          <w:sz w:val="21"/>
          <w:szCs w:val="21"/>
        </w:rPr>
        <w:t xml:space="preserve">UAE service stack is standardised. </w:t>
      </w:r>
      <w:r>
        <w:rPr>
          <w:color w:val="14110F"/>
          <w:sz w:val="21"/>
          <w:szCs w:val="21"/>
        </w:rPr>
        <w:t xml:space="preserve">VAT, Corporate Tax, Audit &amp; Assurance, Accounting/Bookkeeping, Company Formation and Advisory/CFO — Najma already covers these well; the gap is depth, not breadth.</w:t>
      </w:r>
    </w:p>
    <w:p>
      <w:pPr>
        <w:pStyle w:val="ListParagraph"/>
        <w:numPr>
          <w:ilvl w:val="0"/>
          <w:numId w:val="2"/>
        </w:numPr>
        <w:spacing w:after="80" w:line="270"/>
      </w:pPr>
      <w:r>
        <w:rPr>
          <w:b/>
          <w:bCs/>
          <w:color w:val="14110F"/>
          <w:sz w:val="21"/>
          <w:szCs w:val="21"/>
        </w:rPr>
        <w:t xml:space="preserve">Bilingual EN/AR is an open gap across all of Dubai. </w:t>
      </w:r>
      <w:r>
        <w:rPr>
          <w:color w:val="14110F"/>
          <w:sz w:val="21"/>
          <w:szCs w:val="21"/>
        </w:rPr>
        <w:t xml:space="preserve">Almost no competitor offers a working Arabic site. Given the “Najma Al Raeda” identity, bilingual content is a genuine differentiator nobody else has taken.</w:t>
      </w:r>
    </w:p>
    <w:p>
      <w:pPr>
        <w:spacing w:after="120" w:line="276"/>
      </w:pPr>
      <w:r>
        <w:rPr>
          <w:b/>
          <w:bCs/>
          <w:color w:val="14110F"/>
          <w:sz w:val="21"/>
          <w:szCs w:val="21"/>
        </w:rPr>
        <w:t xml:space="preserve">Priority moves: </w:t>
      </w:r>
      <w:r>
        <w:rPr>
          <w:color w:val="14110F"/>
          <w:sz w:val="21"/>
          <w:szCs w:val="21"/>
        </w:rPr>
        <w:t xml:space="preserve">give every service its own page; turn the industries grid into 4–6 real sector landing pages tied to the firm’s actual client base; launch a dated, named-author insights hub; add one free tool (a VAT/Corporate-Tax or company-setup calculator) and a transparent pricing or “how we work” page.</w:t>
      </w:r>
    </w:p>
    <w:p>
      <w:r>
        <w:br w:type="page"/>
      </w:r>
    </w:p>
    <w:p>
      <w:pPr>
        <w:pStyle w:val="Heading1"/>
      </w:pPr>
      <w:r>
        <w:t xml:space="preserve">6. Trust &amp; Credibility — how the field compares</w:t>
      </w:r>
    </w:p>
    <w:p>
      <w:pPr>
        <w:spacing w:after="120" w:line="276"/>
      </w:pPr>
      <w:r>
        <w:rPr>
          <w:b/>
          <w:bCs/>
          <w:color w:val="14110F"/>
          <w:sz w:val="21"/>
          <w:szCs w:val="21"/>
        </w:rPr>
        <w:t xml:space="preserve">Najma Al Raeda score: </w:t>
      </w:r>
      <w:r>
        <w:rPr>
          <w:b/>
          <w:bCs/>
          <w:color w:val="B5632B"/>
          <w:sz w:val="21"/>
          <w:szCs w:val="21"/>
        </w:rPr>
        <w:t xml:space="preserve">3.5 / 10</w:t>
      </w:r>
      <w:r>
        <w:rPr>
          <w:color w:val="14110F"/>
          <w:sz w:val="21"/>
          <w:szCs w:val="21"/>
        </w:rPr>
        <w:t xml:space="preserve">  — the most urgent to strengthen.</w:t>
      </w:r>
    </w:p>
    <w:p>
      <w:pPr>
        <w:spacing w:after="120" w:line="276"/>
      </w:pPr>
      <w:r>
        <w:rPr>
          <w:color w:val="14110F"/>
          <w:sz w:val="21"/>
          <w:szCs w:val="21"/>
        </w:rPr>
        <w:t xml:space="preserve">Trust is the currency of professional-services sites, and it is built from concrete, verifiable proof. The benchmarked firms use a consistent toolkit; Najma currently shows placeholder or generic versions of most of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D9D9D9" w:sz="1"/>
              <w:left w:val="single" w:color="D9D9D9" w:sz="1"/>
              <w:bottom w:val="single" w:color="D9D9D9" w:sz="1"/>
              <w:right w:val="single" w:color="D9D9D9" w:sz="1"/>
            </w:tcBorders>
            <w:shd w:fill="557D27" w:val="clear"/>
            <w:tcMar>
              <w:top w:type="dxa" w:w="70"/>
              <w:left w:type="dxa" w:w="110"/>
              <w:bottom w:type="dxa" w:w="70"/>
              <w:right w:type="dxa" w:w="110"/>
            </w:tcMar>
          </w:tcPr>
          <w:p>
            <w:pPr>
              <w:spacing w:after="0" w:line="264"/>
              <w:jc w:val="left"/>
            </w:pPr>
            <w:r>
              <w:rPr>
                <w:b/>
                <w:bCs/>
                <w:color w:val="FFFFFF"/>
                <w:sz w:val="19"/>
                <w:szCs w:val="19"/>
              </w:rPr>
              <w:t xml:space="preserve">Trust signal</w:t>
            </w:r>
          </w:p>
        </w:tc>
        <w:tc>
          <w:tcPr>
            <w:tcW w:type="dxa" w:w="3180"/>
            <w:tcBorders>
              <w:top w:val="single" w:color="D9D9D9" w:sz="1"/>
              <w:left w:val="single" w:color="D9D9D9" w:sz="1"/>
              <w:bottom w:val="single" w:color="D9D9D9" w:sz="1"/>
              <w:right w:val="single" w:color="D9D9D9" w:sz="1"/>
            </w:tcBorders>
            <w:shd w:fill="557D27" w:val="clear"/>
            <w:tcMar>
              <w:top w:type="dxa" w:w="70"/>
              <w:left w:type="dxa" w:w="110"/>
              <w:bottom w:type="dxa" w:w="70"/>
              <w:right w:type="dxa" w:w="110"/>
            </w:tcMar>
          </w:tcPr>
          <w:p>
            <w:pPr>
              <w:spacing w:after="0" w:line="264"/>
              <w:jc w:val="left"/>
            </w:pPr>
            <w:r>
              <w:rPr>
                <w:b/>
                <w:bCs/>
                <w:color w:val="FFFFFF"/>
                <w:sz w:val="19"/>
                <w:szCs w:val="19"/>
              </w:rPr>
              <w:t xml:space="preserve">What leaders do</w:t>
            </w:r>
          </w:p>
        </w:tc>
        <w:tc>
          <w:tcPr>
            <w:tcW w:type="dxa" w:w="3180"/>
            <w:tcBorders>
              <w:top w:val="single" w:color="D9D9D9" w:sz="1"/>
              <w:left w:val="single" w:color="D9D9D9" w:sz="1"/>
              <w:bottom w:val="single" w:color="D9D9D9" w:sz="1"/>
              <w:right w:val="single" w:color="D9D9D9" w:sz="1"/>
            </w:tcBorders>
            <w:shd w:fill="557D27" w:val="clear"/>
            <w:tcMar>
              <w:top w:type="dxa" w:w="70"/>
              <w:left w:type="dxa" w:w="110"/>
              <w:bottom w:type="dxa" w:w="70"/>
              <w:right w:type="dxa" w:w="110"/>
            </w:tcMar>
          </w:tcPr>
          <w:p>
            <w:pPr>
              <w:spacing w:after="0" w:line="264"/>
              <w:jc w:val="left"/>
            </w:pPr>
            <w:r>
              <w:rPr>
                <w:b/>
                <w:bCs/>
                <w:color w:val="FFFFFF"/>
                <w:sz w:val="19"/>
                <w:szCs w:val="19"/>
              </w:rPr>
              <w:t xml:space="preserve">Najma Al Raeda now</w:t>
            </w:r>
          </w:p>
        </w:tc>
      </w:tr>
      <w:tr>
        <w:tc>
          <w:tcPr>
            <w:tcW w:type="dxa" w:w="3000"/>
            <w:tcBorders>
              <w:top w:val="single" w:color="D9D9D9" w:sz="1"/>
              <w:left w:val="single" w:color="D9D9D9" w:sz="1"/>
              <w:bottom w:val="single" w:color="D9D9D9" w:sz="1"/>
              <w:right w:val="single" w:color="D9D9D9" w:sz="1"/>
            </w:tcBorders>
            <w:tcMar>
              <w:top w:type="dxa" w:w="70"/>
              <w:left w:type="dxa" w:w="110"/>
              <w:bottom w:type="dxa" w:w="70"/>
              <w:right w:type="dxa" w:w="110"/>
            </w:tcMar>
          </w:tcPr>
          <w:p>
            <w:pPr>
              <w:spacing w:after="0" w:line="264"/>
              <w:jc w:val="left"/>
            </w:pPr>
            <w:r>
              <w:rPr>
                <w:color w:val="14110F"/>
                <w:sz w:val="19"/>
                <w:szCs w:val="19"/>
              </w:rPr>
              <w:t xml:space="preserve">Certifications / registrations</w:t>
            </w:r>
          </w:p>
        </w:tc>
        <w:tc>
          <w:tcPr>
            <w:tcW w:type="dxa" w:w="3180"/>
            <w:tcBorders>
              <w:top w:val="single" w:color="D9D9D9" w:sz="1"/>
              <w:left w:val="single" w:color="D9D9D9" w:sz="1"/>
              <w:bottom w:val="single" w:color="D9D9D9" w:sz="1"/>
              <w:right w:val="single" w:color="D9D9D9" w:sz="1"/>
            </w:tcBorders>
            <w:tcMar>
              <w:top w:type="dxa" w:w="70"/>
              <w:left w:type="dxa" w:w="110"/>
              <w:bottom w:type="dxa" w:w="70"/>
              <w:right w:type="dxa" w:w="110"/>
            </w:tcMar>
          </w:tcPr>
          <w:p>
            <w:pPr>
              <w:spacing w:after="0" w:line="264"/>
              <w:jc w:val="left"/>
            </w:pPr>
            <w:r>
              <w:rPr>
                <w:color w:val="14110F"/>
                <w:sz w:val="19"/>
                <w:szCs w:val="19"/>
              </w:rPr>
              <w:t xml:space="preserve">FTA tax-agent number, ISO 9001, ACCA/ICAI, Xero/Zoho partner badges shown prominently</w:t>
            </w:r>
          </w:p>
        </w:tc>
        <w:tc>
          <w:tcPr>
            <w:tcW w:type="dxa" w:w="3180"/>
            <w:tcBorders>
              <w:top w:val="single" w:color="D9D9D9" w:sz="1"/>
              <w:left w:val="single" w:color="D9D9D9" w:sz="1"/>
              <w:bottom w:val="single" w:color="D9D9D9" w:sz="1"/>
              <w:right w:val="single" w:color="D9D9D9" w:sz="1"/>
            </w:tcBorders>
            <w:tcMar>
              <w:top w:type="dxa" w:w="70"/>
              <w:left w:type="dxa" w:w="110"/>
              <w:bottom w:type="dxa" w:w="70"/>
              <w:right w:type="dxa" w:w="110"/>
            </w:tcMar>
          </w:tcPr>
          <w:p>
            <w:pPr>
              <w:spacing w:after="0" w:line="264"/>
              <w:jc w:val="left"/>
            </w:pPr>
            <w:r>
              <w:rPr>
                <w:color w:val="14110F"/>
                <w:sz w:val="19"/>
                <w:szCs w:val="19"/>
              </w:rPr>
              <w:t xml:space="preserve">Text-only trust strip; no badges or numbers</w:t>
            </w:r>
          </w:p>
        </w:tc>
      </w:tr>
      <w:tr>
        <w:tc>
          <w:tcPr>
            <w:tcW w:type="dxa" w:w="3000"/>
            <w:tcBorders>
              <w:top w:val="single" w:color="D9D9D9" w:sz="1"/>
              <w:left w:val="single" w:color="D9D9D9" w:sz="1"/>
              <w:bottom w:val="single" w:color="D9D9D9" w:sz="1"/>
              <w:right w:val="single" w:color="D9D9D9" w:sz="1"/>
            </w:tcBorders>
            <w:shd w:fill="F5F7F1" w:val="clear"/>
            <w:tcMar>
              <w:top w:type="dxa" w:w="70"/>
              <w:left w:type="dxa" w:w="110"/>
              <w:bottom w:type="dxa" w:w="70"/>
              <w:right w:type="dxa" w:w="110"/>
            </w:tcMar>
          </w:tcPr>
          <w:p>
            <w:pPr>
              <w:spacing w:after="0" w:line="264"/>
              <w:jc w:val="left"/>
            </w:pPr>
            <w:r>
              <w:rPr>
                <w:color w:val="14110F"/>
                <w:sz w:val="19"/>
                <w:szCs w:val="19"/>
              </w:rPr>
              <w:t xml:space="preserve">Reviews</w:t>
            </w:r>
          </w:p>
        </w:tc>
        <w:tc>
          <w:tcPr>
            <w:tcW w:type="dxa" w:w="3180"/>
            <w:tcBorders>
              <w:top w:val="single" w:color="D9D9D9" w:sz="1"/>
              <w:left w:val="single" w:color="D9D9D9" w:sz="1"/>
              <w:bottom w:val="single" w:color="D9D9D9" w:sz="1"/>
              <w:right w:val="single" w:color="D9D9D9" w:sz="1"/>
            </w:tcBorders>
            <w:shd w:fill="F5F7F1" w:val="clear"/>
            <w:tcMar>
              <w:top w:type="dxa" w:w="70"/>
              <w:left w:type="dxa" w:w="110"/>
              <w:bottom w:type="dxa" w:w="70"/>
              <w:right w:type="dxa" w:w="110"/>
            </w:tcMar>
          </w:tcPr>
          <w:p>
            <w:pPr>
              <w:spacing w:after="0" w:line="264"/>
              <w:jc w:val="left"/>
            </w:pPr>
            <w:r>
              <w:rPr>
                <w:color w:val="14110F"/>
                <w:sz w:val="19"/>
                <w:szCs w:val="19"/>
              </w:rPr>
              <w:t xml:space="preserve">Real Google rating + count (Farahat 4.9★/500+; KLOUDAC 4.9/5 of 3,602)</w:t>
            </w:r>
          </w:p>
        </w:tc>
        <w:tc>
          <w:tcPr>
            <w:tcW w:type="dxa" w:w="3180"/>
            <w:tcBorders>
              <w:top w:val="single" w:color="D9D9D9" w:sz="1"/>
              <w:left w:val="single" w:color="D9D9D9" w:sz="1"/>
              <w:bottom w:val="single" w:color="D9D9D9" w:sz="1"/>
              <w:right w:val="single" w:color="D9D9D9" w:sz="1"/>
            </w:tcBorders>
            <w:shd w:fill="F5F7F1" w:val="clear"/>
            <w:tcMar>
              <w:top w:type="dxa" w:w="70"/>
              <w:left w:type="dxa" w:w="110"/>
              <w:bottom w:type="dxa" w:w="70"/>
              <w:right w:type="dxa" w:w="110"/>
            </w:tcMar>
          </w:tcPr>
          <w:p>
            <w:pPr>
              <w:spacing w:after="0" w:line="264"/>
              <w:jc w:val="left"/>
            </w:pPr>
            <w:r>
              <w:rPr>
                <w:color w:val="14110F"/>
                <w:sz w:val="19"/>
                <w:szCs w:val="19"/>
              </w:rPr>
              <w:t xml:space="preserve">None shown</w:t>
            </w:r>
          </w:p>
        </w:tc>
      </w:tr>
      <w:tr>
        <w:tc>
          <w:tcPr>
            <w:tcW w:type="dxa" w:w="3000"/>
            <w:tcBorders>
              <w:top w:val="single" w:color="D9D9D9" w:sz="1"/>
              <w:left w:val="single" w:color="D9D9D9" w:sz="1"/>
              <w:bottom w:val="single" w:color="D9D9D9" w:sz="1"/>
              <w:right w:val="single" w:color="D9D9D9" w:sz="1"/>
            </w:tcBorders>
            <w:tcMar>
              <w:top w:type="dxa" w:w="70"/>
              <w:left w:type="dxa" w:w="110"/>
              <w:bottom w:type="dxa" w:w="70"/>
              <w:right w:type="dxa" w:w="110"/>
            </w:tcMar>
          </w:tcPr>
          <w:p>
            <w:pPr>
              <w:spacing w:after="0" w:line="264"/>
              <w:jc w:val="left"/>
            </w:pPr>
            <w:r>
              <w:rPr>
                <w:color w:val="14110F"/>
                <w:sz w:val="19"/>
                <w:szCs w:val="19"/>
              </w:rPr>
              <w:t xml:space="preserve">Testimonials</w:t>
            </w:r>
          </w:p>
        </w:tc>
        <w:tc>
          <w:tcPr>
            <w:tcW w:type="dxa" w:w="3180"/>
            <w:tcBorders>
              <w:top w:val="single" w:color="D9D9D9" w:sz="1"/>
              <w:left w:val="single" w:color="D9D9D9" w:sz="1"/>
              <w:bottom w:val="single" w:color="D9D9D9" w:sz="1"/>
              <w:right w:val="single" w:color="D9D9D9" w:sz="1"/>
            </w:tcBorders>
            <w:tcMar>
              <w:top w:type="dxa" w:w="70"/>
              <w:left w:type="dxa" w:w="110"/>
              <w:bottom w:type="dxa" w:w="70"/>
              <w:right w:type="dxa" w:w="110"/>
            </w:tcMar>
          </w:tcPr>
          <w:p>
            <w:pPr>
              <w:spacing w:after="0" w:line="264"/>
              <w:jc w:val="left"/>
            </w:pPr>
            <w:r>
              <w:rPr>
                <w:color w:val="14110F"/>
                <w:sz w:val="19"/>
                <w:szCs w:val="19"/>
              </w:rPr>
              <w:t xml:space="preserve">Named clients, often recognisable brands, with photos</w:t>
            </w:r>
          </w:p>
        </w:tc>
        <w:tc>
          <w:tcPr>
            <w:tcW w:type="dxa" w:w="3180"/>
            <w:tcBorders>
              <w:top w:val="single" w:color="D9D9D9" w:sz="1"/>
              <w:left w:val="single" w:color="D9D9D9" w:sz="1"/>
              <w:bottom w:val="single" w:color="D9D9D9" w:sz="1"/>
              <w:right w:val="single" w:color="D9D9D9" w:sz="1"/>
            </w:tcBorders>
            <w:tcMar>
              <w:top w:type="dxa" w:w="70"/>
              <w:left w:type="dxa" w:w="110"/>
              <w:bottom w:type="dxa" w:w="70"/>
              <w:right w:type="dxa" w:w="110"/>
            </w:tcMar>
          </w:tcPr>
          <w:p>
            <w:pPr>
              <w:spacing w:after="0" w:line="264"/>
              <w:jc w:val="left"/>
            </w:pPr>
            <w:r>
              <w:rPr>
                <w:color w:val="14110F"/>
                <w:sz w:val="19"/>
                <w:szCs w:val="19"/>
              </w:rPr>
              <w:t xml:space="preserve">Two invented testimonials</w:t>
            </w:r>
          </w:p>
        </w:tc>
      </w:tr>
      <w:tr>
        <w:tc>
          <w:tcPr>
            <w:tcW w:type="dxa" w:w="3000"/>
            <w:tcBorders>
              <w:top w:val="single" w:color="D9D9D9" w:sz="1"/>
              <w:left w:val="single" w:color="D9D9D9" w:sz="1"/>
              <w:bottom w:val="single" w:color="D9D9D9" w:sz="1"/>
              <w:right w:val="single" w:color="D9D9D9" w:sz="1"/>
            </w:tcBorders>
            <w:shd w:fill="F5F7F1" w:val="clear"/>
            <w:tcMar>
              <w:top w:type="dxa" w:w="70"/>
              <w:left w:type="dxa" w:w="110"/>
              <w:bottom w:type="dxa" w:w="70"/>
              <w:right w:type="dxa" w:w="110"/>
            </w:tcMar>
          </w:tcPr>
          <w:p>
            <w:pPr>
              <w:spacing w:after="0" w:line="264"/>
              <w:jc w:val="left"/>
            </w:pPr>
            <w:r>
              <w:rPr>
                <w:color w:val="14110F"/>
                <w:sz w:val="19"/>
                <w:szCs w:val="19"/>
              </w:rPr>
              <w:t xml:space="preserve">Client logos / case studies</w:t>
            </w:r>
          </w:p>
        </w:tc>
        <w:tc>
          <w:tcPr>
            <w:tcW w:type="dxa" w:w="3180"/>
            <w:tcBorders>
              <w:top w:val="single" w:color="D9D9D9" w:sz="1"/>
              <w:left w:val="single" w:color="D9D9D9" w:sz="1"/>
              <w:bottom w:val="single" w:color="D9D9D9" w:sz="1"/>
              <w:right w:val="single" w:color="D9D9D9" w:sz="1"/>
            </w:tcBorders>
            <w:shd w:fill="F5F7F1" w:val="clear"/>
            <w:tcMar>
              <w:top w:type="dxa" w:w="70"/>
              <w:left w:type="dxa" w:w="110"/>
              <w:bottom w:type="dxa" w:w="70"/>
              <w:right w:type="dxa" w:w="110"/>
            </w:tcMar>
          </w:tcPr>
          <w:p>
            <w:pPr>
              <w:spacing w:after="0" w:line="264"/>
              <w:jc w:val="left"/>
            </w:pPr>
            <w:r>
              <w:rPr>
                <w:color w:val="14110F"/>
                <w:sz w:val="19"/>
                <w:szCs w:val="19"/>
              </w:rPr>
              <w:t xml:space="preserve">Logo walls and named case studies (Anchin, EisnerAmper)</w:t>
            </w:r>
          </w:p>
        </w:tc>
        <w:tc>
          <w:tcPr>
            <w:tcW w:type="dxa" w:w="3180"/>
            <w:tcBorders>
              <w:top w:val="single" w:color="D9D9D9" w:sz="1"/>
              <w:left w:val="single" w:color="D9D9D9" w:sz="1"/>
              <w:bottom w:val="single" w:color="D9D9D9" w:sz="1"/>
              <w:right w:val="single" w:color="D9D9D9" w:sz="1"/>
            </w:tcBorders>
            <w:shd w:fill="F5F7F1" w:val="clear"/>
            <w:tcMar>
              <w:top w:type="dxa" w:w="70"/>
              <w:left w:type="dxa" w:w="110"/>
              <w:bottom w:type="dxa" w:w="70"/>
              <w:right w:type="dxa" w:w="110"/>
            </w:tcMar>
          </w:tcPr>
          <w:p>
            <w:pPr>
              <w:spacing w:after="0" w:line="264"/>
              <w:jc w:val="left"/>
            </w:pPr>
            <w:r>
              <w:rPr>
                <w:color w:val="14110F"/>
                <w:sz w:val="19"/>
                <w:szCs w:val="19"/>
              </w:rPr>
              <w:t xml:space="preserve">None</w:t>
            </w:r>
          </w:p>
        </w:tc>
      </w:tr>
      <w:tr>
        <w:tc>
          <w:tcPr>
            <w:tcW w:type="dxa" w:w="3000"/>
            <w:tcBorders>
              <w:top w:val="single" w:color="D9D9D9" w:sz="1"/>
              <w:left w:val="single" w:color="D9D9D9" w:sz="1"/>
              <w:bottom w:val="single" w:color="D9D9D9" w:sz="1"/>
              <w:right w:val="single" w:color="D9D9D9" w:sz="1"/>
            </w:tcBorders>
            <w:tcMar>
              <w:top w:type="dxa" w:w="70"/>
              <w:left w:type="dxa" w:w="110"/>
              <w:bottom w:type="dxa" w:w="70"/>
              <w:right w:type="dxa" w:w="110"/>
            </w:tcMar>
          </w:tcPr>
          <w:p>
            <w:pPr>
              <w:spacing w:after="0" w:line="264"/>
              <w:jc w:val="left"/>
            </w:pPr>
            <w:r>
              <w:rPr>
                <w:color w:val="14110F"/>
                <w:sz w:val="19"/>
                <w:szCs w:val="19"/>
              </w:rPr>
              <w:t xml:space="preserve">Team bios</w:t>
            </w:r>
          </w:p>
        </w:tc>
        <w:tc>
          <w:tcPr>
            <w:tcW w:type="dxa" w:w="3180"/>
            <w:tcBorders>
              <w:top w:val="single" w:color="D9D9D9" w:sz="1"/>
              <w:left w:val="single" w:color="D9D9D9" w:sz="1"/>
              <w:bottom w:val="single" w:color="D9D9D9" w:sz="1"/>
              <w:right w:val="single" w:color="D9D9D9" w:sz="1"/>
            </w:tcBorders>
            <w:tcMar>
              <w:top w:type="dxa" w:w="70"/>
              <w:left w:type="dxa" w:w="110"/>
              <w:bottom w:type="dxa" w:w="70"/>
              <w:right w:type="dxa" w:w="110"/>
            </w:tcMar>
          </w:tcPr>
          <w:p>
            <w:pPr>
              <w:spacing w:after="0" w:line="264"/>
              <w:jc w:val="left"/>
            </w:pPr>
            <w:r>
              <w:rPr>
                <w:color w:val="14110F"/>
                <w:sz w:val="19"/>
                <w:szCs w:val="19"/>
              </w:rPr>
              <w:t xml:space="preserve">Photographed, named, credentialed, LinkedIn-linked</w:t>
            </w:r>
          </w:p>
        </w:tc>
        <w:tc>
          <w:tcPr>
            <w:tcW w:type="dxa" w:w="3180"/>
            <w:tcBorders>
              <w:top w:val="single" w:color="D9D9D9" w:sz="1"/>
              <w:left w:val="single" w:color="D9D9D9" w:sz="1"/>
              <w:bottom w:val="single" w:color="D9D9D9" w:sz="1"/>
              <w:right w:val="single" w:color="D9D9D9" w:sz="1"/>
            </w:tcBorders>
            <w:tcMar>
              <w:top w:type="dxa" w:w="70"/>
              <w:left w:type="dxa" w:w="110"/>
              <w:bottom w:type="dxa" w:w="70"/>
              <w:right w:type="dxa" w:w="110"/>
            </w:tcMar>
          </w:tcPr>
          <w:p>
            <w:pPr>
              <w:spacing w:after="0" w:line="264"/>
              <w:jc w:val="left"/>
            </w:pPr>
            <w:r>
              <w:rPr>
                <w:color w:val="14110F"/>
                <w:sz w:val="19"/>
                <w:szCs w:val="19"/>
              </w:rPr>
              <w:t xml:space="preserve">Photos present, but placeholder people</w:t>
            </w:r>
          </w:p>
        </w:tc>
      </w:tr>
      <w:tr>
        <w:tc>
          <w:tcPr>
            <w:tcW w:type="dxa" w:w="3000"/>
            <w:tcBorders>
              <w:top w:val="single" w:color="D9D9D9" w:sz="1"/>
              <w:left w:val="single" w:color="D9D9D9" w:sz="1"/>
              <w:bottom w:val="single" w:color="D9D9D9" w:sz="1"/>
              <w:right w:val="single" w:color="D9D9D9" w:sz="1"/>
            </w:tcBorders>
            <w:shd w:fill="F5F7F1" w:val="clear"/>
            <w:tcMar>
              <w:top w:type="dxa" w:w="70"/>
              <w:left w:type="dxa" w:w="110"/>
              <w:bottom w:type="dxa" w:w="70"/>
              <w:right w:type="dxa" w:w="110"/>
            </w:tcMar>
          </w:tcPr>
          <w:p>
            <w:pPr>
              <w:spacing w:after="0" w:line="264"/>
              <w:jc w:val="left"/>
            </w:pPr>
            <w:r>
              <w:rPr>
                <w:color w:val="14110F"/>
                <w:sz w:val="19"/>
                <w:szCs w:val="19"/>
              </w:rPr>
              <w:t xml:space="preserve">Awards &amp; rankings</w:t>
            </w:r>
          </w:p>
        </w:tc>
        <w:tc>
          <w:tcPr>
            <w:tcW w:type="dxa" w:w="3180"/>
            <w:tcBorders>
              <w:top w:val="single" w:color="D9D9D9" w:sz="1"/>
              <w:left w:val="single" w:color="D9D9D9" w:sz="1"/>
              <w:bottom w:val="single" w:color="D9D9D9" w:sz="1"/>
              <w:right w:val="single" w:color="D9D9D9" w:sz="1"/>
            </w:tcBorders>
            <w:shd w:fill="F5F7F1" w:val="clear"/>
            <w:tcMar>
              <w:top w:type="dxa" w:w="70"/>
              <w:left w:type="dxa" w:w="110"/>
              <w:bottom w:type="dxa" w:w="70"/>
              <w:right w:type="dxa" w:w="110"/>
            </w:tcMar>
          </w:tcPr>
          <w:p>
            <w:pPr>
              <w:spacing w:after="0" w:line="264"/>
              <w:jc w:val="left"/>
            </w:pPr>
            <w:r>
              <w:rPr>
                <w:color w:val="14110F"/>
                <w:sz w:val="19"/>
                <w:szCs w:val="19"/>
              </w:rPr>
              <w:t xml:space="preserve">Accounting Today Top 100, Best Places to Work, Great Place to Work</w:t>
            </w:r>
          </w:p>
        </w:tc>
        <w:tc>
          <w:tcPr>
            <w:tcW w:type="dxa" w:w="3180"/>
            <w:tcBorders>
              <w:top w:val="single" w:color="D9D9D9" w:sz="1"/>
              <w:left w:val="single" w:color="D9D9D9" w:sz="1"/>
              <w:bottom w:val="single" w:color="D9D9D9" w:sz="1"/>
              <w:right w:val="single" w:color="D9D9D9" w:sz="1"/>
            </w:tcBorders>
            <w:shd w:fill="F5F7F1" w:val="clear"/>
            <w:tcMar>
              <w:top w:type="dxa" w:w="70"/>
              <w:left w:type="dxa" w:w="110"/>
              <w:bottom w:type="dxa" w:w="70"/>
              <w:right w:type="dxa" w:w="110"/>
            </w:tcMar>
          </w:tcPr>
          <w:p>
            <w:pPr>
              <w:spacing w:after="0" w:line="264"/>
              <w:jc w:val="left"/>
            </w:pPr>
            <w:r>
              <w:rPr>
                <w:color w:val="14110F"/>
                <w:sz w:val="19"/>
                <w:szCs w:val="19"/>
              </w:rPr>
              <w:t xml:space="preserve">None</w:t>
            </w:r>
          </w:p>
        </w:tc>
      </w:tr>
      <w:tr>
        <w:tc>
          <w:tcPr>
            <w:tcW w:type="dxa" w:w="3000"/>
            <w:tcBorders>
              <w:top w:val="single" w:color="D9D9D9" w:sz="1"/>
              <w:left w:val="single" w:color="D9D9D9" w:sz="1"/>
              <w:bottom w:val="single" w:color="D9D9D9" w:sz="1"/>
              <w:right w:val="single" w:color="D9D9D9" w:sz="1"/>
            </w:tcBorders>
            <w:tcMar>
              <w:top w:type="dxa" w:w="70"/>
              <w:left w:type="dxa" w:w="110"/>
              <w:bottom w:type="dxa" w:w="70"/>
              <w:right w:type="dxa" w:w="110"/>
            </w:tcMar>
          </w:tcPr>
          <w:p>
            <w:pPr>
              <w:spacing w:after="0" w:line="264"/>
              <w:jc w:val="left"/>
            </w:pPr>
            <w:r>
              <w:rPr>
                <w:color w:val="14110F"/>
                <w:sz w:val="19"/>
                <w:szCs w:val="19"/>
              </w:rPr>
              <w:t xml:space="preserve">Network affiliation</w:t>
            </w:r>
          </w:p>
        </w:tc>
        <w:tc>
          <w:tcPr>
            <w:tcW w:type="dxa" w:w="3180"/>
            <w:tcBorders>
              <w:top w:val="single" w:color="D9D9D9" w:sz="1"/>
              <w:left w:val="single" w:color="D9D9D9" w:sz="1"/>
              <w:bottom w:val="single" w:color="D9D9D9" w:sz="1"/>
              <w:right w:val="single" w:color="D9D9D9" w:sz="1"/>
            </w:tcBorders>
            <w:tcMar>
              <w:top w:type="dxa" w:w="70"/>
              <w:left w:type="dxa" w:w="110"/>
              <w:bottom w:type="dxa" w:w="70"/>
              <w:right w:type="dxa" w:w="110"/>
            </w:tcMar>
          </w:tcPr>
          <w:p>
            <w:pPr>
              <w:spacing w:after="0" w:line="264"/>
              <w:jc w:val="left"/>
            </w:pPr>
            <w:r>
              <w:rPr>
                <w:color w:val="14110F"/>
                <w:sz w:val="19"/>
                <w:szCs w:val="19"/>
              </w:rPr>
              <w:t xml:space="preserve">PKF, Kreston, Moore Global, BDO Alliance — signals global reach</w:t>
            </w:r>
          </w:p>
        </w:tc>
        <w:tc>
          <w:tcPr>
            <w:tcW w:type="dxa" w:w="3180"/>
            <w:tcBorders>
              <w:top w:val="single" w:color="D9D9D9" w:sz="1"/>
              <w:left w:val="single" w:color="D9D9D9" w:sz="1"/>
              <w:bottom w:val="single" w:color="D9D9D9" w:sz="1"/>
              <w:right w:val="single" w:color="D9D9D9" w:sz="1"/>
            </w:tcBorders>
            <w:tcMar>
              <w:top w:type="dxa" w:w="70"/>
              <w:left w:type="dxa" w:w="110"/>
              <w:bottom w:type="dxa" w:w="70"/>
              <w:right w:type="dxa" w:w="110"/>
            </w:tcMar>
          </w:tcPr>
          <w:p>
            <w:pPr>
              <w:spacing w:after="0" w:line="264"/>
              <w:jc w:val="left"/>
            </w:pPr>
            <w:r>
              <w:rPr>
                <w:color w:val="14110F"/>
                <w:sz w:val="19"/>
                <w:szCs w:val="19"/>
              </w:rPr>
              <w:t xml:space="preserve">None</w:t>
            </w:r>
          </w:p>
        </w:tc>
      </w:tr>
      <w:tr>
        <w:tc>
          <w:tcPr>
            <w:tcW w:type="dxa" w:w="3000"/>
            <w:tcBorders>
              <w:top w:val="single" w:color="D9D9D9" w:sz="1"/>
              <w:left w:val="single" w:color="D9D9D9" w:sz="1"/>
              <w:bottom w:val="single" w:color="D9D9D9" w:sz="1"/>
              <w:right w:val="single" w:color="D9D9D9" w:sz="1"/>
            </w:tcBorders>
            <w:shd w:fill="F5F7F1" w:val="clear"/>
            <w:tcMar>
              <w:top w:type="dxa" w:w="70"/>
              <w:left w:type="dxa" w:w="110"/>
              <w:bottom w:type="dxa" w:w="70"/>
              <w:right w:type="dxa" w:w="110"/>
            </w:tcMar>
          </w:tcPr>
          <w:p>
            <w:pPr>
              <w:spacing w:after="0" w:line="264"/>
              <w:jc w:val="left"/>
            </w:pPr>
            <w:r>
              <w:rPr>
                <w:color w:val="14110F"/>
                <w:sz w:val="19"/>
                <w:szCs w:val="19"/>
              </w:rPr>
              <w:t xml:space="preserve">Quantified proof</w:t>
            </w:r>
          </w:p>
        </w:tc>
        <w:tc>
          <w:tcPr>
            <w:tcW w:type="dxa" w:w="3180"/>
            <w:tcBorders>
              <w:top w:val="single" w:color="D9D9D9" w:sz="1"/>
              <w:left w:val="single" w:color="D9D9D9" w:sz="1"/>
              <w:bottom w:val="single" w:color="D9D9D9" w:sz="1"/>
              <w:right w:val="single" w:color="D9D9D9" w:sz="1"/>
            </w:tcBorders>
            <w:shd w:fill="F5F7F1" w:val="clear"/>
            <w:tcMar>
              <w:top w:type="dxa" w:w="70"/>
              <w:left w:type="dxa" w:w="110"/>
              <w:bottom w:type="dxa" w:w="70"/>
              <w:right w:type="dxa" w:w="110"/>
            </w:tcMar>
          </w:tcPr>
          <w:p>
            <w:pPr>
              <w:spacing w:after="0" w:line="264"/>
              <w:jc w:val="left"/>
            </w:pPr>
            <w:r>
              <w:rPr>
                <w:color w:val="14110F"/>
                <w:sz w:val="19"/>
                <w:szCs w:val="19"/>
              </w:rPr>
              <w:t xml:space="preserve">Staff/partner counts, NPS, satisfaction %, years</w:t>
            </w:r>
          </w:p>
        </w:tc>
        <w:tc>
          <w:tcPr>
            <w:tcW w:type="dxa" w:w="3180"/>
            <w:tcBorders>
              <w:top w:val="single" w:color="D9D9D9" w:sz="1"/>
              <w:left w:val="single" w:color="D9D9D9" w:sz="1"/>
              <w:bottom w:val="single" w:color="D9D9D9" w:sz="1"/>
              <w:right w:val="single" w:color="D9D9D9" w:sz="1"/>
            </w:tcBorders>
            <w:shd w:fill="F5F7F1" w:val="clear"/>
            <w:tcMar>
              <w:top w:type="dxa" w:w="70"/>
              <w:left w:type="dxa" w:w="110"/>
              <w:bottom w:type="dxa" w:w="70"/>
              <w:right w:type="dxa" w:w="110"/>
            </w:tcMar>
          </w:tcPr>
          <w:p>
            <w:pPr>
              <w:spacing w:after="0" w:line="264"/>
              <w:jc w:val="left"/>
            </w:pPr>
            <w:r>
              <w:rPr>
                <w:color w:val="14110F"/>
                <w:sz w:val="19"/>
                <w:szCs w:val="19"/>
              </w:rPr>
              <w:t xml:space="preserve">Counters present but placeholder numbers</w:t>
            </w:r>
          </w:p>
        </w:tc>
      </w:tr>
      <w:tr>
        <w:tc>
          <w:tcPr>
            <w:tcW w:type="dxa" w:w="3000"/>
            <w:tcBorders>
              <w:top w:val="single" w:color="D9D9D9" w:sz="1"/>
              <w:left w:val="single" w:color="D9D9D9" w:sz="1"/>
              <w:bottom w:val="single" w:color="D9D9D9" w:sz="1"/>
              <w:right w:val="single" w:color="D9D9D9" w:sz="1"/>
            </w:tcBorders>
            <w:tcMar>
              <w:top w:type="dxa" w:w="70"/>
              <w:left w:type="dxa" w:w="110"/>
              <w:bottom w:type="dxa" w:w="70"/>
              <w:right w:type="dxa" w:w="110"/>
            </w:tcMar>
          </w:tcPr>
          <w:p>
            <w:pPr>
              <w:spacing w:after="0" w:line="264"/>
              <w:jc w:val="left"/>
            </w:pPr>
            <w:r>
              <w:rPr>
                <w:color w:val="14110F"/>
                <w:sz w:val="19"/>
                <w:szCs w:val="19"/>
              </w:rPr>
              <w:t xml:space="preserve">Transparency</w:t>
            </w:r>
          </w:p>
        </w:tc>
        <w:tc>
          <w:tcPr>
            <w:tcW w:type="dxa" w:w="3180"/>
            <w:tcBorders>
              <w:top w:val="single" w:color="D9D9D9" w:sz="1"/>
              <w:left w:val="single" w:color="D9D9D9" w:sz="1"/>
              <w:bottom w:val="single" w:color="D9D9D9" w:sz="1"/>
              <w:right w:val="single" w:color="D9D9D9" w:sz="1"/>
            </w:tcBorders>
            <w:tcMar>
              <w:top w:type="dxa" w:w="70"/>
              <w:left w:type="dxa" w:w="110"/>
              <w:bottom w:type="dxa" w:w="70"/>
              <w:right w:type="dxa" w:w="110"/>
            </w:tcMar>
          </w:tcPr>
          <w:p>
            <w:pPr>
              <w:spacing w:after="0" w:line="264"/>
              <w:jc w:val="left"/>
            </w:pPr>
            <w:r>
              <w:rPr>
                <w:color w:val="14110F"/>
                <w:sz w:val="19"/>
                <w:szCs w:val="19"/>
              </w:rPr>
              <w:t xml:space="preserve">Regulatory disclosures, real address, privacy</w:t>
            </w:r>
          </w:p>
        </w:tc>
        <w:tc>
          <w:tcPr>
            <w:tcW w:type="dxa" w:w="3180"/>
            <w:tcBorders>
              <w:top w:val="single" w:color="D9D9D9" w:sz="1"/>
              <w:left w:val="single" w:color="D9D9D9" w:sz="1"/>
              <w:bottom w:val="single" w:color="D9D9D9" w:sz="1"/>
              <w:right w:val="single" w:color="D9D9D9" w:sz="1"/>
            </w:tcBorders>
            <w:tcMar>
              <w:top w:type="dxa" w:w="70"/>
              <w:left w:type="dxa" w:w="110"/>
              <w:bottom w:type="dxa" w:w="70"/>
              <w:right w:type="dxa" w:w="110"/>
            </w:tcMar>
          </w:tcPr>
          <w:p>
            <w:pPr>
              <w:spacing w:after="0" w:line="264"/>
              <w:jc w:val="left"/>
            </w:pPr>
            <w:r>
              <w:rPr>
                <w:color w:val="14110F"/>
                <w:sz w:val="19"/>
                <w:szCs w:val="19"/>
              </w:rPr>
              <w:t xml:space="preserve">Placeholder contact details</w:t>
            </w:r>
          </w:p>
        </w:tc>
      </w:tr>
    </w:tbl>
    <w:p>
      <w:pPr>
        <w:spacing w:after="120"/>
      </w:pPr>
    </w:p>
    <w:p>
      <w:pPr>
        <w:spacing w:after="120" w:line="276"/>
      </w:pPr>
      <w:r>
        <w:rPr>
          <w:b/>
          <w:bCs/>
          <w:color w:val="557D27"/>
          <w:sz w:val="21"/>
          <w:szCs w:val="21"/>
        </w:rPr>
        <w:t xml:space="preserve">The good news: </w:t>
      </w:r>
      <w:r>
        <w:rPr>
          <w:color w:val="14110F"/>
          <w:sz w:val="21"/>
          <w:szCs w:val="21"/>
        </w:rPr>
        <w:t xml:space="preserve">almost every item above is achievable for a boutique — the best small firms (Gerald Edelman, Grassi, Alpha Pro) hit most of them without Big-4 scale. The fastest credibility gains for Najma are replacing placeholders with real details, adding a live Google rating, displaying the FTA tax-agent number and ISO/ACCA/Xero badges, and publishing named-client testimonials with a logo wall.</w:t>
      </w:r>
    </w:p>
    <w:p>
      <w:r>
        <w:br w:type="page"/>
      </w:r>
    </w:p>
    <w:p>
      <w:pPr>
        <w:pStyle w:val="Heading1"/>
      </w:pPr>
      <w:r>
        <w:t xml:space="preserve">7. City-by-city best-in-class</w:t>
      </w:r>
    </w:p>
    <w:p>
      <w:pPr>
        <w:pStyle w:val="Heading2"/>
      </w:pPr>
      <w:r>
        <w:t xml:space="preserve">Dubai (home market)</w:t>
      </w:r>
    </w:p>
    <w:p>
      <w:pPr>
        <w:pStyle w:val="ListParagraph"/>
        <w:numPr>
          <w:ilvl w:val="0"/>
          <w:numId w:val="2"/>
        </w:numPr>
        <w:spacing w:after="80" w:line="270"/>
      </w:pPr>
      <w:r>
        <w:rPr>
          <w:b/>
          <w:bCs/>
          <w:color w:val="14110F"/>
          <w:sz w:val="21"/>
          <w:szCs w:val="21"/>
        </w:rPr>
        <w:t xml:space="preserve">Baker Tilly UAE</w:t>
      </w:r>
      <w:r>
        <w:rPr>
          <w:color w:val="14110F"/>
          <w:sz w:val="21"/>
          <w:szCs w:val="21"/>
        </w:rPr>
        <w:t xml:space="preserve"> — cinematic hero, real insights engine, formal case studies (the aspirational standard).</w:t>
      </w:r>
    </w:p>
    <w:p>
      <w:pPr>
        <w:pStyle w:val="ListParagraph"/>
        <w:numPr>
          <w:ilvl w:val="0"/>
          <w:numId w:val="2"/>
        </w:numPr>
        <w:spacing w:after="80" w:line="270"/>
      </w:pPr>
      <w:r>
        <w:rPr>
          <w:b/>
          <w:bCs/>
          <w:color w:val="14110F"/>
          <w:sz w:val="21"/>
          <w:szCs w:val="21"/>
        </w:rPr>
        <w:t xml:space="preserve">Alpha Pro Partners</w:t>
      </w:r>
      <w:r>
        <w:rPr>
          <w:color w:val="14110F"/>
          <w:sz w:val="21"/>
          <w:szCs w:val="21"/>
        </w:rPr>
        <w:t xml:space="preserve"> — best boutique blueprint: benefit-led copy, published pricing, certification badges, named team, embedded reviews.</w:t>
      </w:r>
    </w:p>
    <w:p>
      <w:pPr>
        <w:pStyle w:val="ListParagraph"/>
        <w:numPr>
          <w:ilvl w:val="0"/>
          <w:numId w:val="2"/>
        </w:numPr>
        <w:spacing w:after="80" w:line="270"/>
      </w:pPr>
      <w:r>
        <w:rPr>
          <w:b/>
          <w:bCs/>
          <w:color w:val="14110F"/>
          <w:sz w:val="21"/>
          <w:szCs w:val="21"/>
        </w:rPr>
        <w:t xml:space="preserve">KLOUDAC</w:t>
      </w:r>
      <w:r>
        <w:rPr>
          <w:color w:val="14110F"/>
          <w:sz w:val="21"/>
          <w:szCs w:val="21"/>
        </w:rPr>
        <w:t xml:space="preserve"> — best at conversion: free setup-cost calculator, founder spotlight, real 4.9/5 rating, free-zone partner logos.</w:t>
      </w:r>
    </w:p>
    <w:p>
      <w:pPr>
        <w:pStyle w:val="ListParagraph"/>
        <w:numPr>
          <w:ilvl w:val="0"/>
          <w:numId w:val="2"/>
        </w:numPr>
        <w:spacing w:after="80" w:line="270"/>
      </w:pPr>
      <w:r>
        <w:rPr>
          <w:b/>
          <w:bCs/>
          <w:color w:val="14110F"/>
          <w:sz w:val="21"/>
          <w:szCs w:val="21"/>
        </w:rPr>
        <w:t xml:space="preserve">CLA Emirates</w:t>
      </w:r>
      <w:r>
        <w:rPr>
          <w:color w:val="14110F"/>
          <w:sz w:val="21"/>
          <w:szCs w:val="21"/>
        </w:rPr>
        <w:t xml:space="preserve"> — dated design but deep trust: named-brand testimonials, network ranking, learning hub.</w:t>
      </w:r>
    </w:p>
    <w:p>
      <w:pPr>
        <w:spacing w:after="120" w:line="276"/>
      </w:pPr>
      <w:r>
        <w:rPr>
          <w:b/>
          <w:bCs/>
          <w:color w:val="14110F"/>
          <w:sz w:val="21"/>
          <w:szCs w:val="21"/>
        </w:rPr>
        <w:t xml:space="preserve">Open gap across all of Dubai: </w:t>
      </w:r>
      <w:r>
        <w:rPr>
          <w:color w:val="14110F"/>
          <w:sz w:val="21"/>
          <w:szCs w:val="21"/>
        </w:rPr>
        <w:t xml:space="preserve">almost no firm offers genuine bilingual EN/AR content or a real insights stream — two ways Najma could leapfrog the local field.</w:t>
      </w:r>
    </w:p>
    <w:p>
      <w:pPr>
        <w:pStyle w:val="Heading2"/>
      </w:pPr>
      <w:r>
        <w:t xml:space="preserve">London (global mid-tier standard)</w:t>
      </w:r>
    </w:p>
    <w:p>
      <w:pPr>
        <w:pStyle w:val="ListParagraph"/>
        <w:numPr>
          <w:ilvl w:val="0"/>
          <w:numId w:val="2"/>
        </w:numPr>
        <w:spacing w:after="80" w:line="270"/>
      </w:pPr>
      <w:r>
        <w:rPr>
          <w:b/>
          <w:bCs/>
          <w:color w:val="14110F"/>
          <w:sz w:val="21"/>
          <w:szCs w:val="21"/>
        </w:rPr>
        <w:t xml:space="preserve">Buzzacott</w:t>
      </w:r>
      <w:r>
        <w:rPr>
          <w:color w:val="14110F"/>
          <w:sz w:val="21"/>
          <w:szCs w:val="21"/>
        </w:rPr>
        <w:t xml:space="preserve"> — a single-office boutique that looks world-class; the model for punching above your size.</w:t>
      </w:r>
    </w:p>
    <w:p>
      <w:pPr>
        <w:pStyle w:val="ListParagraph"/>
        <w:numPr>
          <w:ilvl w:val="0"/>
          <w:numId w:val="2"/>
        </w:numPr>
        <w:spacing w:after="80" w:line="270"/>
      </w:pPr>
      <w:r>
        <w:rPr>
          <w:b/>
          <w:bCs/>
          <w:color w:val="14110F"/>
          <w:sz w:val="21"/>
          <w:szCs w:val="21"/>
        </w:rPr>
        <w:t xml:space="preserve">HaysMac</w:t>
      </w:r>
      <w:r>
        <w:rPr>
          <w:color w:val="14110F"/>
          <w:sz w:val="21"/>
          <w:szCs w:val="21"/>
        </w:rPr>
        <w:t xml:space="preserve"> — memorable positioning and a partner-led trust grid.</w:t>
      </w:r>
    </w:p>
    <w:p>
      <w:pPr>
        <w:pStyle w:val="ListParagraph"/>
        <w:numPr>
          <w:ilvl w:val="0"/>
          <w:numId w:val="2"/>
        </w:numPr>
        <w:spacing w:after="80" w:line="270"/>
      </w:pPr>
      <w:r>
        <w:rPr>
          <w:b/>
          <w:bCs/>
          <w:color w:val="14110F"/>
          <w:sz w:val="21"/>
          <w:szCs w:val="21"/>
        </w:rPr>
        <w:t xml:space="preserve">Gerald Edelman</w:t>
      </w:r>
      <w:r>
        <w:rPr>
          <w:color w:val="14110F"/>
          <w:sz w:val="21"/>
          <w:szCs w:val="21"/>
        </w:rPr>
        <w:t xml:space="preserve"> — B-Corp framing, outcome statistics, named client stories, explicit regulatory transparency.</w:t>
      </w:r>
    </w:p>
    <w:p>
      <w:pPr>
        <w:pStyle w:val="ListParagraph"/>
        <w:numPr>
          <w:ilvl w:val="0"/>
          <w:numId w:val="2"/>
        </w:numPr>
        <w:spacing w:after="80" w:line="270"/>
      </w:pPr>
      <w:r>
        <w:rPr>
          <w:b/>
          <w:bCs/>
          <w:color w:val="14110F"/>
          <w:sz w:val="21"/>
          <w:szCs w:val="21"/>
        </w:rPr>
        <w:t xml:space="preserve">Evelyn Partners</w:t>
      </w:r>
      <w:r>
        <w:rPr>
          <w:color w:val="14110F"/>
          <w:sz w:val="21"/>
          <w:szCs w:val="21"/>
        </w:rPr>
        <w:t xml:space="preserve"> — premium restraint, an awards block, and conversion-focused booking CTAs.</w:t>
      </w:r>
    </w:p>
    <w:p>
      <w:pPr>
        <w:pStyle w:val="Heading2"/>
      </w:pPr>
      <w:r>
        <w:t xml:space="preserve">New York (global scale standard)</w:t>
      </w:r>
    </w:p>
    <w:p>
      <w:pPr>
        <w:pStyle w:val="ListParagraph"/>
        <w:numPr>
          <w:ilvl w:val="0"/>
          <w:numId w:val="2"/>
        </w:numPr>
        <w:spacing w:after="80" w:line="270"/>
      </w:pPr>
      <w:r>
        <w:rPr>
          <w:b/>
          <w:bCs/>
          <w:color w:val="14110F"/>
          <w:sz w:val="21"/>
          <w:szCs w:val="21"/>
        </w:rPr>
        <w:t xml:space="preserve">EisnerAmper</w:t>
      </w:r>
      <w:r>
        <w:rPr>
          <w:color w:val="14110F"/>
          <w:sz w:val="21"/>
          <w:szCs w:val="21"/>
        </w:rPr>
        <w:t xml:space="preserve"> — consultancy-grade design, relentless insights engine, gated tax guide, named case studies.</w:t>
      </w:r>
    </w:p>
    <w:p>
      <w:pPr>
        <w:pStyle w:val="ListParagraph"/>
        <w:numPr>
          <w:ilvl w:val="0"/>
          <w:numId w:val="2"/>
        </w:numPr>
        <w:spacing w:after="80" w:line="270"/>
      </w:pPr>
      <w:r>
        <w:rPr>
          <w:b/>
          <w:bCs/>
          <w:color w:val="14110F"/>
          <w:sz w:val="21"/>
          <w:szCs w:val="21"/>
        </w:rPr>
        <w:t xml:space="preserve">Grassi</w:t>
      </w:r>
      <w:r>
        <w:rPr>
          <w:color w:val="14110F"/>
          <w:sz w:val="21"/>
          <w:szCs w:val="21"/>
        </w:rPr>
        <w:t xml:space="preserve"> — ownable tagline (“Owned by Us. Focused on You.”), animated “By The Numbers” strip, topical resource hubs, “Beyond the Bio” team pages.</w:t>
      </w:r>
    </w:p>
    <w:p>
      <w:pPr>
        <w:pStyle w:val="ListParagraph"/>
        <w:numPr>
          <w:ilvl w:val="0"/>
          <w:numId w:val="2"/>
        </w:numPr>
        <w:spacing w:after="80" w:line="270"/>
      </w:pPr>
      <w:r>
        <w:rPr>
          <w:b/>
          <w:bCs/>
          <w:color w:val="14110F"/>
          <w:sz w:val="21"/>
          <w:szCs w:val="21"/>
        </w:rPr>
        <w:t xml:space="preserve">Anchin</w:t>
      </w:r>
      <w:r>
        <w:rPr>
          <w:color w:val="14110F"/>
          <w:sz w:val="21"/>
          <w:szCs w:val="21"/>
        </w:rPr>
        <w:t xml:space="preserve"> — best social proof: named testimonials and a client logo wall.</w:t>
      </w:r>
    </w:p>
    <w:p>
      <w:pPr>
        <w:pStyle w:val="ListParagraph"/>
        <w:numPr>
          <w:ilvl w:val="0"/>
          <w:numId w:val="2"/>
        </w:numPr>
        <w:spacing w:after="80" w:line="270"/>
      </w:pPr>
      <w:r>
        <w:rPr>
          <w:b/>
          <w:bCs/>
          <w:color w:val="14110F"/>
          <w:sz w:val="21"/>
          <w:szCs w:val="21"/>
        </w:rPr>
        <w:t xml:space="preserve">Withum</w:t>
      </w:r>
      <w:r>
        <w:rPr>
          <w:color w:val="14110F"/>
          <w:sz w:val="21"/>
          <w:szCs w:val="21"/>
        </w:rPr>
        <w:t xml:space="preserve"> — a single bold brand platform (“Be in a Position of Strength”) carried consistently.</w:t>
      </w:r>
    </w:p>
    <w:p>
      <w:r>
        <w:br w:type="page"/>
      </w:r>
    </w:p>
    <w:p>
      <w:pPr>
        <w:pStyle w:val="Heading1"/>
      </w:pPr>
      <w:r>
        <w:t xml:space="preserve">8. Prioritised recommendations</w:t>
      </w:r>
    </w:p>
    <w:p>
      <w:pPr>
        <w:spacing w:after="120" w:line="276"/>
      </w:pPr>
      <w:r>
        <w:rPr>
          <w:color w:val="14110F"/>
          <w:sz w:val="21"/>
          <w:szCs w:val="21"/>
        </w:rPr>
        <w:t xml:space="preserve">The path from “good-looking newcomer” to credible global-standard challenger is content and trust work, not redesign. In priority order:</w:t>
      </w:r>
    </w:p>
    <w:p>
      <w:pPr>
        <w:pStyle w:val="Heading2"/>
      </w:pPr>
      <w:r>
        <w:t xml:space="preserve">Quick wins (0–2 weeks)</w:t>
      </w:r>
    </w:p>
    <w:p>
      <w:pPr>
        <w:pStyle w:val="ListParagraph"/>
        <w:numPr>
          <w:ilvl w:val="0"/>
          <w:numId w:val="3"/>
        </w:numPr>
        <w:spacing w:after="80" w:line="270"/>
      </w:pPr>
      <w:r>
        <w:rPr>
          <w:color w:val="14110F"/>
          <w:sz w:val="21"/>
          <w:szCs w:val="21"/>
        </w:rPr>
        <w:t xml:space="preserve">Replace ALL placeholder content with real details — phone, e-mail, address, statistics and testimonials. Nothing else matters until this is done.</w:t>
      </w:r>
    </w:p>
    <w:p>
      <w:pPr>
        <w:pStyle w:val="ListParagraph"/>
        <w:numPr>
          <w:ilvl w:val="0"/>
          <w:numId w:val="3"/>
        </w:numPr>
        <w:spacing w:after="80" w:line="270"/>
      </w:pPr>
      <w:r>
        <w:rPr>
          <w:color w:val="14110F"/>
          <w:sz w:val="21"/>
          <w:szCs w:val="21"/>
        </w:rPr>
        <w:t xml:space="preserve">Add real trust badges: FTA tax-agent number, ISO 9001 (if held), ACCA/ICAI, and software-partner logos (Xero/Zoho/QuickBooks).</w:t>
      </w:r>
    </w:p>
    <w:p>
      <w:pPr>
        <w:pStyle w:val="ListParagraph"/>
        <w:numPr>
          <w:ilvl w:val="0"/>
          <w:numId w:val="3"/>
        </w:numPr>
        <w:spacing w:after="80" w:line="270"/>
      </w:pPr>
      <w:r>
        <w:rPr>
          <w:color w:val="14110F"/>
          <w:sz w:val="21"/>
          <w:szCs w:val="21"/>
        </w:rPr>
        <w:t xml:space="preserve">Display a live Google rating and review count, and add a floating WhatsApp button (Gulf convention).</w:t>
      </w:r>
    </w:p>
    <w:p>
      <w:pPr>
        <w:pStyle w:val="ListParagraph"/>
        <w:numPr>
          <w:ilvl w:val="0"/>
          <w:numId w:val="3"/>
        </w:numPr>
        <w:spacing w:after="80" w:line="270"/>
      </w:pPr>
      <w:r>
        <w:rPr>
          <w:color w:val="14110F"/>
          <w:sz w:val="21"/>
          <w:szCs w:val="21"/>
        </w:rPr>
        <w:t xml:space="preserve">Wire the contact form to a real inbox (e-mail service or Formspree) and add an enquiry auto-reply.</w:t>
      </w:r>
    </w:p>
    <w:p>
      <w:pPr>
        <w:pStyle w:val="ListParagraph"/>
        <w:numPr>
          <w:ilvl w:val="0"/>
          <w:numId w:val="3"/>
        </w:numPr>
        <w:spacing w:after="80" w:line="270"/>
      </w:pPr>
      <w:r>
        <w:rPr>
          <w:color w:val="14110F"/>
          <w:sz w:val="21"/>
          <w:szCs w:val="21"/>
        </w:rPr>
        <w:t xml:space="preserve">Add 2–3 named-client testimonials and a client logo wall.</w:t>
      </w:r>
    </w:p>
    <w:p>
      <w:pPr>
        <w:pStyle w:val="Heading2"/>
      </w:pPr>
      <w:r>
        <w:t xml:space="preserve">Medium term (1–2 months)</w:t>
      </w:r>
    </w:p>
    <w:p>
      <w:pPr>
        <w:pStyle w:val="ListParagraph"/>
        <w:numPr>
          <w:ilvl w:val="0"/>
          <w:numId w:val="3"/>
        </w:numPr>
        <w:spacing w:after="80" w:line="270"/>
      </w:pPr>
      <w:r>
        <w:rPr>
          <w:color w:val="14110F"/>
          <w:sz w:val="21"/>
          <w:szCs w:val="21"/>
        </w:rPr>
        <w:t xml:space="preserve">Launch a dated, named-author Insights hub with UAE-tax / corporate-tax / VAT articles — the single highest-impact credibility and SEO move.</w:t>
      </w:r>
    </w:p>
    <w:p>
      <w:pPr>
        <w:pStyle w:val="ListParagraph"/>
        <w:numPr>
          <w:ilvl w:val="0"/>
          <w:numId w:val="3"/>
        </w:numPr>
        <w:spacing w:after="80" w:line="270"/>
      </w:pPr>
      <w:r>
        <w:rPr>
          <w:color w:val="14110F"/>
          <w:sz w:val="21"/>
          <w:szCs w:val="21"/>
        </w:rPr>
        <w:t xml:space="preserve">Give every service its own in-depth page, and convert the industries grid into 4–6 real sector landing pages tied to the firm’s client base.</w:t>
      </w:r>
    </w:p>
    <w:p>
      <w:pPr>
        <w:pStyle w:val="ListParagraph"/>
        <w:numPr>
          <w:ilvl w:val="0"/>
          <w:numId w:val="3"/>
        </w:numPr>
        <w:spacing w:after="80" w:line="270"/>
      </w:pPr>
      <w:r>
        <w:rPr>
          <w:color w:val="14110F"/>
          <w:sz w:val="21"/>
          <w:szCs w:val="21"/>
        </w:rPr>
        <w:t xml:space="preserve">Add one free tool (VAT / Corporate-Tax or company-setup-cost calculator) and a transparent pricing or “how we work” page.</w:t>
      </w:r>
    </w:p>
    <w:p>
      <w:pPr>
        <w:pStyle w:val="ListParagraph"/>
        <w:numPr>
          <w:ilvl w:val="0"/>
          <w:numId w:val="3"/>
        </w:numPr>
        <w:spacing w:after="80" w:line="270"/>
      </w:pPr>
      <w:r>
        <w:rPr>
          <w:color w:val="14110F"/>
          <w:sz w:val="21"/>
          <w:szCs w:val="21"/>
        </w:rPr>
        <w:t xml:space="preserve">Publish real, credentialed team bios with LinkedIn links; add a humanising “beyond the bio” touch.</w:t>
      </w:r>
    </w:p>
    <w:p>
      <w:pPr>
        <w:pStyle w:val="ListParagraph"/>
        <w:numPr>
          <w:ilvl w:val="0"/>
          <w:numId w:val="3"/>
        </w:numPr>
        <w:spacing w:after="80" w:line="270"/>
      </w:pPr>
      <w:r>
        <w:rPr>
          <w:color w:val="14110F"/>
          <w:sz w:val="21"/>
          <w:szCs w:val="21"/>
        </w:rPr>
        <w:t xml:space="preserve">Add a memorable, ownable positioning line to the hero.</w:t>
      </w:r>
    </w:p>
    <w:p>
      <w:pPr>
        <w:pStyle w:val="Heading2"/>
      </w:pPr>
      <w:r>
        <w:t xml:space="preserve">Strategic (3–6 months)</w:t>
      </w:r>
    </w:p>
    <w:p>
      <w:pPr>
        <w:pStyle w:val="ListParagraph"/>
        <w:numPr>
          <w:ilvl w:val="0"/>
          <w:numId w:val="3"/>
        </w:numPr>
        <w:spacing w:after="80" w:line="270"/>
      </w:pPr>
      <w:r>
        <w:rPr>
          <w:color w:val="14110F"/>
          <w:sz w:val="21"/>
          <w:szCs w:val="21"/>
        </w:rPr>
        <w:t xml:space="preserve">Build a bilingual EN/AR version — a differentiator no Dubai competitor has taken.</w:t>
      </w:r>
    </w:p>
    <w:p>
      <w:pPr>
        <w:pStyle w:val="ListParagraph"/>
        <w:numPr>
          <w:ilvl w:val="0"/>
          <w:numId w:val="3"/>
        </w:numPr>
        <w:spacing w:after="80" w:line="270"/>
      </w:pPr>
      <w:r>
        <w:rPr>
          <w:color w:val="14110F"/>
          <w:sz w:val="21"/>
          <w:szCs w:val="21"/>
        </w:rPr>
        <w:t xml:space="preserve">Produce one flagship annual report (e.g. a “GCC SME Finance &amp; Tax Outlook”) as a gated, recurring asset.</w:t>
      </w:r>
    </w:p>
    <w:p>
      <w:pPr>
        <w:pStyle w:val="ListParagraph"/>
        <w:numPr>
          <w:ilvl w:val="0"/>
          <w:numId w:val="3"/>
        </w:numPr>
        <w:spacing w:after="80" w:line="270"/>
      </w:pPr>
      <w:r>
        <w:rPr>
          <w:color w:val="14110F"/>
          <w:sz w:val="21"/>
          <w:szCs w:val="21"/>
        </w:rPr>
        <w:t xml:space="preserve">Join an international network (Kreston, Russell Bedford, PKF, Integra, Moore Global) to signal global reach — the standard way boutiques project scale.</w:t>
      </w:r>
    </w:p>
    <w:p>
      <w:pPr>
        <w:pStyle w:val="ListParagraph"/>
        <w:numPr>
          <w:ilvl w:val="0"/>
          <w:numId w:val="3"/>
        </w:numPr>
        <w:spacing w:after="80" w:line="270"/>
      </w:pPr>
      <w:r>
        <w:rPr>
          <w:color w:val="14110F"/>
          <w:sz w:val="21"/>
          <w:szCs w:val="21"/>
        </w:rPr>
        <w:t xml:space="preserve">Add a secure client portal and online payment; publish 2–3 named case studies; submit for relevant awards.</w:t>
      </w:r>
    </w:p>
    <w:p>
      <w:pPr>
        <w:spacing w:after="120"/>
      </w:pPr>
    </w:p>
    <w:p>
      <w:pPr>
        <w:spacing w:after="120" w:line="276"/>
      </w:pPr>
      <w:r>
        <w:rPr>
          <w:b/>
          <w:bCs/>
          <w:color w:val="14110F"/>
          <w:sz w:val="21"/>
          <w:szCs w:val="21"/>
        </w:rPr>
        <w:t xml:space="preserve">Bottom line: </w:t>
      </w:r>
      <w:r>
        <w:rPr>
          <w:b/>
          <w:bCs/>
          <w:color w:val="557D27"/>
          <w:sz w:val="21"/>
          <w:szCs w:val="21"/>
        </w:rPr>
        <w:t xml:space="preserve">Najma Al Raeda’s design is already a 2026-grade asset. Invest the next phase in real content and verifiable trust, and the site will stand shoulder-to-shoulder with the best boutique firms in London and New York — and stand out clearly from its Dubai peers.</w:t>
      </w:r>
    </w:p>
    <w:p>
      <w:r>
        <w:br w:type="page"/>
      </w:r>
    </w:p>
    <w:p>
      <w:pPr>
        <w:pStyle w:val="Heading1"/>
      </w:pPr>
      <w:r>
        <w:t xml:space="preserve">Appendix: the 90 benchmarked firms</w:t>
      </w:r>
    </w:p>
    <w:p>
      <w:pPr>
        <w:pStyle w:val="Heading2"/>
      </w:pPr>
      <w:r>
        <w:t xml:space="preserve">Dubai — 30 firms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9D9D9" w:sz="1"/>
              <w:left w:val="single" w:color="D9D9D9" w:sz="1"/>
              <w:bottom w:val="single" w:color="D9D9D9" w:sz="1"/>
              <w:right w:val="single" w:color="D9D9D9" w:sz="1"/>
            </w:tcBorders>
            <w:shd w:fill="557D27" w:val="clear"/>
            <w:tcMar>
              <w:top w:type="dxa" w:w="70"/>
              <w:left w:type="dxa" w:w="110"/>
              <w:bottom w:type="dxa" w:w="70"/>
              <w:right w:type="dxa" w:w="110"/>
            </w:tcMar>
          </w:tcPr>
          <w:p>
            <w:pPr>
              <w:spacing w:after="0" w:line="264"/>
              <w:jc w:val="left"/>
            </w:pPr>
            <w:r>
              <w:rPr>
                <w:b/>
                <w:bCs/>
                <w:color w:val="FFFFFF"/>
                <w:sz w:val="19"/>
                <w:szCs w:val="19"/>
              </w:rPr>
              <w:t xml:space="preserve">Firm</w:t>
            </w:r>
          </w:p>
        </w:tc>
        <w:tc>
          <w:tcPr>
            <w:tcW w:type="dxa" w:w="4680"/>
            <w:tcBorders>
              <w:top w:val="single" w:color="D9D9D9" w:sz="1"/>
              <w:left w:val="single" w:color="D9D9D9" w:sz="1"/>
              <w:bottom w:val="single" w:color="D9D9D9" w:sz="1"/>
              <w:right w:val="single" w:color="D9D9D9" w:sz="1"/>
            </w:tcBorders>
            <w:shd w:fill="557D27" w:val="clear"/>
            <w:tcMar>
              <w:top w:type="dxa" w:w="70"/>
              <w:left w:type="dxa" w:w="110"/>
              <w:bottom w:type="dxa" w:w="70"/>
              <w:right w:type="dxa" w:w="110"/>
            </w:tcMar>
          </w:tcPr>
          <w:p>
            <w:pPr>
              <w:spacing w:after="0" w:line="264"/>
              <w:jc w:val="left"/>
            </w:pPr>
            <w:r>
              <w:rPr>
                <w:b/>
                <w:bCs/>
                <w:color w:val="FFFFFF"/>
                <w:sz w:val="19"/>
                <w:szCs w:val="19"/>
              </w:rPr>
              <w:t xml:space="preserve">Positioning</w:t>
            </w:r>
          </w:p>
        </w:tc>
      </w:tr>
      <w:tr>
        <w:tc>
          <w:tcPr>
            <w:tcW w:type="dxa" w:w="4680"/>
            <w:tcBorders>
              <w:top w:val="single" w:color="D9D9D9" w:sz="1"/>
              <w:left w:val="single" w:color="D9D9D9" w:sz="1"/>
              <w:bottom w:val="single" w:color="D9D9D9" w:sz="1"/>
              <w:right w:val="single" w:color="D9D9D9" w:sz="1"/>
            </w:tcBorders>
            <w:tcMar>
              <w:top w:type="dxa" w:w="70"/>
              <w:left w:type="dxa" w:w="110"/>
              <w:bottom w:type="dxa" w:w="70"/>
              <w:right w:type="dxa" w:w="110"/>
            </w:tcMar>
          </w:tcPr>
          <w:p>
            <w:pPr>
              <w:spacing w:after="0" w:line="264"/>
              <w:jc w:val="left"/>
            </w:pPr>
            <w:r>
              <w:rPr>
                <w:b/>
                <w:bCs/>
                <w:color w:val="14110F"/>
                <w:sz w:val="18"/>
                <w:szCs w:val="18"/>
              </w:rPr>
              <w:t xml:space="preserve">Deloitte Middle East</w:t>
            </w:r>
          </w:p>
        </w:tc>
        <w:tc>
          <w:tcPr>
            <w:tcW w:type="dxa" w:w="4680"/>
            <w:tcBorders>
              <w:top w:val="single" w:color="D9D9D9" w:sz="1"/>
              <w:left w:val="single" w:color="D9D9D9" w:sz="1"/>
              <w:bottom w:val="single" w:color="D9D9D9" w:sz="1"/>
              <w:right w:val="single" w:color="D9D9D9" w:sz="1"/>
            </w:tcBorders>
            <w:tcMar>
              <w:top w:type="dxa" w:w="70"/>
              <w:left w:type="dxa" w:w="110"/>
              <w:bottom w:type="dxa" w:w="70"/>
              <w:right w:type="dxa" w:w="110"/>
            </w:tcMar>
          </w:tcPr>
          <w:p>
            <w:pPr>
              <w:spacing w:after="0" w:line="264"/>
              <w:jc w:val="left"/>
            </w:pPr>
            <w:r>
              <w:rPr>
                <w:b w:val="false"/>
                <w:bCs w:val="false"/>
                <w:color w:val="14110F"/>
                <w:sz w:val="18"/>
                <w:szCs w:val="18"/>
              </w:rPr>
              <w:t xml:space="preserve">Big 4</w:t>
            </w:r>
          </w:p>
        </w:tc>
      </w:tr>
      <w:tr>
        <w:tc>
          <w:tcPr>
            <w:tcW w:type="dxa" w:w="4680"/>
            <w:tcBorders>
              <w:top w:val="single" w:color="D9D9D9" w:sz="1"/>
              <w:left w:val="single" w:color="D9D9D9" w:sz="1"/>
              <w:bottom w:val="single" w:color="D9D9D9" w:sz="1"/>
              <w:right w:val="single" w:color="D9D9D9" w:sz="1"/>
            </w:tcBorders>
            <w:shd w:fill="F5F7F1" w:val="clear"/>
            <w:tcMar>
              <w:top w:type="dxa" w:w="70"/>
              <w:left w:type="dxa" w:w="110"/>
              <w:bottom w:type="dxa" w:w="70"/>
              <w:right w:type="dxa" w:w="110"/>
            </w:tcMar>
          </w:tcPr>
          <w:p>
            <w:pPr>
              <w:spacing w:after="0" w:line="264"/>
              <w:jc w:val="left"/>
            </w:pPr>
            <w:r>
              <w:rPr>
                <w:b/>
                <w:bCs/>
                <w:color w:val="14110F"/>
                <w:sz w:val="18"/>
                <w:szCs w:val="18"/>
              </w:rPr>
              <w:t xml:space="preserve">PwC Middle East</w:t>
            </w:r>
          </w:p>
        </w:tc>
        <w:tc>
          <w:tcPr>
            <w:tcW w:type="dxa" w:w="4680"/>
            <w:tcBorders>
              <w:top w:val="single" w:color="D9D9D9" w:sz="1"/>
              <w:left w:val="single" w:color="D9D9D9" w:sz="1"/>
              <w:bottom w:val="single" w:color="D9D9D9" w:sz="1"/>
              <w:right w:val="single" w:color="D9D9D9" w:sz="1"/>
            </w:tcBorders>
            <w:shd w:fill="F5F7F1" w:val="clear"/>
            <w:tcMar>
              <w:top w:type="dxa" w:w="70"/>
              <w:left w:type="dxa" w:w="110"/>
              <w:bottom w:type="dxa" w:w="70"/>
              <w:right w:type="dxa" w:w="110"/>
            </w:tcMar>
          </w:tcPr>
          <w:p>
            <w:pPr>
              <w:spacing w:after="0" w:line="264"/>
              <w:jc w:val="left"/>
            </w:pPr>
            <w:r>
              <w:rPr>
                <w:b w:val="false"/>
                <w:bCs w:val="false"/>
                <w:color w:val="14110F"/>
                <w:sz w:val="18"/>
                <w:szCs w:val="18"/>
              </w:rPr>
              <w:t xml:space="preserve">Big 4</w:t>
            </w:r>
          </w:p>
        </w:tc>
      </w:tr>
      <w:tr>
        <w:tc>
          <w:tcPr>
            <w:tcW w:type="dxa" w:w="4680"/>
            <w:tcBorders>
              <w:top w:val="single" w:color="D9D9D9" w:sz="1"/>
              <w:left w:val="single" w:color="D9D9D9" w:sz="1"/>
              <w:bottom w:val="single" w:color="D9D9D9" w:sz="1"/>
              <w:right w:val="single" w:color="D9D9D9" w:sz="1"/>
            </w:tcBorders>
            <w:tcMar>
              <w:top w:type="dxa" w:w="70"/>
              <w:left w:type="dxa" w:w="110"/>
              <w:bottom w:type="dxa" w:w="70"/>
              <w:right w:type="dxa" w:w="110"/>
            </w:tcMar>
          </w:tcPr>
          <w:p>
            <w:pPr>
              <w:spacing w:after="0" w:line="264"/>
              <w:jc w:val="left"/>
            </w:pPr>
            <w:r>
              <w:rPr>
                <w:b/>
                <w:bCs/>
                <w:color w:val="14110F"/>
                <w:sz w:val="18"/>
                <w:szCs w:val="18"/>
              </w:rPr>
              <w:t xml:space="preserve">EY UAE</w:t>
            </w:r>
          </w:p>
        </w:tc>
        <w:tc>
          <w:tcPr>
            <w:tcW w:type="dxa" w:w="4680"/>
            <w:tcBorders>
              <w:top w:val="single" w:color="D9D9D9" w:sz="1"/>
              <w:left w:val="single" w:color="D9D9D9" w:sz="1"/>
              <w:bottom w:val="single" w:color="D9D9D9" w:sz="1"/>
              <w:right w:val="single" w:color="D9D9D9" w:sz="1"/>
            </w:tcBorders>
            <w:tcMar>
              <w:top w:type="dxa" w:w="70"/>
              <w:left w:type="dxa" w:w="110"/>
              <w:bottom w:type="dxa" w:w="70"/>
              <w:right w:type="dxa" w:w="110"/>
            </w:tcMar>
          </w:tcPr>
          <w:p>
            <w:pPr>
              <w:spacing w:after="0" w:line="264"/>
              <w:jc w:val="left"/>
            </w:pPr>
            <w:r>
              <w:rPr>
                <w:b w:val="false"/>
                <w:bCs w:val="false"/>
                <w:color w:val="14110F"/>
                <w:sz w:val="18"/>
                <w:szCs w:val="18"/>
              </w:rPr>
              <w:t xml:space="preserve">Big 4</w:t>
            </w:r>
          </w:p>
        </w:tc>
      </w:tr>
      <w:tr>
        <w:tc>
          <w:tcPr>
            <w:tcW w:type="dxa" w:w="4680"/>
            <w:tcBorders>
              <w:top w:val="single" w:color="D9D9D9" w:sz="1"/>
              <w:left w:val="single" w:color="D9D9D9" w:sz="1"/>
              <w:bottom w:val="single" w:color="D9D9D9" w:sz="1"/>
              <w:right w:val="single" w:color="D9D9D9" w:sz="1"/>
            </w:tcBorders>
            <w:shd w:fill="F5F7F1" w:val="clear"/>
            <w:tcMar>
              <w:top w:type="dxa" w:w="70"/>
              <w:left w:type="dxa" w:w="110"/>
              <w:bottom w:type="dxa" w:w="70"/>
              <w:right w:type="dxa" w:w="110"/>
            </w:tcMar>
          </w:tcPr>
          <w:p>
            <w:pPr>
              <w:spacing w:after="0" w:line="264"/>
              <w:jc w:val="left"/>
            </w:pPr>
            <w:r>
              <w:rPr>
                <w:b/>
                <w:bCs/>
                <w:color w:val="14110F"/>
                <w:sz w:val="18"/>
                <w:szCs w:val="18"/>
              </w:rPr>
              <w:t xml:space="preserve">KPMG Lower Gulf</w:t>
            </w:r>
          </w:p>
        </w:tc>
        <w:tc>
          <w:tcPr>
            <w:tcW w:type="dxa" w:w="4680"/>
            <w:tcBorders>
              <w:top w:val="single" w:color="D9D9D9" w:sz="1"/>
              <w:left w:val="single" w:color="D9D9D9" w:sz="1"/>
              <w:bottom w:val="single" w:color="D9D9D9" w:sz="1"/>
              <w:right w:val="single" w:color="D9D9D9" w:sz="1"/>
            </w:tcBorders>
            <w:shd w:fill="F5F7F1" w:val="clear"/>
            <w:tcMar>
              <w:top w:type="dxa" w:w="70"/>
              <w:left w:type="dxa" w:w="110"/>
              <w:bottom w:type="dxa" w:w="70"/>
              <w:right w:type="dxa" w:w="110"/>
            </w:tcMar>
          </w:tcPr>
          <w:p>
            <w:pPr>
              <w:spacing w:after="0" w:line="264"/>
              <w:jc w:val="left"/>
            </w:pPr>
            <w:r>
              <w:rPr>
                <w:b w:val="false"/>
                <w:bCs w:val="false"/>
                <w:color w:val="14110F"/>
                <w:sz w:val="18"/>
                <w:szCs w:val="18"/>
              </w:rPr>
              <w:t xml:space="preserve">Big 4</w:t>
            </w:r>
          </w:p>
        </w:tc>
      </w:tr>
      <w:tr>
        <w:tc>
          <w:tcPr>
            <w:tcW w:type="dxa" w:w="4680"/>
            <w:tcBorders>
              <w:top w:val="single" w:color="D9D9D9" w:sz="1"/>
              <w:left w:val="single" w:color="D9D9D9" w:sz="1"/>
              <w:bottom w:val="single" w:color="D9D9D9" w:sz="1"/>
              <w:right w:val="single" w:color="D9D9D9" w:sz="1"/>
            </w:tcBorders>
            <w:tcMar>
              <w:top w:type="dxa" w:w="70"/>
              <w:left w:type="dxa" w:w="110"/>
              <w:bottom w:type="dxa" w:w="70"/>
              <w:right w:type="dxa" w:w="110"/>
            </w:tcMar>
          </w:tcPr>
          <w:p>
            <w:pPr>
              <w:spacing w:after="0" w:line="264"/>
              <w:jc w:val="left"/>
            </w:pPr>
            <w:r>
              <w:rPr>
                <w:b/>
                <w:bCs/>
                <w:color w:val="14110F"/>
                <w:sz w:val="18"/>
                <w:szCs w:val="18"/>
              </w:rPr>
              <w:t xml:space="preserve">Grant Thornton UAE</w:t>
            </w:r>
          </w:p>
        </w:tc>
        <w:tc>
          <w:tcPr>
            <w:tcW w:type="dxa" w:w="4680"/>
            <w:tcBorders>
              <w:top w:val="single" w:color="D9D9D9" w:sz="1"/>
              <w:left w:val="single" w:color="D9D9D9" w:sz="1"/>
              <w:bottom w:val="single" w:color="D9D9D9" w:sz="1"/>
              <w:right w:val="single" w:color="D9D9D9" w:sz="1"/>
            </w:tcBorders>
            <w:tcMar>
              <w:top w:type="dxa" w:w="70"/>
              <w:left w:type="dxa" w:w="110"/>
              <w:bottom w:type="dxa" w:w="70"/>
              <w:right w:type="dxa" w:w="110"/>
            </w:tcMar>
          </w:tcPr>
          <w:p>
            <w:pPr>
              <w:spacing w:after="0" w:line="264"/>
              <w:jc w:val="left"/>
            </w:pPr>
            <w:r>
              <w:rPr>
                <w:b w:val="false"/>
                <w:bCs w:val="false"/>
                <w:color w:val="14110F"/>
                <w:sz w:val="18"/>
                <w:szCs w:val="18"/>
              </w:rPr>
              <w:t xml:space="preserve">Global network, mid-market</w:t>
            </w:r>
          </w:p>
        </w:tc>
      </w:tr>
      <w:tr>
        <w:tc>
          <w:tcPr>
            <w:tcW w:type="dxa" w:w="4680"/>
            <w:tcBorders>
              <w:top w:val="single" w:color="D9D9D9" w:sz="1"/>
              <w:left w:val="single" w:color="D9D9D9" w:sz="1"/>
              <w:bottom w:val="single" w:color="D9D9D9" w:sz="1"/>
              <w:right w:val="single" w:color="D9D9D9" w:sz="1"/>
            </w:tcBorders>
            <w:shd w:fill="F5F7F1" w:val="clear"/>
            <w:tcMar>
              <w:top w:type="dxa" w:w="70"/>
              <w:left w:type="dxa" w:w="110"/>
              <w:bottom w:type="dxa" w:w="70"/>
              <w:right w:type="dxa" w:w="110"/>
            </w:tcMar>
          </w:tcPr>
          <w:p>
            <w:pPr>
              <w:spacing w:after="0" w:line="264"/>
              <w:jc w:val="left"/>
            </w:pPr>
            <w:r>
              <w:rPr>
                <w:b/>
                <w:bCs/>
                <w:color w:val="14110F"/>
                <w:sz w:val="18"/>
                <w:szCs w:val="18"/>
              </w:rPr>
              <w:t xml:space="preserve">BDO UAE</w:t>
            </w:r>
          </w:p>
        </w:tc>
        <w:tc>
          <w:tcPr>
            <w:tcW w:type="dxa" w:w="4680"/>
            <w:tcBorders>
              <w:top w:val="single" w:color="D9D9D9" w:sz="1"/>
              <w:left w:val="single" w:color="D9D9D9" w:sz="1"/>
              <w:bottom w:val="single" w:color="D9D9D9" w:sz="1"/>
              <w:right w:val="single" w:color="D9D9D9" w:sz="1"/>
            </w:tcBorders>
            <w:shd w:fill="F5F7F1" w:val="clear"/>
            <w:tcMar>
              <w:top w:type="dxa" w:w="70"/>
              <w:left w:type="dxa" w:w="110"/>
              <w:bottom w:type="dxa" w:w="70"/>
              <w:right w:type="dxa" w:w="110"/>
            </w:tcMar>
          </w:tcPr>
          <w:p>
            <w:pPr>
              <w:spacing w:after="0" w:line="264"/>
              <w:jc w:val="left"/>
            </w:pPr>
            <w:r>
              <w:rPr>
                <w:b w:val="false"/>
                <w:bCs w:val="false"/>
                <w:color w:val="14110F"/>
                <w:sz w:val="18"/>
                <w:szCs w:val="18"/>
              </w:rPr>
              <w:t xml:space="preserve">Mid-tier network</w:t>
            </w:r>
          </w:p>
        </w:tc>
      </w:tr>
      <w:tr>
        <w:tc>
          <w:tcPr>
            <w:tcW w:type="dxa" w:w="4680"/>
            <w:tcBorders>
              <w:top w:val="single" w:color="D9D9D9" w:sz="1"/>
              <w:left w:val="single" w:color="D9D9D9" w:sz="1"/>
              <w:bottom w:val="single" w:color="D9D9D9" w:sz="1"/>
              <w:right w:val="single" w:color="D9D9D9" w:sz="1"/>
            </w:tcBorders>
            <w:tcMar>
              <w:top w:type="dxa" w:w="70"/>
              <w:left w:type="dxa" w:w="110"/>
              <w:bottom w:type="dxa" w:w="70"/>
              <w:right w:type="dxa" w:w="110"/>
            </w:tcMar>
          </w:tcPr>
          <w:p>
            <w:pPr>
              <w:spacing w:after="0" w:line="264"/>
              <w:jc w:val="left"/>
            </w:pPr>
            <w:r>
              <w:rPr>
                <w:b/>
                <w:bCs/>
                <w:color w:val="14110F"/>
                <w:sz w:val="18"/>
                <w:szCs w:val="18"/>
              </w:rPr>
              <w:t xml:space="preserve">Crowe UAE</w:t>
            </w:r>
          </w:p>
        </w:tc>
        <w:tc>
          <w:tcPr>
            <w:tcW w:type="dxa" w:w="4680"/>
            <w:tcBorders>
              <w:top w:val="single" w:color="D9D9D9" w:sz="1"/>
              <w:left w:val="single" w:color="D9D9D9" w:sz="1"/>
              <w:bottom w:val="single" w:color="D9D9D9" w:sz="1"/>
              <w:right w:val="single" w:color="D9D9D9" w:sz="1"/>
            </w:tcBorders>
            <w:tcMar>
              <w:top w:type="dxa" w:w="70"/>
              <w:left w:type="dxa" w:w="110"/>
              <w:bottom w:type="dxa" w:w="70"/>
              <w:right w:type="dxa" w:w="110"/>
            </w:tcMar>
          </w:tcPr>
          <w:p>
            <w:pPr>
              <w:spacing w:after="0" w:line="264"/>
              <w:jc w:val="left"/>
            </w:pPr>
            <w:r>
              <w:rPr>
                <w:b w:val="false"/>
                <w:bCs w:val="false"/>
                <w:color w:val="14110F"/>
                <w:sz w:val="18"/>
                <w:szCs w:val="18"/>
              </w:rPr>
              <w:t xml:space="preserve">Top-10 network</w:t>
            </w:r>
          </w:p>
        </w:tc>
      </w:tr>
      <w:tr>
        <w:tc>
          <w:tcPr>
            <w:tcW w:type="dxa" w:w="4680"/>
            <w:tcBorders>
              <w:top w:val="single" w:color="D9D9D9" w:sz="1"/>
              <w:left w:val="single" w:color="D9D9D9" w:sz="1"/>
              <w:bottom w:val="single" w:color="D9D9D9" w:sz="1"/>
              <w:right w:val="single" w:color="D9D9D9" w:sz="1"/>
            </w:tcBorders>
            <w:shd w:fill="F5F7F1" w:val="clear"/>
            <w:tcMar>
              <w:top w:type="dxa" w:w="70"/>
              <w:left w:type="dxa" w:w="110"/>
              <w:bottom w:type="dxa" w:w="70"/>
              <w:right w:type="dxa" w:w="110"/>
            </w:tcMar>
          </w:tcPr>
          <w:p>
            <w:pPr>
              <w:spacing w:after="0" w:line="264"/>
              <w:jc w:val="left"/>
            </w:pPr>
            <w:r>
              <w:rPr>
                <w:b/>
                <w:bCs/>
                <w:color w:val="14110F"/>
                <w:sz w:val="18"/>
                <w:szCs w:val="18"/>
              </w:rPr>
              <w:t xml:space="preserve">RSM UAE</w:t>
            </w:r>
          </w:p>
        </w:tc>
        <w:tc>
          <w:tcPr>
            <w:tcW w:type="dxa" w:w="4680"/>
            <w:tcBorders>
              <w:top w:val="single" w:color="D9D9D9" w:sz="1"/>
              <w:left w:val="single" w:color="D9D9D9" w:sz="1"/>
              <w:bottom w:val="single" w:color="D9D9D9" w:sz="1"/>
              <w:right w:val="single" w:color="D9D9D9" w:sz="1"/>
            </w:tcBorders>
            <w:shd w:fill="F5F7F1" w:val="clear"/>
            <w:tcMar>
              <w:top w:type="dxa" w:w="70"/>
              <w:left w:type="dxa" w:w="110"/>
              <w:bottom w:type="dxa" w:w="70"/>
              <w:right w:type="dxa" w:w="110"/>
            </w:tcMar>
          </w:tcPr>
          <w:p>
            <w:pPr>
              <w:spacing w:after="0" w:line="264"/>
              <w:jc w:val="left"/>
            </w:pPr>
            <w:r>
              <w:rPr>
                <w:b w:val="false"/>
                <w:bCs w:val="false"/>
                <w:color w:val="14110F"/>
                <w:sz w:val="18"/>
                <w:szCs w:val="18"/>
              </w:rPr>
              <w:t xml:space="preserve">Top-6 network</w:t>
            </w:r>
          </w:p>
        </w:tc>
      </w:tr>
      <w:tr>
        <w:tc>
          <w:tcPr>
            <w:tcW w:type="dxa" w:w="4680"/>
            <w:tcBorders>
              <w:top w:val="single" w:color="D9D9D9" w:sz="1"/>
              <w:left w:val="single" w:color="D9D9D9" w:sz="1"/>
              <w:bottom w:val="single" w:color="D9D9D9" w:sz="1"/>
              <w:right w:val="single" w:color="D9D9D9" w:sz="1"/>
            </w:tcBorders>
            <w:tcMar>
              <w:top w:type="dxa" w:w="70"/>
              <w:left w:type="dxa" w:w="110"/>
              <w:bottom w:type="dxa" w:w="70"/>
              <w:right w:type="dxa" w:w="110"/>
            </w:tcMar>
          </w:tcPr>
          <w:p>
            <w:pPr>
              <w:spacing w:after="0" w:line="264"/>
              <w:jc w:val="left"/>
            </w:pPr>
            <w:r>
              <w:rPr>
                <w:b/>
                <w:bCs/>
                <w:color w:val="14110F"/>
                <w:sz w:val="18"/>
                <w:szCs w:val="18"/>
              </w:rPr>
              <w:t xml:space="preserve">Baker Tilly UAE</w:t>
            </w:r>
          </w:p>
        </w:tc>
        <w:tc>
          <w:tcPr>
            <w:tcW w:type="dxa" w:w="4680"/>
            <w:tcBorders>
              <w:top w:val="single" w:color="D9D9D9" w:sz="1"/>
              <w:left w:val="single" w:color="D9D9D9" w:sz="1"/>
              <w:bottom w:val="single" w:color="D9D9D9" w:sz="1"/>
              <w:right w:val="single" w:color="D9D9D9" w:sz="1"/>
            </w:tcBorders>
            <w:tcMar>
              <w:top w:type="dxa" w:w="70"/>
              <w:left w:type="dxa" w:w="110"/>
              <w:bottom w:type="dxa" w:w="70"/>
              <w:right w:type="dxa" w:w="110"/>
            </w:tcMar>
          </w:tcPr>
          <w:p>
            <w:pPr>
              <w:spacing w:after="0" w:line="264"/>
              <w:jc w:val="left"/>
            </w:pPr>
            <w:r>
              <w:rPr>
                <w:b w:val="false"/>
                <w:bCs w:val="false"/>
                <w:color w:val="14110F"/>
                <w:sz w:val="18"/>
                <w:szCs w:val="18"/>
              </w:rPr>
              <w:t xml:space="preserve">Network; best-in-class site</w:t>
            </w:r>
          </w:p>
        </w:tc>
      </w:tr>
      <w:tr>
        <w:tc>
          <w:tcPr>
            <w:tcW w:type="dxa" w:w="4680"/>
            <w:tcBorders>
              <w:top w:val="single" w:color="D9D9D9" w:sz="1"/>
              <w:left w:val="single" w:color="D9D9D9" w:sz="1"/>
              <w:bottom w:val="single" w:color="D9D9D9" w:sz="1"/>
              <w:right w:val="single" w:color="D9D9D9" w:sz="1"/>
            </w:tcBorders>
            <w:shd w:fill="F5F7F1" w:val="clear"/>
            <w:tcMar>
              <w:top w:type="dxa" w:w="70"/>
              <w:left w:type="dxa" w:w="110"/>
              <w:bottom w:type="dxa" w:w="70"/>
              <w:right w:type="dxa" w:w="110"/>
            </w:tcMar>
          </w:tcPr>
          <w:p>
            <w:pPr>
              <w:spacing w:after="0" w:line="264"/>
              <w:jc w:val="left"/>
            </w:pPr>
            <w:r>
              <w:rPr>
                <w:b/>
                <w:bCs/>
                <w:color w:val="14110F"/>
                <w:sz w:val="18"/>
                <w:szCs w:val="18"/>
              </w:rPr>
              <w:t xml:space="preserve">Forvis Mazars UAE</w:t>
            </w:r>
          </w:p>
        </w:tc>
        <w:tc>
          <w:tcPr>
            <w:tcW w:type="dxa" w:w="4680"/>
            <w:tcBorders>
              <w:top w:val="single" w:color="D9D9D9" w:sz="1"/>
              <w:left w:val="single" w:color="D9D9D9" w:sz="1"/>
              <w:bottom w:val="single" w:color="D9D9D9" w:sz="1"/>
              <w:right w:val="single" w:color="D9D9D9" w:sz="1"/>
            </w:tcBorders>
            <w:shd w:fill="F5F7F1" w:val="clear"/>
            <w:tcMar>
              <w:top w:type="dxa" w:w="70"/>
              <w:left w:type="dxa" w:w="110"/>
              <w:bottom w:type="dxa" w:w="70"/>
              <w:right w:type="dxa" w:w="110"/>
            </w:tcMar>
          </w:tcPr>
          <w:p>
            <w:pPr>
              <w:spacing w:after="0" w:line="264"/>
              <w:jc w:val="left"/>
            </w:pPr>
            <w:r>
              <w:rPr>
                <w:b w:val="false"/>
                <w:bCs w:val="false"/>
                <w:color w:val="14110F"/>
                <w:sz w:val="18"/>
                <w:szCs w:val="18"/>
              </w:rPr>
              <w:t xml:space="preserve">Integrated global network</w:t>
            </w:r>
          </w:p>
        </w:tc>
      </w:tr>
      <w:tr>
        <w:tc>
          <w:tcPr>
            <w:tcW w:type="dxa" w:w="4680"/>
            <w:tcBorders>
              <w:top w:val="single" w:color="D9D9D9" w:sz="1"/>
              <w:left w:val="single" w:color="D9D9D9" w:sz="1"/>
              <w:bottom w:val="single" w:color="D9D9D9" w:sz="1"/>
              <w:right w:val="single" w:color="D9D9D9" w:sz="1"/>
            </w:tcBorders>
            <w:tcMar>
              <w:top w:type="dxa" w:w="70"/>
              <w:left w:type="dxa" w:w="110"/>
              <w:bottom w:type="dxa" w:w="70"/>
              <w:right w:type="dxa" w:w="110"/>
            </w:tcMar>
          </w:tcPr>
          <w:p>
            <w:pPr>
              <w:spacing w:after="0" w:line="264"/>
              <w:jc w:val="left"/>
            </w:pPr>
            <w:r>
              <w:rPr>
                <w:b/>
                <w:bCs/>
                <w:color w:val="14110F"/>
                <w:sz w:val="18"/>
                <w:szCs w:val="18"/>
              </w:rPr>
              <w:t xml:space="preserve">Nexia UAE</w:t>
            </w:r>
          </w:p>
        </w:tc>
        <w:tc>
          <w:tcPr>
            <w:tcW w:type="dxa" w:w="4680"/>
            <w:tcBorders>
              <w:top w:val="single" w:color="D9D9D9" w:sz="1"/>
              <w:left w:val="single" w:color="D9D9D9" w:sz="1"/>
              <w:bottom w:val="single" w:color="D9D9D9" w:sz="1"/>
              <w:right w:val="single" w:color="D9D9D9" w:sz="1"/>
            </w:tcBorders>
            <w:tcMar>
              <w:top w:type="dxa" w:w="70"/>
              <w:left w:type="dxa" w:w="110"/>
              <w:bottom w:type="dxa" w:w="70"/>
              <w:right w:type="dxa" w:w="110"/>
            </w:tcMar>
          </w:tcPr>
          <w:p>
            <w:pPr>
              <w:spacing w:after="0" w:line="264"/>
              <w:jc w:val="left"/>
            </w:pPr>
            <w:r>
              <w:rPr>
                <w:b w:val="false"/>
                <w:bCs w:val="false"/>
                <w:color w:val="14110F"/>
                <w:sz w:val="18"/>
                <w:szCs w:val="18"/>
              </w:rPr>
              <w:t xml:space="preserve">Network member</w:t>
            </w:r>
          </w:p>
        </w:tc>
      </w:tr>
      <w:tr>
        <w:tc>
          <w:tcPr>
            <w:tcW w:type="dxa" w:w="4680"/>
            <w:tcBorders>
              <w:top w:val="single" w:color="D9D9D9" w:sz="1"/>
              <w:left w:val="single" w:color="D9D9D9" w:sz="1"/>
              <w:bottom w:val="single" w:color="D9D9D9" w:sz="1"/>
              <w:right w:val="single" w:color="D9D9D9" w:sz="1"/>
            </w:tcBorders>
            <w:shd w:fill="F5F7F1" w:val="clear"/>
            <w:tcMar>
              <w:top w:type="dxa" w:w="70"/>
              <w:left w:type="dxa" w:w="110"/>
              <w:bottom w:type="dxa" w:w="70"/>
              <w:right w:type="dxa" w:w="110"/>
            </w:tcMar>
          </w:tcPr>
          <w:p>
            <w:pPr>
              <w:spacing w:after="0" w:line="264"/>
              <w:jc w:val="left"/>
            </w:pPr>
            <w:r>
              <w:rPr>
                <w:b/>
                <w:bCs/>
                <w:color w:val="14110F"/>
                <w:sz w:val="18"/>
                <w:szCs w:val="18"/>
              </w:rPr>
              <w:t xml:space="preserve">PKF UAE</w:t>
            </w:r>
          </w:p>
        </w:tc>
        <w:tc>
          <w:tcPr>
            <w:tcW w:type="dxa" w:w="4680"/>
            <w:tcBorders>
              <w:top w:val="single" w:color="D9D9D9" w:sz="1"/>
              <w:left w:val="single" w:color="D9D9D9" w:sz="1"/>
              <w:bottom w:val="single" w:color="D9D9D9" w:sz="1"/>
              <w:right w:val="single" w:color="D9D9D9" w:sz="1"/>
            </w:tcBorders>
            <w:shd w:fill="F5F7F1" w:val="clear"/>
            <w:tcMar>
              <w:top w:type="dxa" w:w="70"/>
              <w:left w:type="dxa" w:w="110"/>
              <w:bottom w:type="dxa" w:w="70"/>
              <w:right w:type="dxa" w:w="110"/>
            </w:tcMar>
          </w:tcPr>
          <w:p>
            <w:pPr>
              <w:spacing w:after="0" w:line="264"/>
              <w:jc w:val="left"/>
            </w:pPr>
            <w:r>
              <w:rPr>
                <w:b w:val="false"/>
                <w:bCs w:val="false"/>
                <w:color w:val="14110F"/>
                <w:sz w:val="18"/>
                <w:szCs w:val="18"/>
              </w:rPr>
              <w:t xml:space="preserve">Network member</w:t>
            </w:r>
          </w:p>
        </w:tc>
      </w:tr>
      <w:tr>
        <w:tc>
          <w:tcPr>
            <w:tcW w:type="dxa" w:w="4680"/>
            <w:tcBorders>
              <w:top w:val="single" w:color="D9D9D9" w:sz="1"/>
              <w:left w:val="single" w:color="D9D9D9" w:sz="1"/>
              <w:bottom w:val="single" w:color="D9D9D9" w:sz="1"/>
              <w:right w:val="single" w:color="D9D9D9" w:sz="1"/>
            </w:tcBorders>
            <w:tcMar>
              <w:top w:type="dxa" w:w="70"/>
              <w:left w:type="dxa" w:w="110"/>
              <w:bottom w:type="dxa" w:w="70"/>
              <w:right w:type="dxa" w:w="110"/>
            </w:tcMar>
          </w:tcPr>
          <w:p>
            <w:pPr>
              <w:spacing w:after="0" w:line="264"/>
              <w:jc w:val="left"/>
            </w:pPr>
            <w:r>
              <w:rPr>
                <w:b/>
                <w:bCs/>
                <w:color w:val="14110F"/>
                <w:sz w:val="18"/>
                <w:szCs w:val="18"/>
              </w:rPr>
              <w:t xml:space="preserve">HLB HAMT</w:t>
            </w:r>
          </w:p>
        </w:tc>
        <w:tc>
          <w:tcPr>
            <w:tcW w:type="dxa" w:w="4680"/>
            <w:tcBorders>
              <w:top w:val="single" w:color="D9D9D9" w:sz="1"/>
              <w:left w:val="single" w:color="D9D9D9" w:sz="1"/>
              <w:bottom w:val="single" w:color="D9D9D9" w:sz="1"/>
              <w:right w:val="single" w:color="D9D9D9" w:sz="1"/>
            </w:tcBorders>
            <w:tcMar>
              <w:top w:type="dxa" w:w="70"/>
              <w:left w:type="dxa" w:w="110"/>
              <w:bottom w:type="dxa" w:w="70"/>
              <w:right w:type="dxa" w:w="110"/>
            </w:tcMar>
          </w:tcPr>
          <w:p>
            <w:pPr>
              <w:spacing w:after="0" w:line="264"/>
              <w:jc w:val="left"/>
            </w:pPr>
            <w:r>
              <w:rPr>
                <w:b w:val="false"/>
                <w:bCs w:val="false"/>
                <w:color w:val="14110F"/>
                <w:sz w:val="18"/>
                <w:szCs w:val="18"/>
              </w:rPr>
              <w:t xml:space="preserve">HLB member; SME verticals</w:t>
            </w:r>
          </w:p>
        </w:tc>
      </w:tr>
      <w:tr>
        <w:tc>
          <w:tcPr>
            <w:tcW w:type="dxa" w:w="4680"/>
            <w:tcBorders>
              <w:top w:val="single" w:color="D9D9D9" w:sz="1"/>
              <w:left w:val="single" w:color="D9D9D9" w:sz="1"/>
              <w:bottom w:val="single" w:color="D9D9D9" w:sz="1"/>
              <w:right w:val="single" w:color="D9D9D9" w:sz="1"/>
            </w:tcBorders>
            <w:shd w:fill="F5F7F1" w:val="clear"/>
            <w:tcMar>
              <w:top w:type="dxa" w:w="70"/>
              <w:left w:type="dxa" w:w="110"/>
              <w:bottom w:type="dxa" w:w="70"/>
              <w:right w:type="dxa" w:w="110"/>
            </w:tcMar>
          </w:tcPr>
          <w:p>
            <w:pPr>
              <w:spacing w:after="0" w:line="264"/>
              <w:jc w:val="left"/>
            </w:pPr>
            <w:r>
              <w:rPr>
                <w:b/>
                <w:bCs/>
                <w:color w:val="14110F"/>
                <w:sz w:val="18"/>
                <w:szCs w:val="18"/>
              </w:rPr>
              <w:t xml:space="preserve">CLA Emirates</w:t>
            </w:r>
          </w:p>
        </w:tc>
        <w:tc>
          <w:tcPr>
            <w:tcW w:type="dxa" w:w="4680"/>
            <w:tcBorders>
              <w:top w:val="single" w:color="D9D9D9" w:sz="1"/>
              <w:left w:val="single" w:color="D9D9D9" w:sz="1"/>
              <w:bottom w:val="single" w:color="D9D9D9" w:sz="1"/>
              <w:right w:val="single" w:color="D9D9D9" w:sz="1"/>
            </w:tcBorders>
            <w:shd w:fill="F5F7F1" w:val="clear"/>
            <w:tcMar>
              <w:top w:type="dxa" w:w="70"/>
              <w:left w:type="dxa" w:w="110"/>
              <w:bottom w:type="dxa" w:w="70"/>
              <w:right w:type="dxa" w:w="110"/>
            </w:tcMar>
          </w:tcPr>
          <w:p>
            <w:pPr>
              <w:spacing w:after="0" w:line="264"/>
              <w:jc w:val="left"/>
            </w:pPr>
            <w:r>
              <w:rPr>
                <w:b w:val="false"/>
                <w:bCs w:val="false"/>
                <w:color w:val="14110F"/>
                <w:sz w:val="18"/>
                <w:szCs w:val="18"/>
              </w:rPr>
              <w:t xml:space="preserve">CLA Global; deep trust content</w:t>
            </w:r>
          </w:p>
        </w:tc>
      </w:tr>
      <w:tr>
        <w:tc>
          <w:tcPr>
            <w:tcW w:type="dxa" w:w="4680"/>
            <w:tcBorders>
              <w:top w:val="single" w:color="D9D9D9" w:sz="1"/>
              <w:left w:val="single" w:color="D9D9D9" w:sz="1"/>
              <w:bottom w:val="single" w:color="D9D9D9" w:sz="1"/>
              <w:right w:val="single" w:color="D9D9D9" w:sz="1"/>
            </w:tcBorders>
            <w:tcMar>
              <w:top w:type="dxa" w:w="70"/>
              <w:left w:type="dxa" w:w="110"/>
              <w:bottom w:type="dxa" w:w="70"/>
              <w:right w:type="dxa" w:w="110"/>
            </w:tcMar>
          </w:tcPr>
          <w:p>
            <w:pPr>
              <w:spacing w:after="0" w:line="264"/>
              <w:jc w:val="left"/>
            </w:pPr>
            <w:r>
              <w:rPr>
                <w:b/>
                <w:bCs/>
                <w:color w:val="14110F"/>
                <w:sz w:val="18"/>
                <w:szCs w:val="18"/>
              </w:rPr>
              <w:t xml:space="preserve">MBG Corporate Services</w:t>
            </w:r>
          </w:p>
        </w:tc>
        <w:tc>
          <w:tcPr>
            <w:tcW w:type="dxa" w:w="4680"/>
            <w:tcBorders>
              <w:top w:val="single" w:color="D9D9D9" w:sz="1"/>
              <w:left w:val="single" w:color="D9D9D9" w:sz="1"/>
              <w:bottom w:val="single" w:color="D9D9D9" w:sz="1"/>
              <w:right w:val="single" w:color="D9D9D9" w:sz="1"/>
            </w:tcBorders>
            <w:tcMar>
              <w:top w:type="dxa" w:w="70"/>
              <w:left w:type="dxa" w:w="110"/>
              <w:bottom w:type="dxa" w:w="70"/>
              <w:right w:type="dxa" w:w="110"/>
            </w:tcMar>
          </w:tcPr>
          <w:p>
            <w:pPr>
              <w:spacing w:after="0" w:line="264"/>
              <w:jc w:val="left"/>
            </w:pPr>
            <w:r>
              <w:rPr>
                <w:b w:val="false"/>
                <w:bCs w:val="false"/>
                <w:color w:val="14110F"/>
                <w:sz w:val="18"/>
                <w:szCs w:val="18"/>
              </w:rPr>
              <w:t xml:space="preserve">350+ pros; tax agency</w:t>
            </w:r>
          </w:p>
        </w:tc>
      </w:tr>
      <w:tr>
        <w:tc>
          <w:tcPr>
            <w:tcW w:type="dxa" w:w="4680"/>
            <w:tcBorders>
              <w:top w:val="single" w:color="D9D9D9" w:sz="1"/>
              <w:left w:val="single" w:color="D9D9D9" w:sz="1"/>
              <w:bottom w:val="single" w:color="D9D9D9" w:sz="1"/>
              <w:right w:val="single" w:color="D9D9D9" w:sz="1"/>
            </w:tcBorders>
            <w:shd w:fill="F5F7F1" w:val="clear"/>
            <w:tcMar>
              <w:top w:type="dxa" w:w="70"/>
              <w:left w:type="dxa" w:w="110"/>
              <w:bottom w:type="dxa" w:w="70"/>
              <w:right w:type="dxa" w:w="110"/>
            </w:tcMar>
          </w:tcPr>
          <w:p>
            <w:pPr>
              <w:spacing w:after="0" w:line="264"/>
              <w:jc w:val="left"/>
            </w:pPr>
            <w:r>
              <w:rPr>
                <w:b/>
                <w:bCs/>
                <w:color w:val="14110F"/>
                <w:sz w:val="18"/>
                <w:szCs w:val="18"/>
              </w:rPr>
              <w:t xml:space="preserve">Farahat &amp; Co</w:t>
            </w:r>
          </w:p>
        </w:tc>
        <w:tc>
          <w:tcPr>
            <w:tcW w:type="dxa" w:w="4680"/>
            <w:tcBorders>
              <w:top w:val="single" w:color="D9D9D9" w:sz="1"/>
              <w:left w:val="single" w:color="D9D9D9" w:sz="1"/>
              <w:bottom w:val="single" w:color="D9D9D9" w:sz="1"/>
              <w:right w:val="single" w:color="D9D9D9" w:sz="1"/>
            </w:tcBorders>
            <w:shd w:fill="F5F7F1" w:val="clear"/>
            <w:tcMar>
              <w:top w:type="dxa" w:w="70"/>
              <w:left w:type="dxa" w:w="110"/>
              <w:bottom w:type="dxa" w:w="70"/>
              <w:right w:type="dxa" w:w="110"/>
            </w:tcMar>
          </w:tcPr>
          <w:p>
            <w:pPr>
              <w:spacing w:after="0" w:line="264"/>
              <w:jc w:val="left"/>
            </w:pPr>
            <w:r>
              <w:rPr>
                <w:b w:val="false"/>
                <w:bCs w:val="false"/>
                <w:color w:val="14110F"/>
                <w:sz w:val="18"/>
                <w:szCs w:val="18"/>
              </w:rPr>
              <w:t xml:space="preserve">Since 1985; 4.9★ reviews</w:t>
            </w:r>
          </w:p>
        </w:tc>
      </w:tr>
      <w:tr>
        <w:tc>
          <w:tcPr>
            <w:tcW w:type="dxa" w:w="4680"/>
            <w:tcBorders>
              <w:top w:val="single" w:color="D9D9D9" w:sz="1"/>
              <w:left w:val="single" w:color="D9D9D9" w:sz="1"/>
              <w:bottom w:val="single" w:color="D9D9D9" w:sz="1"/>
              <w:right w:val="single" w:color="D9D9D9" w:sz="1"/>
            </w:tcBorders>
            <w:tcMar>
              <w:top w:type="dxa" w:w="70"/>
              <w:left w:type="dxa" w:w="110"/>
              <w:bottom w:type="dxa" w:w="70"/>
              <w:right w:type="dxa" w:w="110"/>
            </w:tcMar>
          </w:tcPr>
          <w:p>
            <w:pPr>
              <w:spacing w:after="0" w:line="264"/>
              <w:jc w:val="left"/>
            </w:pPr>
            <w:r>
              <w:rPr>
                <w:b/>
                <w:bCs/>
                <w:color w:val="14110F"/>
                <w:sz w:val="18"/>
                <w:szCs w:val="18"/>
              </w:rPr>
              <w:t xml:space="preserve">Jitendra (JCA)</w:t>
            </w:r>
          </w:p>
        </w:tc>
        <w:tc>
          <w:tcPr>
            <w:tcW w:type="dxa" w:w="4680"/>
            <w:tcBorders>
              <w:top w:val="single" w:color="D9D9D9" w:sz="1"/>
              <w:left w:val="single" w:color="D9D9D9" w:sz="1"/>
              <w:bottom w:val="single" w:color="D9D9D9" w:sz="1"/>
              <w:right w:val="single" w:color="D9D9D9" w:sz="1"/>
            </w:tcBorders>
            <w:tcMar>
              <w:top w:type="dxa" w:w="70"/>
              <w:left w:type="dxa" w:w="110"/>
              <w:bottom w:type="dxa" w:w="70"/>
              <w:right w:type="dxa" w:w="110"/>
            </w:tcMar>
          </w:tcPr>
          <w:p>
            <w:pPr>
              <w:spacing w:after="0" w:line="264"/>
              <w:jc w:val="left"/>
            </w:pPr>
            <w:r>
              <w:rPr>
                <w:b w:val="false"/>
                <w:bCs w:val="false"/>
                <w:color w:val="14110F"/>
                <w:sz w:val="18"/>
                <w:szCs w:val="18"/>
              </w:rPr>
              <w:t xml:space="preserve">Est. 2001; audit/tax/setup</w:t>
            </w:r>
          </w:p>
        </w:tc>
      </w:tr>
      <w:tr>
        <w:tc>
          <w:tcPr>
            <w:tcW w:type="dxa" w:w="4680"/>
            <w:tcBorders>
              <w:top w:val="single" w:color="D9D9D9" w:sz="1"/>
              <w:left w:val="single" w:color="D9D9D9" w:sz="1"/>
              <w:bottom w:val="single" w:color="D9D9D9" w:sz="1"/>
              <w:right w:val="single" w:color="D9D9D9" w:sz="1"/>
            </w:tcBorders>
            <w:shd w:fill="F5F7F1" w:val="clear"/>
            <w:tcMar>
              <w:top w:type="dxa" w:w="70"/>
              <w:left w:type="dxa" w:w="110"/>
              <w:bottom w:type="dxa" w:w="70"/>
              <w:right w:type="dxa" w:w="110"/>
            </w:tcMar>
          </w:tcPr>
          <w:p>
            <w:pPr>
              <w:spacing w:after="0" w:line="264"/>
              <w:jc w:val="left"/>
            </w:pPr>
            <w:r>
              <w:rPr>
                <w:b/>
                <w:bCs/>
                <w:color w:val="14110F"/>
                <w:sz w:val="18"/>
                <w:szCs w:val="18"/>
              </w:rPr>
              <w:t xml:space="preserve">KGRN Chartered Accountants</w:t>
            </w:r>
          </w:p>
        </w:tc>
        <w:tc>
          <w:tcPr>
            <w:tcW w:type="dxa" w:w="4680"/>
            <w:tcBorders>
              <w:top w:val="single" w:color="D9D9D9" w:sz="1"/>
              <w:left w:val="single" w:color="D9D9D9" w:sz="1"/>
              <w:bottom w:val="single" w:color="D9D9D9" w:sz="1"/>
              <w:right w:val="single" w:color="D9D9D9" w:sz="1"/>
            </w:tcBorders>
            <w:shd w:fill="F5F7F1" w:val="clear"/>
            <w:tcMar>
              <w:top w:type="dxa" w:w="70"/>
              <w:left w:type="dxa" w:w="110"/>
              <w:bottom w:type="dxa" w:w="70"/>
              <w:right w:type="dxa" w:w="110"/>
            </w:tcMar>
          </w:tcPr>
          <w:p>
            <w:pPr>
              <w:spacing w:after="0" w:line="264"/>
              <w:jc w:val="left"/>
            </w:pPr>
            <w:r>
              <w:rPr>
                <w:b w:val="false"/>
                <w:bCs w:val="false"/>
                <w:color w:val="14110F"/>
                <w:sz w:val="18"/>
                <w:szCs w:val="18"/>
              </w:rPr>
              <w:t xml:space="preserve">Integra member; ~100 staff</w:t>
            </w:r>
          </w:p>
        </w:tc>
      </w:tr>
      <w:tr>
        <w:tc>
          <w:tcPr>
            <w:tcW w:type="dxa" w:w="4680"/>
            <w:tcBorders>
              <w:top w:val="single" w:color="D9D9D9" w:sz="1"/>
              <w:left w:val="single" w:color="D9D9D9" w:sz="1"/>
              <w:bottom w:val="single" w:color="D9D9D9" w:sz="1"/>
              <w:right w:val="single" w:color="D9D9D9" w:sz="1"/>
            </w:tcBorders>
            <w:tcMar>
              <w:top w:type="dxa" w:w="70"/>
              <w:left w:type="dxa" w:w="110"/>
              <w:bottom w:type="dxa" w:w="70"/>
              <w:right w:type="dxa" w:w="110"/>
            </w:tcMar>
          </w:tcPr>
          <w:p>
            <w:pPr>
              <w:spacing w:after="0" w:line="264"/>
              <w:jc w:val="left"/>
            </w:pPr>
            <w:r>
              <w:rPr>
                <w:b/>
                <w:bCs/>
                <w:color w:val="14110F"/>
                <w:sz w:val="18"/>
                <w:szCs w:val="18"/>
              </w:rPr>
              <w:t xml:space="preserve">AMCA</w:t>
            </w:r>
          </w:p>
        </w:tc>
        <w:tc>
          <w:tcPr>
            <w:tcW w:type="dxa" w:w="4680"/>
            <w:tcBorders>
              <w:top w:val="single" w:color="D9D9D9" w:sz="1"/>
              <w:left w:val="single" w:color="D9D9D9" w:sz="1"/>
              <w:bottom w:val="single" w:color="D9D9D9" w:sz="1"/>
              <w:right w:val="single" w:color="D9D9D9" w:sz="1"/>
            </w:tcBorders>
            <w:tcMar>
              <w:top w:type="dxa" w:w="70"/>
              <w:left w:type="dxa" w:w="110"/>
              <w:bottom w:type="dxa" w:w="70"/>
              <w:right w:type="dxa" w:w="110"/>
            </w:tcMar>
          </w:tcPr>
          <w:p>
            <w:pPr>
              <w:spacing w:after="0" w:line="264"/>
              <w:jc w:val="left"/>
            </w:pPr>
            <w:r>
              <w:rPr>
                <w:b w:val="false"/>
                <w:bCs w:val="false"/>
                <w:color w:val="14110F"/>
                <w:sz w:val="18"/>
                <w:szCs w:val="18"/>
              </w:rPr>
              <w:t xml:space="preserve">Audit/advisory + formation</w:t>
            </w:r>
          </w:p>
        </w:tc>
      </w:tr>
      <w:tr>
        <w:tc>
          <w:tcPr>
            <w:tcW w:type="dxa" w:w="4680"/>
            <w:tcBorders>
              <w:top w:val="single" w:color="D9D9D9" w:sz="1"/>
              <w:left w:val="single" w:color="D9D9D9" w:sz="1"/>
              <w:bottom w:val="single" w:color="D9D9D9" w:sz="1"/>
              <w:right w:val="single" w:color="D9D9D9" w:sz="1"/>
            </w:tcBorders>
            <w:shd w:fill="F5F7F1" w:val="clear"/>
            <w:tcMar>
              <w:top w:type="dxa" w:w="70"/>
              <w:left w:type="dxa" w:w="110"/>
              <w:bottom w:type="dxa" w:w="70"/>
              <w:right w:type="dxa" w:w="110"/>
            </w:tcMar>
          </w:tcPr>
          <w:p>
            <w:pPr>
              <w:spacing w:after="0" w:line="264"/>
              <w:jc w:val="left"/>
            </w:pPr>
            <w:r>
              <w:rPr>
                <w:b/>
                <w:bCs/>
                <w:color w:val="14110F"/>
                <w:sz w:val="18"/>
                <w:szCs w:val="18"/>
              </w:rPr>
              <w:t xml:space="preserve">A&amp;A Associate</w:t>
            </w:r>
          </w:p>
        </w:tc>
        <w:tc>
          <w:tcPr>
            <w:tcW w:type="dxa" w:w="4680"/>
            <w:tcBorders>
              <w:top w:val="single" w:color="D9D9D9" w:sz="1"/>
              <w:left w:val="single" w:color="D9D9D9" w:sz="1"/>
              <w:bottom w:val="single" w:color="D9D9D9" w:sz="1"/>
              <w:right w:val="single" w:color="D9D9D9" w:sz="1"/>
            </w:tcBorders>
            <w:shd w:fill="F5F7F1" w:val="clear"/>
            <w:tcMar>
              <w:top w:type="dxa" w:w="70"/>
              <w:left w:type="dxa" w:w="110"/>
              <w:bottom w:type="dxa" w:w="70"/>
              <w:right w:type="dxa" w:w="110"/>
            </w:tcMar>
          </w:tcPr>
          <w:p>
            <w:pPr>
              <w:spacing w:after="0" w:line="264"/>
              <w:jc w:val="left"/>
            </w:pPr>
            <w:r>
              <w:rPr>
                <w:b w:val="false"/>
                <w:bCs w:val="false"/>
                <w:color w:val="14110F"/>
                <w:sz w:val="18"/>
                <w:szCs w:val="18"/>
              </w:rPr>
              <w:t xml:space="preserve">SME packages; setup</w:t>
            </w:r>
          </w:p>
        </w:tc>
      </w:tr>
      <w:tr>
        <w:tc>
          <w:tcPr>
            <w:tcW w:type="dxa" w:w="4680"/>
            <w:tcBorders>
              <w:top w:val="single" w:color="D9D9D9" w:sz="1"/>
              <w:left w:val="single" w:color="D9D9D9" w:sz="1"/>
              <w:bottom w:val="single" w:color="D9D9D9" w:sz="1"/>
              <w:right w:val="single" w:color="D9D9D9" w:sz="1"/>
            </w:tcBorders>
            <w:tcMar>
              <w:top w:type="dxa" w:w="70"/>
              <w:left w:type="dxa" w:w="110"/>
              <w:bottom w:type="dxa" w:w="70"/>
              <w:right w:type="dxa" w:w="110"/>
            </w:tcMar>
          </w:tcPr>
          <w:p>
            <w:pPr>
              <w:spacing w:after="0" w:line="264"/>
              <w:jc w:val="left"/>
            </w:pPr>
            <w:r>
              <w:rPr>
                <w:b/>
                <w:bCs/>
                <w:color w:val="14110F"/>
                <w:sz w:val="18"/>
                <w:szCs w:val="18"/>
              </w:rPr>
              <w:t xml:space="preserve">Adam Global</w:t>
            </w:r>
          </w:p>
        </w:tc>
        <w:tc>
          <w:tcPr>
            <w:tcW w:type="dxa" w:w="4680"/>
            <w:tcBorders>
              <w:top w:val="single" w:color="D9D9D9" w:sz="1"/>
              <w:left w:val="single" w:color="D9D9D9" w:sz="1"/>
              <w:bottom w:val="single" w:color="D9D9D9" w:sz="1"/>
              <w:right w:val="single" w:color="D9D9D9" w:sz="1"/>
            </w:tcBorders>
            <w:tcMar>
              <w:top w:type="dxa" w:w="70"/>
              <w:left w:type="dxa" w:w="110"/>
              <w:bottom w:type="dxa" w:w="70"/>
              <w:right w:type="dxa" w:w="110"/>
            </w:tcMar>
          </w:tcPr>
          <w:p>
            <w:pPr>
              <w:spacing w:after="0" w:line="264"/>
              <w:jc w:val="left"/>
            </w:pPr>
            <w:r>
              <w:rPr>
                <w:b w:val="false"/>
                <w:bCs w:val="false"/>
                <w:color w:val="14110F"/>
                <w:sz w:val="18"/>
                <w:szCs w:val="18"/>
              </w:rPr>
              <w:t xml:space="preserve">Since 2002; advisory/IP</w:t>
            </w:r>
          </w:p>
        </w:tc>
      </w:tr>
      <w:tr>
        <w:tc>
          <w:tcPr>
            <w:tcW w:type="dxa" w:w="4680"/>
            <w:tcBorders>
              <w:top w:val="single" w:color="D9D9D9" w:sz="1"/>
              <w:left w:val="single" w:color="D9D9D9" w:sz="1"/>
              <w:bottom w:val="single" w:color="D9D9D9" w:sz="1"/>
              <w:right w:val="single" w:color="D9D9D9" w:sz="1"/>
            </w:tcBorders>
            <w:shd w:fill="F5F7F1" w:val="clear"/>
            <w:tcMar>
              <w:top w:type="dxa" w:w="70"/>
              <w:left w:type="dxa" w:w="110"/>
              <w:bottom w:type="dxa" w:w="70"/>
              <w:right w:type="dxa" w:w="110"/>
            </w:tcMar>
          </w:tcPr>
          <w:p>
            <w:pPr>
              <w:spacing w:after="0" w:line="264"/>
              <w:jc w:val="left"/>
            </w:pPr>
            <w:r>
              <w:rPr>
                <w:b/>
                <w:bCs/>
                <w:color w:val="14110F"/>
                <w:sz w:val="18"/>
                <w:szCs w:val="18"/>
              </w:rPr>
              <w:t xml:space="preserve">BMS Auditing</w:t>
            </w:r>
          </w:p>
        </w:tc>
        <w:tc>
          <w:tcPr>
            <w:tcW w:type="dxa" w:w="4680"/>
            <w:tcBorders>
              <w:top w:val="single" w:color="D9D9D9" w:sz="1"/>
              <w:left w:val="single" w:color="D9D9D9" w:sz="1"/>
              <w:bottom w:val="single" w:color="D9D9D9" w:sz="1"/>
              <w:right w:val="single" w:color="D9D9D9" w:sz="1"/>
            </w:tcBorders>
            <w:shd w:fill="F5F7F1" w:val="clear"/>
            <w:tcMar>
              <w:top w:type="dxa" w:w="70"/>
              <w:left w:type="dxa" w:w="110"/>
              <w:bottom w:type="dxa" w:w="70"/>
              <w:right w:type="dxa" w:w="110"/>
            </w:tcMar>
          </w:tcPr>
          <w:p>
            <w:pPr>
              <w:spacing w:after="0" w:line="264"/>
              <w:jc w:val="left"/>
            </w:pPr>
            <w:r>
              <w:rPr>
                <w:b w:val="false"/>
                <w:bCs w:val="false"/>
                <w:color w:val="14110F"/>
                <w:sz w:val="18"/>
                <w:szCs w:val="18"/>
              </w:rPr>
              <w:t xml:space="preserve">Since 2011; IFRS/GAAP</w:t>
            </w:r>
          </w:p>
        </w:tc>
      </w:tr>
      <w:tr>
        <w:tc>
          <w:tcPr>
            <w:tcW w:type="dxa" w:w="4680"/>
            <w:tcBorders>
              <w:top w:val="single" w:color="D9D9D9" w:sz="1"/>
              <w:left w:val="single" w:color="D9D9D9" w:sz="1"/>
              <w:bottom w:val="single" w:color="D9D9D9" w:sz="1"/>
              <w:right w:val="single" w:color="D9D9D9" w:sz="1"/>
            </w:tcBorders>
            <w:tcMar>
              <w:top w:type="dxa" w:w="70"/>
              <w:left w:type="dxa" w:w="110"/>
              <w:bottom w:type="dxa" w:w="70"/>
              <w:right w:type="dxa" w:w="110"/>
            </w:tcMar>
          </w:tcPr>
          <w:p>
            <w:pPr>
              <w:spacing w:after="0" w:line="264"/>
              <w:jc w:val="left"/>
            </w:pPr>
            <w:r>
              <w:rPr>
                <w:b/>
                <w:bCs/>
                <w:color w:val="14110F"/>
                <w:sz w:val="18"/>
                <w:szCs w:val="18"/>
              </w:rPr>
              <w:t xml:space="preserve">Reyson Badger</w:t>
            </w:r>
          </w:p>
        </w:tc>
        <w:tc>
          <w:tcPr>
            <w:tcW w:type="dxa" w:w="4680"/>
            <w:tcBorders>
              <w:top w:val="single" w:color="D9D9D9" w:sz="1"/>
              <w:left w:val="single" w:color="D9D9D9" w:sz="1"/>
              <w:bottom w:val="single" w:color="D9D9D9" w:sz="1"/>
              <w:right w:val="single" w:color="D9D9D9" w:sz="1"/>
            </w:tcBorders>
            <w:tcMar>
              <w:top w:type="dxa" w:w="70"/>
              <w:left w:type="dxa" w:w="110"/>
              <w:bottom w:type="dxa" w:w="70"/>
              <w:right w:type="dxa" w:w="110"/>
            </w:tcMar>
          </w:tcPr>
          <w:p>
            <w:pPr>
              <w:spacing w:after="0" w:line="264"/>
              <w:jc w:val="left"/>
            </w:pPr>
            <w:r>
              <w:rPr>
                <w:b w:val="false"/>
                <w:bCs w:val="false"/>
                <w:color w:val="14110F"/>
                <w:sz w:val="18"/>
                <w:szCs w:val="18"/>
              </w:rPr>
              <w:t xml:space="preserve">Audit/VAT/CT/forensic</w:t>
            </w:r>
          </w:p>
        </w:tc>
      </w:tr>
      <w:tr>
        <w:tc>
          <w:tcPr>
            <w:tcW w:type="dxa" w:w="4680"/>
            <w:tcBorders>
              <w:top w:val="single" w:color="D9D9D9" w:sz="1"/>
              <w:left w:val="single" w:color="D9D9D9" w:sz="1"/>
              <w:bottom w:val="single" w:color="D9D9D9" w:sz="1"/>
              <w:right w:val="single" w:color="D9D9D9" w:sz="1"/>
            </w:tcBorders>
            <w:shd w:fill="F5F7F1" w:val="clear"/>
            <w:tcMar>
              <w:top w:type="dxa" w:w="70"/>
              <w:left w:type="dxa" w:w="110"/>
              <w:bottom w:type="dxa" w:w="70"/>
              <w:right w:type="dxa" w:w="110"/>
            </w:tcMar>
          </w:tcPr>
          <w:p>
            <w:pPr>
              <w:spacing w:after="0" w:line="264"/>
              <w:jc w:val="left"/>
            </w:pPr>
            <w:r>
              <w:rPr>
                <w:b/>
                <w:bCs/>
                <w:color w:val="14110F"/>
                <w:sz w:val="18"/>
                <w:szCs w:val="18"/>
              </w:rPr>
              <w:t xml:space="preserve">N R Doshi &amp; Partners</w:t>
            </w:r>
          </w:p>
        </w:tc>
        <w:tc>
          <w:tcPr>
            <w:tcW w:type="dxa" w:w="4680"/>
            <w:tcBorders>
              <w:top w:val="single" w:color="D9D9D9" w:sz="1"/>
              <w:left w:val="single" w:color="D9D9D9" w:sz="1"/>
              <w:bottom w:val="single" w:color="D9D9D9" w:sz="1"/>
              <w:right w:val="single" w:color="D9D9D9" w:sz="1"/>
            </w:tcBorders>
            <w:shd w:fill="F5F7F1" w:val="clear"/>
            <w:tcMar>
              <w:top w:type="dxa" w:w="70"/>
              <w:left w:type="dxa" w:w="110"/>
              <w:bottom w:type="dxa" w:w="70"/>
              <w:right w:type="dxa" w:w="110"/>
            </w:tcMar>
          </w:tcPr>
          <w:p>
            <w:pPr>
              <w:spacing w:after="0" w:line="264"/>
              <w:jc w:val="left"/>
            </w:pPr>
            <w:r>
              <w:rPr>
                <w:b w:val="false"/>
                <w:bCs w:val="false"/>
                <w:color w:val="14110F"/>
                <w:sz w:val="18"/>
                <w:szCs w:val="18"/>
              </w:rPr>
              <w:t xml:space="preserve">Established mid-tier</w:t>
            </w:r>
          </w:p>
        </w:tc>
      </w:tr>
      <w:tr>
        <w:tc>
          <w:tcPr>
            <w:tcW w:type="dxa" w:w="4680"/>
            <w:tcBorders>
              <w:top w:val="single" w:color="D9D9D9" w:sz="1"/>
              <w:left w:val="single" w:color="D9D9D9" w:sz="1"/>
              <w:bottom w:val="single" w:color="D9D9D9" w:sz="1"/>
              <w:right w:val="single" w:color="D9D9D9" w:sz="1"/>
            </w:tcBorders>
            <w:tcMar>
              <w:top w:type="dxa" w:w="70"/>
              <w:left w:type="dxa" w:w="110"/>
              <w:bottom w:type="dxa" w:w="70"/>
              <w:right w:type="dxa" w:w="110"/>
            </w:tcMar>
          </w:tcPr>
          <w:p>
            <w:pPr>
              <w:spacing w:after="0" w:line="264"/>
              <w:jc w:val="left"/>
            </w:pPr>
            <w:r>
              <w:rPr>
                <w:b/>
                <w:bCs/>
                <w:color w:val="14110F"/>
                <w:sz w:val="18"/>
                <w:szCs w:val="18"/>
              </w:rPr>
              <w:t xml:space="preserve">KLOUDAC</w:t>
            </w:r>
          </w:p>
        </w:tc>
        <w:tc>
          <w:tcPr>
            <w:tcW w:type="dxa" w:w="4680"/>
            <w:tcBorders>
              <w:top w:val="single" w:color="D9D9D9" w:sz="1"/>
              <w:left w:val="single" w:color="D9D9D9" w:sz="1"/>
              <w:bottom w:val="single" w:color="D9D9D9" w:sz="1"/>
              <w:right w:val="single" w:color="D9D9D9" w:sz="1"/>
            </w:tcBorders>
            <w:tcMar>
              <w:top w:type="dxa" w:w="70"/>
              <w:left w:type="dxa" w:w="110"/>
              <w:bottom w:type="dxa" w:w="70"/>
              <w:right w:type="dxa" w:w="110"/>
            </w:tcMar>
          </w:tcPr>
          <w:p>
            <w:pPr>
              <w:spacing w:after="0" w:line="264"/>
              <w:jc w:val="left"/>
            </w:pPr>
            <w:r>
              <w:rPr>
                <w:b w:val="false"/>
                <w:bCs w:val="false"/>
                <w:color w:val="14110F"/>
                <w:sz w:val="18"/>
                <w:szCs w:val="18"/>
              </w:rPr>
              <w:t xml:space="preserve">SME; Xero Gold; calculator</w:t>
            </w:r>
          </w:p>
        </w:tc>
      </w:tr>
      <w:tr>
        <w:tc>
          <w:tcPr>
            <w:tcW w:type="dxa" w:w="4680"/>
            <w:tcBorders>
              <w:top w:val="single" w:color="D9D9D9" w:sz="1"/>
              <w:left w:val="single" w:color="D9D9D9" w:sz="1"/>
              <w:bottom w:val="single" w:color="D9D9D9" w:sz="1"/>
              <w:right w:val="single" w:color="D9D9D9" w:sz="1"/>
            </w:tcBorders>
            <w:shd w:fill="F5F7F1" w:val="clear"/>
            <w:tcMar>
              <w:top w:type="dxa" w:w="70"/>
              <w:left w:type="dxa" w:w="110"/>
              <w:bottom w:type="dxa" w:w="70"/>
              <w:right w:type="dxa" w:w="110"/>
            </w:tcMar>
          </w:tcPr>
          <w:p>
            <w:pPr>
              <w:spacing w:after="0" w:line="264"/>
              <w:jc w:val="left"/>
            </w:pPr>
            <w:r>
              <w:rPr>
                <w:b/>
                <w:bCs/>
                <w:color w:val="14110F"/>
                <w:sz w:val="18"/>
                <w:szCs w:val="18"/>
              </w:rPr>
              <w:t xml:space="preserve">Alpha Pro Partners</w:t>
            </w:r>
          </w:p>
        </w:tc>
        <w:tc>
          <w:tcPr>
            <w:tcW w:type="dxa" w:w="4680"/>
            <w:tcBorders>
              <w:top w:val="single" w:color="D9D9D9" w:sz="1"/>
              <w:left w:val="single" w:color="D9D9D9" w:sz="1"/>
              <w:bottom w:val="single" w:color="D9D9D9" w:sz="1"/>
              <w:right w:val="single" w:color="D9D9D9" w:sz="1"/>
            </w:tcBorders>
            <w:shd w:fill="F5F7F1" w:val="clear"/>
            <w:tcMar>
              <w:top w:type="dxa" w:w="70"/>
              <w:left w:type="dxa" w:w="110"/>
              <w:bottom w:type="dxa" w:w="70"/>
              <w:right w:type="dxa" w:w="110"/>
            </w:tcMar>
          </w:tcPr>
          <w:p>
            <w:pPr>
              <w:spacing w:after="0" w:line="264"/>
              <w:jc w:val="left"/>
            </w:pPr>
            <w:r>
              <w:rPr>
                <w:b w:val="false"/>
                <w:bCs w:val="false"/>
                <w:color w:val="14110F"/>
                <w:sz w:val="18"/>
                <w:szCs w:val="18"/>
              </w:rPr>
              <w:t xml:space="preserve">Best boutique site; Xero Platinum</w:t>
            </w:r>
          </w:p>
        </w:tc>
      </w:tr>
      <w:tr>
        <w:tc>
          <w:tcPr>
            <w:tcW w:type="dxa" w:w="4680"/>
            <w:tcBorders>
              <w:top w:val="single" w:color="D9D9D9" w:sz="1"/>
              <w:left w:val="single" w:color="D9D9D9" w:sz="1"/>
              <w:bottom w:val="single" w:color="D9D9D9" w:sz="1"/>
              <w:right w:val="single" w:color="D9D9D9" w:sz="1"/>
            </w:tcBorders>
            <w:tcMar>
              <w:top w:type="dxa" w:w="70"/>
              <w:left w:type="dxa" w:w="110"/>
              <w:bottom w:type="dxa" w:w="70"/>
              <w:right w:type="dxa" w:w="110"/>
            </w:tcMar>
          </w:tcPr>
          <w:p>
            <w:pPr>
              <w:spacing w:after="0" w:line="264"/>
              <w:jc w:val="left"/>
            </w:pPr>
            <w:r>
              <w:rPr>
                <w:b/>
                <w:bCs/>
                <w:color w:val="14110F"/>
                <w:sz w:val="18"/>
                <w:szCs w:val="18"/>
              </w:rPr>
              <w:t xml:space="preserve">Excellent Accountants (EAS)</w:t>
            </w:r>
          </w:p>
        </w:tc>
        <w:tc>
          <w:tcPr>
            <w:tcW w:type="dxa" w:w="4680"/>
            <w:tcBorders>
              <w:top w:val="single" w:color="D9D9D9" w:sz="1"/>
              <w:left w:val="single" w:color="D9D9D9" w:sz="1"/>
              <w:bottom w:val="single" w:color="D9D9D9" w:sz="1"/>
              <w:right w:val="single" w:color="D9D9D9" w:sz="1"/>
            </w:tcBorders>
            <w:tcMar>
              <w:top w:type="dxa" w:w="70"/>
              <w:left w:type="dxa" w:w="110"/>
              <w:bottom w:type="dxa" w:w="70"/>
              <w:right w:type="dxa" w:w="110"/>
            </w:tcMar>
          </w:tcPr>
          <w:p>
            <w:pPr>
              <w:spacing w:after="0" w:line="264"/>
              <w:jc w:val="left"/>
            </w:pPr>
            <w:r>
              <w:rPr>
                <w:b w:val="false"/>
                <w:bCs w:val="false"/>
                <w:color w:val="14110F"/>
                <w:sz w:val="18"/>
                <w:szCs w:val="18"/>
              </w:rPr>
              <w:t xml:space="preserve">Est. 2017; SME; 600+ clients</w:t>
            </w:r>
          </w:p>
        </w:tc>
      </w:tr>
      <w:tr>
        <w:tc>
          <w:tcPr>
            <w:tcW w:type="dxa" w:w="4680"/>
            <w:tcBorders>
              <w:top w:val="single" w:color="D9D9D9" w:sz="1"/>
              <w:left w:val="single" w:color="D9D9D9" w:sz="1"/>
              <w:bottom w:val="single" w:color="D9D9D9" w:sz="1"/>
              <w:right w:val="single" w:color="D9D9D9" w:sz="1"/>
            </w:tcBorders>
            <w:shd w:fill="F5F7F1" w:val="clear"/>
            <w:tcMar>
              <w:top w:type="dxa" w:w="70"/>
              <w:left w:type="dxa" w:w="110"/>
              <w:bottom w:type="dxa" w:w="70"/>
              <w:right w:type="dxa" w:w="110"/>
            </w:tcMar>
          </w:tcPr>
          <w:p>
            <w:pPr>
              <w:spacing w:after="0" w:line="264"/>
              <w:jc w:val="left"/>
            </w:pPr>
            <w:r>
              <w:rPr>
                <w:b/>
                <w:bCs/>
                <w:color w:val="14110F"/>
                <w:sz w:val="18"/>
                <w:szCs w:val="18"/>
              </w:rPr>
              <w:t xml:space="preserve">Shuraa Tax</w:t>
            </w:r>
          </w:p>
        </w:tc>
        <w:tc>
          <w:tcPr>
            <w:tcW w:type="dxa" w:w="4680"/>
            <w:tcBorders>
              <w:top w:val="single" w:color="D9D9D9" w:sz="1"/>
              <w:left w:val="single" w:color="D9D9D9" w:sz="1"/>
              <w:bottom w:val="single" w:color="D9D9D9" w:sz="1"/>
              <w:right w:val="single" w:color="D9D9D9" w:sz="1"/>
            </w:tcBorders>
            <w:shd w:fill="F5F7F1" w:val="clear"/>
            <w:tcMar>
              <w:top w:type="dxa" w:w="70"/>
              <w:left w:type="dxa" w:w="110"/>
              <w:bottom w:type="dxa" w:w="70"/>
              <w:right w:type="dxa" w:w="110"/>
            </w:tcMar>
          </w:tcPr>
          <w:p>
            <w:pPr>
              <w:spacing w:after="0" w:line="264"/>
              <w:jc w:val="left"/>
            </w:pPr>
            <w:r>
              <w:rPr>
                <w:b w:val="false"/>
                <w:bCs w:val="false"/>
                <w:color w:val="14110F"/>
                <w:sz w:val="18"/>
                <w:szCs w:val="18"/>
              </w:rPr>
              <w:t xml:space="preserve">FTA agency; setup arm</w:t>
            </w:r>
          </w:p>
        </w:tc>
      </w:tr>
      <w:tr>
        <w:tc>
          <w:tcPr>
            <w:tcW w:type="dxa" w:w="4680"/>
            <w:tcBorders>
              <w:top w:val="single" w:color="D9D9D9" w:sz="1"/>
              <w:left w:val="single" w:color="D9D9D9" w:sz="1"/>
              <w:bottom w:val="single" w:color="D9D9D9" w:sz="1"/>
              <w:right w:val="single" w:color="D9D9D9" w:sz="1"/>
            </w:tcBorders>
            <w:tcMar>
              <w:top w:type="dxa" w:w="70"/>
              <w:left w:type="dxa" w:w="110"/>
              <w:bottom w:type="dxa" w:w="70"/>
              <w:right w:type="dxa" w:w="110"/>
            </w:tcMar>
          </w:tcPr>
          <w:p>
            <w:pPr>
              <w:spacing w:after="0" w:line="264"/>
              <w:jc w:val="left"/>
            </w:pPr>
            <w:r>
              <w:rPr>
                <w:b/>
                <w:bCs/>
                <w:color w:val="14110F"/>
                <w:sz w:val="18"/>
                <w:szCs w:val="18"/>
              </w:rPr>
              <w:t xml:space="preserve">Bestax</w:t>
            </w:r>
          </w:p>
        </w:tc>
        <w:tc>
          <w:tcPr>
            <w:tcW w:type="dxa" w:w="4680"/>
            <w:tcBorders>
              <w:top w:val="single" w:color="D9D9D9" w:sz="1"/>
              <w:left w:val="single" w:color="D9D9D9" w:sz="1"/>
              <w:bottom w:val="single" w:color="D9D9D9" w:sz="1"/>
              <w:right w:val="single" w:color="D9D9D9" w:sz="1"/>
            </w:tcBorders>
            <w:tcMar>
              <w:top w:type="dxa" w:w="70"/>
              <w:left w:type="dxa" w:w="110"/>
              <w:bottom w:type="dxa" w:w="70"/>
              <w:right w:type="dxa" w:w="110"/>
            </w:tcMar>
          </w:tcPr>
          <w:p>
            <w:pPr>
              <w:spacing w:after="0" w:line="264"/>
              <w:jc w:val="left"/>
            </w:pPr>
            <w:r>
              <w:rPr>
                <w:b w:val="false"/>
                <w:bCs w:val="false"/>
                <w:color w:val="14110F"/>
                <w:sz w:val="18"/>
                <w:szCs w:val="18"/>
              </w:rPr>
              <w:t xml:space="preserve">FTA-approved; startups/SMEs</w:t>
            </w:r>
          </w:p>
        </w:tc>
      </w:tr>
      <w:tr>
        <w:tc>
          <w:tcPr>
            <w:tcW w:type="dxa" w:w="4680"/>
            <w:tcBorders>
              <w:top w:val="single" w:color="D9D9D9" w:sz="1"/>
              <w:left w:val="single" w:color="D9D9D9" w:sz="1"/>
              <w:bottom w:val="single" w:color="D9D9D9" w:sz="1"/>
              <w:right w:val="single" w:color="D9D9D9" w:sz="1"/>
            </w:tcBorders>
            <w:shd w:fill="F5F7F1" w:val="clear"/>
            <w:tcMar>
              <w:top w:type="dxa" w:w="70"/>
              <w:left w:type="dxa" w:w="110"/>
              <w:bottom w:type="dxa" w:w="70"/>
              <w:right w:type="dxa" w:w="110"/>
            </w:tcMar>
          </w:tcPr>
          <w:p>
            <w:pPr>
              <w:spacing w:after="0" w:line="264"/>
              <w:jc w:val="left"/>
            </w:pPr>
            <w:r>
              <w:rPr>
                <w:b/>
                <w:bCs/>
                <w:color w:val="14110F"/>
                <w:sz w:val="18"/>
                <w:szCs w:val="18"/>
              </w:rPr>
              <w:t xml:space="preserve">Creative Zone Tax &amp; Accounting</w:t>
            </w:r>
          </w:p>
        </w:tc>
        <w:tc>
          <w:tcPr>
            <w:tcW w:type="dxa" w:w="4680"/>
            <w:tcBorders>
              <w:top w:val="single" w:color="D9D9D9" w:sz="1"/>
              <w:left w:val="single" w:color="D9D9D9" w:sz="1"/>
              <w:bottom w:val="single" w:color="D9D9D9" w:sz="1"/>
              <w:right w:val="single" w:color="D9D9D9" w:sz="1"/>
            </w:tcBorders>
            <w:shd w:fill="F5F7F1" w:val="clear"/>
            <w:tcMar>
              <w:top w:type="dxa" w:w="70"/>
              <w:left w:type="dxa" w:w="110"/>
              <w:bottom w:type="dxa" w:w="70"/>
              <w:right w:type="dxa" w:w="110"/>
            </w:tcMar>
          </w:tcPr>
          <w:p>
            <w:pPr>
              <w:spacing w:after="0" w:line="264"/>
              <w:jc w:val="left"/>
            </w:pPr>
            <w:r>
              <w:rPr>
                <w:b w:val="false"/>
                <w:bCs w:val="false"/>
                <w:color w:val="14110F"/>
                <w:sz w:val="18"/>
                <w:szCs w:val="18"/>
              </w:rPr>
              <w:t xml:space="preserve">Transparent online pricing</w:t>
            </w:r>
          </w:p>
        </w:tc>
      </w:tr>
    </w:tbl>
    <w:p>
      <w:r>
        <w:br w:type="page"/>
      </w:r>
    </w:p>
    <w:p>
      <w:pPr>
        <w:pStyle w:val="Heading2"/>
      </w:pPr>
      <w:r>
        <w:t xml:space="preserve">London — 30 firms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9D9D9" w:sz="1"/>
              <w:left w:val="single" w:color="D9D9D9" w:sz="1"/>
              <w:bottom w:val="single" w:color="D9D9D9" w:sz="1"/>
              <w:right w:val="single" w:color="D9D9D9" w:sz="1"/>
            </w:tcBorders>
            <w:shd w:fill="557D27" w:val="clear"/>
            <w:tcMar>
              <w:top w:type="dxa" w:w="70"/>
              <w:left w:type="dxa" w:w="110"/>
              <w:bottom w:type="dxa" w:w="70"/>
              <w:right w:type="dxa" w:w="110"/>
            </w:tcMar>
          </w:tcPr>
          <w:p>
            <w:pPr>
              <w:spacing w:after="0" w:line="264"/>
              <w:jc w:val="left"/>
            </w:pPr>
            <w:r>
              <w:rPr>
                <w:b/>
                <w:bCs/>
                <w:color w:val="FFFFFF"/>
                <w:sz w:val="19"/>
                <w:szCs w:val="19"/>
              </w:rPr>
              <w:t xml:space="preserve">Firm</w:t>
            </w:r>
          </w:p>
        </w:tc>
        <w:tc>
          <w:tcPr>
            <w:tcW w:type="dxa" w:w="4680"/>
            <w:tcBorders>
              <w:top w:val="single" w:color="D9D9D9" w:sz="1"/>
              <w:left w:val="single" w:color="D9D9D9" w:sz="1"/>
              <w:bottom w:val="single" w:color="D9D9D9" w:sz="1"/>
              <w:right w:val="single" w:color="D9D9D9" w:sz="1"/>
            </w:tcBorders>
            <w:shd w:fill="557D27" w:val="clear"/>
            <w:tcMar>
              <w:top w:type="dxa" w:w="70"/>
              <w:left w:type="dxa" w:w="110"/>
              <w:bottom w:type="dxa" w:w="70"/>
              <w:right w:type="dxa" w:w="110"/>
            </w:tcMar>
          </w:tcPr>
          <w:p>
            <w:pPr>
              <w:spacing w:after="0" w:line="264"/>
              <w:jc w:val="left"/>
            </w:pPr>
            <w:r>
              <w:rPr>
                <w:b/>
                <w:bCs/>
                <w:color w:val="FFFFFF"/>
                <w:sz w:val="19"/>
                <w:szCs w:val="19"/>
              </w:rPr>
              <w:t xml:space="preserve">Positioning</w:t>
            </w:r>
          </w:p>
        </w:tc>
      </w:tr>
      <w:tr>
        <w:tc>
          <w:tcPr>
            <w:tcW w:type="dxa" w:w="4680"/>
            <w:tcBorders>
              <w:top w:val="single" w:color="D9D9D9" w:sz="1"/>
              <w:left w:val="single" w:color="D9D9D9" w:sz="1"/>
              <w:bottom w:val="single" w:color="D9D9D9" w:sz="1"/>
              <w:right w:val="single" w:color="D9D9D9" w:sz="1"/>
            </w:tcBorders>
            <w:tcMar>
              <w:top w:type="dxa" w:w="70"/>
              <w:left w:type="dxa" w:w="110"/>
              <w:bottom w:type="dxa" w:w="70"/>
              <w:right w:type="dxa" w:w="110"/>
            </w:tcMar>
          </w:tcPr>
          <w:p>
            <w:pPr>
              <w:spacing w:after="0" w:line="264"/>
              <w:jc w:val="left"/>
            </w:pPr>
            <w:r>
              <w:rPr>
                <w:b/>
                <w:bCs/>
                <w:color w:val="14110F"/>
                <w:sz w:val="18"/>
                <w:szCs w:val="18"/>
              </w:rPr>
              <w:t xml:space="preserve">Deloitte UK</w:t>
            </w:r>
          </w:p>
        </w:tc>
        <w:tc>
          <w:tcPr>
            <w:tcW w:type="dxa" w:w="4680"/>
            <w:tcBorders>
              <w:top w:val="single" w:color="D9D9D9" w:sz="1"/>
              <w:left w:val="single" w:color="D9D9D9" w:sz="1"/>
              <w:bottom w:val="single" w:color="D9D9D9" w:sz="1"/>
              <w:right w:val="single" w:color="D9D9D9" w:sz="1"/>
            </w:tcBorders>
            <w:tcMar>
              <w:top w:type="dxa" w:w="70"/>
              <w:left w:type="dxa" w:w="110"/>
              <w:bottom w:type="dxa" w:w="70"/>
              <w:right w:type="dxa" w:w="110"/>
            </w:tcMar>
          </w:tcPr>
          <w:p>
            <w:pPr>
              <w:spacing w:after="0" w:line="264"/>
              <w:jc w:val="left"/>
            </w:pPr>
            <w:r>
              <w:rPr>
                <w:b w:val="false"/>
                <w:bCs w:val="false"/>
                <w:color w:val="14110F"/>
                <w:sz w:val="18"/>
                <w:szCs w:val="18"/>
              </w:rPr>
              <w:t xml:space="preserve">Big 4; largest by people</w:t>
            </w:r>
          </w:p>
        </w:tc>
      </w:tr>
      <w:tr>
        <w:tc>
          <w:tcPr>
            <w:tcW w:type="dxa" w:w="4680"/>
            <w:tcBorders>
              <w:top w:val="single" w:color="D9D9D9" w:sz="1"/>
              <w:left w:val="single" w:color="D9D9D9" w:sz="1"/>
              <w:bottom w:val="single" w:color="D9D9D9" w:sz="1"/>
              <w:right w:val="single" w:color="D9D9D9" w:sz="1"/>
            </w:tcBorders>
            <w:shd w:fill="F5F7F1" w:val="clear"/>
            <w:tcMar>
              <w:top w:type="dxa" w:w="70"/>
              <w:left w:type="dxa" w:w="110"/>
              <w:bottom w:type="dxa" w:w="70"/>
              <w:right w:type="dxa" w:w="110"/>
            </w:tcMar>
          </w:tcPr>
          <w:p>
            <w:pPr>
              <w:spacing w:after="0" w:line="264"/>
              <w:jc w:val="left"/>
            </w:pPr>
            <w:r>
              <w:rPr>
                <w:b/>
                <w:bCs/>
                <w:color w:val="14110F"/>
                <w:sz w:val="18"/>
                <w:szCs w:val="18"/>
              </w:rPr>
              <w:t xml:space="preserve">PwC UK</w:t>
            </w:r>
          </w:p>
        </w:tc>
        <w:tc>
          <w:tcPr>
            <w:tcW w:type="dxa" w:w="4680"/>
            <w:tcBorders>
              <w:top w:val="single" w:color="D9D9D9" w:sz="1"/>
              <w:left w:val="single" w:color="D9D9D9" w:sz="1"/>
              <w:bottom w:val="single" w:color="D9D9D9" w:sz="1"/>
              <w:right w:val="single" w:color="D9D9D9" w:sz="1"/>
            </w:tcBorders>
            <w:shd w:fill="F5F7F1" w:val="clear"/>
            <w:tcMar>
              <w:top w:type="dxa" w:w="70"/>
              <w:left w:type="dxa" w:w="110"/>
              <w:bottom w:type="dxa" w:w="70"/>
              <w:right w:type="dxa" w:w="110"/>
            </w:tcMar>
          </w:tcPr>
          <w:p>
            <w:pPr>
              <w:spacing w:after="0" w:line="264"/>
              <w:jc w:val="left"/>
            </w:pPr>
            <w:r>
              <w:rPr>
                <w:b w:val="false"/>
                <w:bCs w:val="false"/>
                <w:color w:val="14110F"/>
                <w:sz w:val="18"/>
                <w:szCs w:val="18"/>
              </w:rPr>
              <w:t xml:space="preserve">Big 4; largest by revenue</w:t>
            </w:r>
          </w:p>
        </w:tc>
      </w:tr>
      <w:tr>
        <w:tc>
          <w:tcPr>
            <w:tcW w:type="dxa" w:w="4680"/>
            <w:tcBorders>
              <w:top w:val="single" w:color="D9D9D9" w:sz="1"/>
              <w:left w:val="single" w:color="D9D9D9" w:sz="1"/>
              <w:bottom w:val="single" w:color="D9D9D9" w:sz="1"/>
              <w:right w:val="single" w:color="D9D9D9" w:sz="1"/>
            </w:tcBorders>
            <w:tcMar>
              <w:top w:type="dxa" w:w="70"/>
              <w:left w:type="dxa" w:w="110"/>
              <w:bottom w:type="dxa" w:w="70"/>
              <w:right w:type="dxa" w:w="110"/>
            </w:tcMar>
          </w:tcPr>
          <w:p>
            <w:pPr>
              <w:spacing w:after="0" w:line="264"/>
              <w:jc w:val="left"/>
            </w:pPr>
            <w:r>
              <w:rPr>
                <w:b/>
                <w:bCs/>
                <w:color w:val="14110F"/>
                <w:sz w:val="18"/>
                <w:szCs w:val="18"/>
              </w:rPr>
              <w:t xml:space="preserve">EY UK</w:t>
            </w:r>
          </w:p>
        </w:tc>
        <w:tc>
          <w:tcPr>
            <w:tcW w:type="dxa" w:w="4680"/>
            <w:tcBorders>
              <w:top w:val="single" w:color="D9D9D9" w:sz="1"/>
              <w:left w:val="single" w:color="D9D9D9" w:sz="1"/>
              <w:bottom w:val="single" w:color="D9D9D9" w:sz="1"/>
              <w:right w:val="single" w:color="D9D9D9" w:sz="1"/>
            </w:tcBorders>
            <w:tcMar>
              <w:top w:type="dxa" w:w="70"/>
              <w:left w:type="dxa" w:w="110"/>
              <w:bottom w:type="dxa" w:w="70"/>
              <w:right w:type="dxa" w:w="110"/>
            </w:tcMar>
          </w:tcPr>
          <w:p>
            <w:pPr>
              <w:spacing w:after="0" w:line="264"/>
              <w:jc w:val="left"/>
            </w:pPr>
            <w:r>
              <w:rPr>
                <w:b w:val="false"/>
                <w:bCs w:val="false"/>
                <w:color w:val="14110F"/>
                <w:sz w:val="18"/>
                <w:szCs w:val="18"/>
              </w:rPr>
              <w:t xml:space="preserve">Big 4</w:t>
            </w:r>
          </w:p>
        </w:tc>
      </w:tr>
      <w:tr>
        <w:tc>
          <w:tcPr>
            <w:tcW w:type="dxa" w:w="4680"/>
            <w:tcBorders>
              <w:top w:val="single" w:color="D9D9D9" w:sz="1"/>
              <w:left w:val="single" w:color="D9D9D9" w:sz="1"/>
              <w:bottom w:val="single" w:color="D9D9D9" w:sz="1"/>
              <w:right w:val="single" w:color="D9D9D9" w:sz="1"/>
            </w:tcBorders>
            <w:shd w:fill="F5F7F1" w:val="clear"/>
            <w:tcMar>
              <w:top w:type="dxa" w:w="70"/>
              <w:left w:type="dxa" w:w="110"/>
              <w:bottom w:type="dxa" w:w="70"/>
              <w:right w:type="dxa" w:w="110"/>
            </w:tcMar>
          </w:tcPr>
          <w:p>
            <w:pPr>
              <w:spacing w:after="0" w:line="264"/>
              <w:jc w:val="left"/>
            </w:pPr>
            <w:r>
              <w:rPr>
                <w:b/>
                <w:bCs/>
                <w:color w:val="14110F"/>
                <w:sz w:val="18"/>
                <w:szCs w:val="18"/>
              </w:rPr>
              <w:t xml:space="preserve">KPMG UK</w:t>
            </w:r>
          </w:p>
        </w:tc>
        <w:tc>
          <w:tcPr>
            <w:tcW w:type="dxa" w:w="4680"/>
            <w:tcBorders>
              <w:top w:val="single" w:color="D9D9D9" w:sz="1"/>
              <w:left w:val="single" w:color="D9D9D9" w:sz="1"/>
              <w:bottom w:val="single" w:color="D9D9D9" w:sz="1"/>
              <w:right w:val="single" w:color="D9D9D9" w:sz="1"/>
            </w:tcBorders>
            <w:shd w:fill="F5F7F1" w:val="clear"/>
            <w:tcMar>
              <w:top w:type="dxa" w:w="70"/>
              <w:left w:type="dxa" w:w="110"/>
              <w:bottom w:type="dxa" w:w="70"/>
              <w:right w:type="dxa" w:w="110"/>
            </w:tcMar>
          </w:tcPr>
          <w:p>
            <w:pPr>
              <w:spacing w:after="0" w:line="264"/>
              <w:jc w:val="left"/>
            </w:pPr>
            <w:r>
              <w:rPr>
                <w:b w:val="false"/>
                <w:bCs w:val="false"/>
                <w:color w:val="14110F"/>
                <w:sz w:val="18"/>
                <w:szCs w:val="18"/>
              </w:rPr>
              <w:t xml:space="preserve">Big 4</w:t>
            </w:r>
          </w:p>
        </w:tc>
      </w:tr>
      <w:tr>
        <w:tc>
          <w:tcPr>
            <w:tcW w:type="dxa" w:w="4680"/>
            <w:tcBorders>
              <w:top w:val="single" w:color="D9D9D9" w:sz="1"/>
              <w:left w:val="single" w:color="D9D9D9" w:sz="1"/>
              <w:bottom w:val="single" w:color="D9D9D9" w:sz="1"/>
              <w:right w:val="single" w:color="D9D9D9" w:sz="1"/>
            </w:tcBorders>
            <w:tcMar>
              <w:top w:type="dxa" w:w="70"/>
              <w:left w:type="dxa" w:w="110"/>
              <w:bottom w:type="dxa" w:w="70"/>
              <w:right w:type="dxa" w:w="110"/>
            </w:tcMar>
          </w:tcPr>
          <w:p>
            <w:pPr>
              <w:spacing w:after="0" w:line="264"/>
              <w:jc w:val="left"/>
            </w:pPr>
            <w:r>
              <w:rPr>
                <w:b/>
                <w:bCs/>
                <w:color w:val="14110F"/>
                <w:sz w:val="18"/>
                <w:szCs w:val="18"/>
              </w:rPr>
              <w:t xml:space="preserve">BDO UK</w:t>
            </w:r>
          </w:p>
        </w:tc>
        <w:tc>
          <w:tcPr>
            <w:tcW w:type="dxa" w:w="4680"/>
            <w:tcBorders>
              <w:top w:val="single" w:color="D9D9D9" w:sz="1"/>
              <w:left w:val="single" w:color="D9D9D9" w:sz="1"/>
              <w:bottom w:val="single" w:color="D9D9D9" w:sz="1"/>
              <w:right w:val="single" w:color="D9D9D9" w:sz="1"/>
            </w:tcBorders>
            <w:tcMar>
              <w:top w:type="dxa" w:w="70"/>
              <w:left w:type="dxa" w:w="110"/>
              <w:bottom w:type="dxa" w:w="70"/>
              <w:right w:type="dxa" w:w="110"/>
            </w:tcMar>
          </w:tcPr>
          <w:p>
            <w:pPr>
              <w:spacing w:after="0" w:line="264"/>
              <w:jc w:val="left"/>
            </w:pPr>
            <w:r>
              <w:rPr>
                <w:b w:val="false"/>
                <w:bCs w:val="false"/>
                <w:color w:val="14110F"/>
                <w:sz w:val="18"/>
                <w:szCs w:val="18"/>
              </w:rPr>
              <w:t xml:space="preserve">#5 firm; high-growth focus</w:t>
            </w:r>
          </w:p>
        </w:tc>
      </w:tr>
      <w:tr>
        <w:tc>
          <w:tcPr>
            <w:tcW w:type="dxa" w:w="4680"/>
            <w:tcBorders>
              <w:top w:val="single" w:color="D9D9D9" w:sz="1"/>
              <w:left w:val="single" w:color="D9D9D9" w:sz="1"/>
              <w:bottom w:val="single" w:color="D9D9D9" w:sz="1"/>
              <w:right w:val="single" w:color="D9D9D9" w:sz="1"/>
            </w:tcBorders>
            <w:shd w:fill="F5F7F1" w:val="clear"/>
            <w:tcMar>
              <w:top w:type="dxa" w:w="70"/>
              <w:left w:type="dxa" w:w="110"/>
              <w:bottom w:type="dxa" w:w="70"/>
              <w:right w:type="dxa" w:w="110"/>
            </w:tcMar>
          </w:tcPr>
          <w:p>
            <w:pPr>
              <w:spacing w:after="0" w:line="264"/>
              <w:jc w:val="left"/>
            </w:pPr>
            <w:r>
              <w:rPr>
                <w:b/>
                <w:bCs/>
                <w:color w:val="14110F"/>
                <w:sz w:val="18"/>
                <w:szCs w:val="18"/>
              </w:rPr>
              <w:t xml:space="preserve">Forvis Mazars UK</w:t>
            </w:r>
          </w:p>
        </w:tc>
        <w:tc>
          <w:tcPr>
            <w:tcW w:type="dxa" w:w="4680"/>
            <w:tcBorders>
              <w:top w:val="single" w:color="D9D9D9" w:sz="1"/>
              <w:left w:val="single" w:color="D9D9D9" w:sz="1"/>
              <w:bottom w:val="single" w:color="D9D9D9" w:sz="1"/>
              <w:right w:val="single" w:color="D9D9D9" w:sz="1"/>
            </w:tcBorders>
            <w:shd w:fill="F5F7F1" w:val="clear"/>
            <w:tcMar>
              <w:top w:type="dxa" w:w="70"/>
              <w:left w:type="dxa" w:w="110"/>
              <w:bottom w:type="dxa" w:w="70"/>
              <w:right w:type="dxa" w:w="110"/>
            </w:tcMar>
          </w:tcPr>
          <w:p>
            <w:pPr>
              <w:spacing w:after="0" w:line="264"/>
              <w:jc w:val="left"/>
            </w:pPr>
            <w:r>
              <w:rPr>
                <w:b w:val="false"/>
                <w:bCs w:val="false"/>
                <w:color w:val="14110F"/>
                <w:sz w:val="18"/>
                <w:szCs w:val="18"/>
              </w:rPr>
              <w:t xml:space="preserve">Global integrated partnership</w:t>
            </w:r>
          </w:p>
        </w:tc>
      </w:tr>
      <w:tr>
        <w:tc>
          <w:tcPr>
            <w:tcW w:type="dxa" w:w="4680"/>
            <w:tcBorders>
              <w:top w:val="single" w:color="D9D9D9" w:sz="1"/>
              <w:left w:val="single" w:color="D9D9D9" w:sz="1"/>
              <w:bottom w:val="single" w:color="D9D9D9" w:sz="1"/>
              <w:right w:val="single" w:color="D9D9D9" w:sz="1"/>
            </w:tcBorders>
            <w:tcMar>
              <w:top w:type="dxa" w:w="70"/>
              <w:left w:type="dxa" w:w="110"/>
              <w:bottom w:type="dxa" w:w="70"/>
              <w:right w:type="dxa" w:w="110"/>
            </w:tcMar>
          </w:tcPr>
          <w:p>
            <w:pPr>
              <w:spacing w:after="0" w:line="264"/>
              <w:jc w:val="left"/>
            </w:pPr>
            <w:r>
              <w:rPr>
                <w:b/>
                <w:bCs/>
                <w:color w:val="14110F"/>
                <w:sz w:val="18"/>
                <w:szCs w:val="18"/>
              </w:rPr>
              <w:t xml:space="preserve">Grant Thornton UK</w:t>
            </w:r>
          </w:p>
        </w:tc>
        <w:tc>
          <w:tcPr>
            <w:tcW w:type="dxa" w:w="4680"/>
            <w:tcBorders>
              <w:top w:val="single" w:color="D9D9D9" w:sz="1"/>
              <w:left w:val="single" w:color="D9D9D9" w:sz="1"/>
              <w:bottom w:val="single" w:color="D9D9D9" w:sz="1"/>
              <w:right w:val="single" w:color="D9D9D9" w:sz="1"/>
            </w:tcBorders>
            <w:tcMar>
              <w:top w:type="dxa" w:w="70"/>
              <w:left w:type="dxa" w:w="110"/>
              <w:bottom w:type="dxa" w:w="70"/>
              <w:right w:type="dxa" w:w="110"/>
            </w:tcMar>
          </w:tcPr>
          <w:p>
            <w:pPr>
              <w:spacing w:after="0" w:line="264"/>
              <w:jc w:val="left"/>
            </w:pPr>
            <w:r>
              <w:rPr>
                <w:b w:val="false"/>
                <w:bCs w:val="false"/>
                <w:color w:val="14110F"/>
                <w:sz w:val="18"/>
                <w:szCs w:val="18"/>
              </w:rPr>
              <w:t xml:space="preserve">Mid-market champion; content engine</w:t>
            </w:r>
          </w:p>
        </w:tc>
      </w:tr>
      <w:tr>
        <w:tc>
          <w:tcPr>
            <w:tcW w:type="dxa" w:w="4680"/>
            <w:tcBorders>
              <w:top w:val="single" w:color="D9D9D9" w:sz="1"/>
              <w:left w:val="single" w:color="D9D9D9" w:sz="1"/>
              <w:bottom w:val="single" w:color="D9D9D9" w:sz="1"/>
              <w:right w:val="single" w:color="D9D9D9" w:sz="1"/>
            </w:tcBorders>
            <w:shd w:fill="F5F7F1" w:val="clear"/>
            <w:tcMar>
              <w:top w:type="dxa" w:w="70"/>
              <w:left w:type="dxa" w:w="110"/>
              <w:bottom w:type="dxa" w:w="70"/>
              <w:right w:type="dxa" w:w="110"/>
            </w:tcMar>
          </w:tcPr>
          <w:p>
            <w:pPr>
              <w:spacing w:after="0" w:line="264"/>
              <w:jc w:val="left"/>
            </w:pPr>
            <w:r>
              <w:rPr>
                <w:b/>
                <w:bCs/>
                <w:color w:val="14110F"/>
                <w:sz w:val="18"/>
                <w:szCs w:val="18"/>
              </w:rPr>
              <w:t xml:space="preserve">RSM UK</w:t>
            </w:r>
          </w:p>
        </w:tc>
        <w:tc>
          <w:tcPr>
            <w:tcW w:type="dxa" w:w="4680"/>
            <w:tcBorders>
              <w:top w:val="single" w:color="D9D9D9" w:sz="1"/>
              <w:left w:val="single" w:color="D9D9D9" w:sz="1"/>
              <w:bottom w:val="single" w:color="D9D9D9" w:sz="1"/>
              <w:right w:val="single" w:color="D9D9D9" w:sz="1"/>
            </w:tcBorders>
            <w:shd w:fill="F5F7F1" w:val="clear"/>
            <w:tcMar>
              <w:top w:type="dxa" w:w="70"/>
              <w:left w:type="dxa" w:w="110"/>
              <w:bottom w:type="dxa" w:w="70"/>
              <w:right w:type="dxa" w:w="110"/>
            </w:tcMar>
          </w:tcPr>
          <w:p>
            <w:pPr>
              <w:spacing w:after="0" w:line="264"/>
              <w:jc w:val="left"/>
            </w:pPr>
            <w:r>
              <w:rPr>
                <w:b w:val="false"/>
                <w:bCs w:val="false"/>
                <w:color w:val="14110F"/>
                <w:sz w:val="18"/>
                <w:szCs w:val="18"/>
              </w:rPr>
              <w:t xml:space="preserve">Mid-market adviser</w:t>
            </w:r>
          </w:p>
        </w:tc>
      </w:tr>
      <w:tr>
        <w:tc>
          <w:tcPr>
            <w:tcW w:type="dxa" w:w="4680"/>
            <w:tcBorders>
              <w:top w:val="single" w:color="D9D9D9" w:sz="1"/>
              <w:left w:val="single" w:color="D9D9D9" w:sz="1"/>
              <w:bottom w:val="single" w:color="D9D9D9" w:sz="1"/>
              <w:right w:val="single" w:color="D9D9D9" w:sz="1"/>
            </w:tcBorders>
            <w:tcMar>
              <w:top w:type="dxa" w:w="70"/>
              <w:left w:type="dxa" w:w="110"/>
              <w:bottom w:type="dxa" w:w="70"/>
              <w:right w:type="dxa" w:w="110"/>
            </w:tcMar>
          </w:tcPr>
          <w:p>
            <w:pPr>
              <w:spacing w:after="0" w:line="264"/>
              <w:jc w:val="left"/>
            </w:pPr>
            <w:r>
              <w:rPr>
                <w:b/>
                <w:bCs/>
                <w:color w:val="14110F"/>
                <w:sz w:val="18"/>
                <w:szCs w:val="18"/>
              </w:rPr>
              <w:t xml:space="preserve">Evelyn Partners</w:t>
            </w:r>
          </w:p>
        </w:tc>
        <w:tc>
          <w:tcPr>
            <w:tcW w:type="dxa" w:w="4680"/>
            <w:tcBorders>
              <w:top w:val="single" w:color="D9D9D9" w:sz="1"/>
              <w:left w:val="single" w:color="D9D9D9" w:sz="1"/>
              <w:bottom w:val="single" w:color="D9D9D9" w:sz="1"/>
              <w:right w:val="single" w:color="D9D9D9" w:sz="1"/>
            </w:tcBorders>
            <w:tcMar>
              <w:top w:type="dxa" w:w="70"/>
              <w:left w:type="dxa" w:w="110"/>
              <w:bottom w:type="dxa" w:w="70"/>
              <w:right w:type="dxa" w:w="110"/>
            </w:tcMar>
          </w:tcPr>
          <w:p>
            <w:pPr>
              <w:spacing w:after="0" w:line="264"/>
              <w:jc w:val="left"/>
            </w:pPr>
            <w:r>
              <w:rPr>
                <w:b w:val="false"/>
                <w:bCs w:val="false"/>
                <w:color w:val="14110F"/>
                <w:sz w:val="18"/>
                <w:szCs w:val="18"/>
              </w:rPr>
              <w:t xml:space="preserve">Wealth + professional services</w:t>
            </w:r>
          </w:p>
        </w:tc>
      </w:tr>
      <w:tr>
        <w:tc>
          <w:tcPr>
            <w:tcW w:type="dxa" w:w="4680"/>
            <w:tcBorders>
              <w:top w:val="single" w:color="D9D9D9" w:sz="1"/>
              <w:left w:val="single" w:color="D9D9D9" w:sz="1"/>
              <w:bottom w:val="single" w:color="D9D9D9" w:sz="1"/>
              <w:right w:val="single" w:color="D9D9D9" w:sz="1"/>
            </w:tcBorders>
            <w:shd w:fill="F5F7F1" w:val="clear"/>
            <w:tcMar>
              <w:top w:type="dxa" w:w="70"/>
              <w:left w:type="dxa" w:w="110"/>
              <w:bottom w:type="dxa" w:w="70"/>
              <w:right w:type="dxa" w:w="110"/>
            </w:tcMar>
          </w:tcPr>
          <w:p>
            <w:pPr>
              <w:spacing w:after="0" w:line="264"/>
              <w:jc w:val="left"/>
            </w:pPr>
            <w:r>
              <w:rPr>
                <w:b/>
                <w:bCs/>
                <w:color w:val="14110F"/>
                <w:sz w:val="18"/>
                <w:szCs w:val="18"/>
              </w:rPr>
              <w:t xml:space="preserve">Azets</w:t>
            </w:r>
          </w:p>
        </w:tc>
        <w:tc>
          <w:tcPr>
            <w:tcW w:type="dxa" w:w="4680"/>
            <w:tcBorders>
              <w:top w:val="single" w:color="D9D9D9" w:sz="1"/>
              <w:left w:val="single" w:color="D9D9D9" w:sz="1"/>
              <w:bottom w:val="single" w:color="D9D9D9" w:sz="1"/>
              <w:right w:val="single" w:color="D9D9D9" w:sz="1"/>
            </w:tcBorders>
            <w:shd w:fill="F5F7F1" w:val="clear"/>
            <w:tcMar>
              <w:top w:type="dxa" w:w="70"/>
              <w:left w:type="dxa" w:w="110"/>
              <w:bottom w:type="dxa" w:w="70"/>
              <w:right w:type="dxa" w:w="110"/>
            </w:tcMar>
          </w:tcPr>
          <w:p>
            <w:pPr>
              <w:spacing w:after="0" w:line="264"/>
              <w:jc w:val="left"/>
            </w:pPr>
            <w:r>
              <w:rPr>
                <w:b w:val="false"/>
                <w:bCs w:val="false"/>
                <w:color w:val="14110F"/>
                <w:sz w:val="18"/>
                <w:szCs w:val="18"/>
              </w:rPr>
              <w:t xml:space="preserve">PE-backed, tech-forward SME</w:t>
            </w:r>
          </w:p>
        </w:tc>
      </w:tr>
      <w:tr>
        <w:tc>
          <w:tcPr>
            <w:tcW w:type="dxa" w:w="4680"/>
            <w:tcBorders>
              <w:top w:val="single" w:color="D9D9D9" w:sz="1"/>
              <w:left w:val="single" w:color="D9D9D9" w:sz="1"/>
              <w:bottom w:val="single" w:color="D9D9D9" w:sz="1"/>
              <w:right w:val="single" w:color="D9D9D9" w:sz="1"/>
            </w:tcBorders>
            <w:tcMar>
              <w:top w:type="dxa" w:w="70"/>
              <w:left w:type="dxa" w:w="110"/>
              <w:bottom w:type="dxa" w:w="70"/>
              <w:right w:type="dxa" w:w="110"/>
            </w:tcMar>
          </w:tcPr>
          <w:p>
            <w:pPr>
              <w:spacing w:after="0" w:line="264"/>
              <w:jc w:val="left"/>
            </w:pPr>
            <w:r>
              <w:rPr>
                <w:b/>
                <w:bCs/>
                <w:color w:val="14110F"/>
                <w:sz w:val="18"/>
                <w:szCs w:val="18"/>
              </w:rPr>
              <w:t xml:space="preserve">MHA</w:t>
            </w:r>
          </w:p>
        </w:tc>
        <w:tc>
          <w:tcPr>
            <w:tcW w:type="dxa" w:w="4680"/>
            <w:tcBorders>
              <w:top w:val="single" w:color="D9D9D9" w:sz="1"/>
              <w:left w:val="single" w:color="D9D9D9" w:sz="1"/>
              <w:bottom w:val="single" w:color="D9D9D9" w:sz="1"/>
              <w:right w:val="single" w:color="D9D9D9" w:sz="1"/>
            </w:tcBorders>
            <w:tcMar>
              <w:top w:type="dxa" w:w="70"/>
              <w:left w:type="dxa" w:w="110"/>
              <w:bottom w:type="dxa" w:w="70"/>
              <w:right w:type="dxa" w:w="110"/>
            </w:tcMar>
          </w:tcPr>
          <w:p>
            <w:pPr>
              <w:spacing w:after="0" w:line="264"/>
              <w:jc w:val="left"/>
            </w:pPr>
            <w:r>
              <w:rPr>
                <w:b w:val="false"/>
                <w:bCs w:val="false"/>
                <w:color w:val="14110F"/>
                <w:sz w:val="18"/>
                <w:szCs w:val="18"/>
              </w:rPr>
              <w:t xml:space="preserve">Baker Tilly Intl member; listed</w:t>
            </w:r>
          </w:p>
        </w:tc>
      </w:tr>
      <w:tr>
        <w:tc>
          <w:tcPr>
            <w:tcW w:type="dxa" w:w="4680"/>
            <w:tcBorders>
              <w:top w:val="single" w:color="D9D9D9" w:sz="1"/>
              <w:left w:val="single" w:color="D9D9D9" w:sz="1"/>
              <w:bottom w:val="single" w:color="D9D9D9" w:sz="1"/>
              <w:right w:val="single" w:color="D9D9D9" w:sz="1"/>
            </w:tcBorders>
            <w:shd w:fill="F5F7F1" w:val="clear"/>
            <w:tcMar>
              <w:top w:type="dxa" w:w="70"/>
              <w:left w:type="dxa" w:w="110"/>
              <w:bottom w:type="dxa" w:w="70"/>
              <w:right w:type="dxa" w:w="110"/>
            </w:tcMar>
          </w:tcPr>
          <w:p>
            <w:pPr>
              <w:spacing w:after="0" w:line="264"/>
              <w:jc w:val="left"/>
            </w:pPr>
            <w:r>
              <w:rPr>
                <w:b/>
                <w:bCs/>
                <w:color w:val="14110F"/>
                <w:sz w:val="18"/>
                <w:szCs w:val="18"/>
              </w:rPr>
              <w:t xml:space="preserve">Crowe UK</w:t>
            </w:r>
          </w:p>
        </w:tc>
        <w:tc>
          <w:tcPr>
            <w:tcW w:type="dxa" w:w="4680"/>
            <w:tcBorders>
              <w:top w:val="single" w:color="D9D9D9" w:sz="1"/>
              <w:left w:val="single" w:color="D9D9D9" w:sz="1"/>
              <w:bottom w:val="single" w:color="D9D9D9" w:sz="1"/>
              <w:right w:val="single" w:color="D9D9D9" w:sz="1"/>
            </w:tcBorders>
            <w:shd w:fill="F5F7F1" w:val="clear"/>
            <w:tcMar>
              <w:top w:type="dxa" w:w="70"/>
              <w:left w:type="dxa" w:w="110"/>
              <w:bottom w:type="dxa" w:w="70"/>
              <w:right w:type="dxa" w:w="110"/>
            </w:tcMar>
          </w:tcPr>
          <w:p>
            <w:pPr>
              <w:spacing w:after="0" w:line="264"/>
              <w:jc w:val="left"/>
            </w:pPr>
            <w:r>
              <w:rPr>
                <w:b w:val="false"/>
                <w:bCs w:val="false"/>
                <w:color w:val="14110F"/>
                <w:sz w:val="18"/>
                <w:szCs w:val="18"/>
              </w:rPr>
              <w:t xml:space="preserve">Non-profit, pensions, FS</w:t>
            </w:r>
          </w:p>
        </w:tc>
      </w:tr>
      <w:tr>
        <w:tc>
          <w:tcPr>
            <w:tcW w:type="dxa" w:w="4680"/>
            <w:tcBorders>
              <w:top w:val="single" w:color="D9D9D9" w:sz="1"/>
              <w:left w:val="single" w:color="D9D9D9" w:sz="1"/>
              <w:bottom w:val="single" w:color="D9D9D9" w:sz="1"/>
              <w:right w:val="single" w:color="D9D9D9" w:sz="1"/>
            </w:tcBorders>
            <w:tcMar>
              <w:top w:type="dxa" w:w="70"/>
              <w:left w:type="dxa" w:w="110"/>
              <w:bottom w:type="dxa" w:w="70"/>
              <w:right w:type="dxa" w:w="110"/>
            </w:tcMar>
          </w:tcPr>
          <w:p>
            <w:pPr>
              <w:spacing w:after="0" w:line="264"/>
              <w:jc w:val="left"/>
            </w:pPr>
            <w:r>
              <w:rPr>
                <w:b/>
                <w:bCs/>
                <w:color w:val="14110F"/>
                <w:sz w:val="18"/>
                <w:szCs w:val="18"/>
              </w:rPr>
              <w:t xml:space="preserve">PKF Littlejohn</w:t>
            </w:r>
          </w:p>
        </w:tc>
        <w:tc>
          <w:tcPr>
            <w:tcW w:type="dxa" w:w="4680"/>
            <w:tcBorders>
              <w:top w:val="single" w:color="D9D9D9" w:sz="1"/>
              <w:left w:val="single" w:color="D9D9D9" w:sz="1"/>
              <w:bottom w:val="single" w:color="D9D9D9" w:sz="1"/>
              <w:right w:val="single" w:color="D9D9D9" w:sz="1"/>
            </w:tcBorders>
            <w:tcMar>
              <w:top w:type="dxa" w:w="70"/>
              <w:left w:type="dxa" w:w="110"/>
              <w:bottom w:type="dxa" w:w="70"/>
              <w:right w:type="dxa" w:w="110"/>
            </w:tcMar>
          </w:tcPr>
          <w:p>
            <w:pPr>
              <w:spacing w:after="0" w:line="264"/>
              <w:jc w:val="left"/>
            </w:pPr>
            <w:r>
              <w:rPr>
                <w:b w:val="false"/>
                <w:bCs w:val="false"/>
                <w:color w:val="14110F"/>
                <w:sz w:val="18"/>
                <w:szCs w:val="18"/>
              </w:rPr>
              <w:t xml:space="preserve">Listed-company audit, FS</w:t>
            </w:r>
          </w:p>
        </w:tc>
      </w:tr>
      <w:tr>
        <w:tc>
          <w:tcPr>
            <w:tcW w:type="dxa" w:w="4680"/>
            <w:tcBorders>
              <w:top w:val="single" w:color="D9D9D9" w:sz="1"/>
              <w:left w:val="single" w:color="D9D9D9" w:sz="1"/>
              <w:bottom w:val="single" w:color="D9D9D9" w:sz="1"/>
              <w:right w:val="single" w:color="D9D9D9" w:sz="1"/>
            </w:tcBorders>
            <w:shd w:fill="F5F7F1" w:val="clear"/>
            <w:tcMar>
              <w:top w:type="dxa" w:w="70"/>
              <w:left w:type="dxa" w:w="110"/>
              <w:bottom w:type="dxa" w:w="70"/>
              <w:right w:type="dxa" w:w="110"/>
            </w:tcMar>
          </w:tcPr>
          <w:p>
            <w:pPr>
              <w:spacing w:after="0" w:line="264"/>
              <w:jc w:val="left"/>
            </w:pPr>
            <w:r>
              <w:rPr>
                <w:b/>
                <w:bCs/>
                <w:color w:val="14110F"/>
                <w:sz w:val="18"/>
                <w:szCs w:val="18"/>
              </w:rPr>
              <w:t xml:space="preserve">Saffery</w:t>
            </w:r>
          </w:p>
        </w:tc>
        <w:tc>
          <w:tcPr>
            <w:tcW w:type="dxa" w:w="4680"/>
            <w:tcBorders>
              <w:top w:val="single" w:color="D9D9D9" w:sz="1"/>
              <w:left w:val="single" w:color="D9D9D9" w:sz="1"/>
              <w:bottom w:val="single" w:color="D9D9D9" w:sz="1"/>
              <w:right w:val="single" w:color="D9D9D9" w:sz="1"/>
            </w:tcBorders>
            <w:shd w:fill="F5F7F1" w:val="clear"/>
            <w:tcMar>
              <w:top w:type="dxa" w:w="70"/>
              <w:left w:type="dxa" w:w="110"/>
              <w:bottom w:type="dxa" w:w="70"/>
              <w:right w:type="dxa" w:w="110"/>
            </w:tcMar>
          </w:tcPr>
          <w:p>
            <w:pPr>
              <w:spacing w:after="0" w:line="264"/>
              <w:jc w:val="left"/>
            </w:pPr>
            <w:r>
              <w:rPr>
                <w:b w:val="false"/>
                <w:bCs w:val="false"/>
                <w:color w:val="14110F"/>
                <w:sz w:val="18"/>
                <w:szCs w:val="18"/>
              </w:rPr>
              <w:t xml:space="preserve">Private wealth, estates</w:t>
            </w:r>
          </w:p>
        </w:tc>
      </w:tr>
      <w:tr>
        <w:tc>
          <w:tcPr>
            <w:tcW w:type="dxa" w:w="4680"/>
            <w:tcBorders>
              <w:top w:val="single" w:color="D9D9D9" w:sz="1"/>
              <w:left w:val="single" w:color="D9D9D9" w:sz="1"/>
              <w:bottom w:val="single" w:color="D9D9D9" w:sz="1"/>
              <w:right w:val="single" w:color="D9D9D9" w:sz="1"/>
            </w:tcBorders>
            <w:tcMar>
              <w:top w:type="dxa" w:w="70"/>
              <w:left w:type="dxa" w:w="110"/>
              <w:bottom w:type="dxa" w:w="70"/>
              <w:right w:type="dxa" w:w="110"/>
            </w:tcMar>
          </w:tcPr>
          <w:p>
            <w:pPr>
              <w:spacing w:after="0" w:line="264"/>
              <w:jc w:val="left"/>
            </w:pPr>
            <w:r>
              <w:rPr>
                <w:b/>
                <w:bCs/>
                <w:color w:val="14110F"/>
                <w:sz w:val="18"/>
                <w:szCs w:val="18"/>
              </w:rPr>
              <w:t xml:space="preserve">Menzies</w:t>
            </w:r>
          </w:p>
        </w:tc>
        <w:tc>
          <w:tcPr>
            <w:tcW w:type="dxa" w:w="4680"/>
            <w:tcBorders>
              <w:top w:val="single" w:color="D9D9D9" w:sz="1"/>
              <w:left w:val="single" w:color="D9D9D9" w:sz="1"/>
              <w:bottom w:val="single" w:color="D9D9D9" w:sz="1"/>
              <w:right w:val="single" w:color="D9D9D9" w:sz="1"/>
            </w:tcBorders>
            <w:tcMar>
              <w:top w:type="dxa" w:w="70"/>
              <w:left w:type="dxa" w:w="110"/>
              <w:bottom w:type="dxa" w:w="70"/>
              <w:right w:type="dxa" w:w="110"/>
            </w:tcMar>
          </w:tcPr>
          <w:p>
            <w:pPr>
              <w:spacing w:after="0" w:line="264"/>
              <w:jc w:val="left"/>
            </w:pPr>
            <w:r>
              <w:rPr>
                <w:b w:val="false"/>
                <w:bCs w:val="false"/>
                <w:color w:val="14110F"/>
                <w:sz w:val="18"/>
                <w:szCs w:val="18"/>
              </w:rPr>
              <w:t xml:space="preserve">London/South-East mid-market</w:t>
            </w:r>
          </w:p>
        </w:tc>
      </w:tr>
      <w:tr>
        <w:tc>
          <w:tcPr>
            <w:tcW w:type="dxa" w:w="4680"/>
            <w:tcBorders>
              <w:top w:val="single" w:color="D9D9D9" w:sz="1"/>
              <w:left w:val="single" w:color="D9D9D9" w:sz="1"/>
              <w:bottom w:val="single" w:color="D9D9D9" w:sz="1"/>
              <w:right w:val="single" w:color="D9D9D9" w:sz="1"/>
            </w:tcBorders>
            <w:shd w:fill="F5F7F1" w:val="clear"/>
            <w:tcMar>
              <w:top w:type="dxa" w:w="70"/>
              <w:left w:type="dxa" w:w="110"/>
              <w:bottom w:type="dxa" w:w="70"/>
              <w:right w:type="dxa" w:w="110"/>
            </w:tcMar>
          </w:tcPr>
          <w:p>
            <w:pPr>
              <w:spacing w:after="0" w:line="264"/>
              <w:jc w:val="left"/>
            </w:pPr>
            <w:r>
              <w:rPr>
                <w:b/>
                <w:bCs/>
                <w:color w:val="14110F"/>
                <w:sz w:val="18"/>
                <w:szCs w:val="18"/>
              </w:rPr>
              <w:t xml:space="preserve">Blick Rothenberg</w:t>
            </w:r>
          </w:p>
        </w:tc>
        <w:tc>
          <w:tcPr>
            <w:tcW w:type="dxa" w:w="4680"/>
            <w:tcBorders>
              <w:top w:val="single" w:color="D9D9D9" w:sz="1"/>
              <w:left w:val="single" w:color="D9D9D9" w:sz="1"/>
              <w:bottom w:val="single" w:color="D9D9D9" w:sz="1"/>
              <w:right w:val="single" w:color="D9D9D9" w:sz="1"/>
            </w:tcBorders>
            <w:shd w:fill="F5F7F1" w:val="clear"/>
            <w:tcMar>
              <w:top w:type="dxa" w:w="70"/>
              <w:left w:type="dxa" w:w="110"/>
              <w:bottom w:type="dxa" w:w="70"/>
              <w:right w:type="dxa" w:w="110"/>
            </w:tcMar>
          </w:tcPr>
          <w:p>
            <w:pPr>
              <w:spacing w:after="0" w:line="264"/>
              <w:jc w:val="left"/>
            </w:pPr>
            <w:r>
              <w:rPr>
                <w:b w:val="false"/>
                <w:bCs w:val="false"/>
                <w:color w:val="14110F"/>
                <w:sz w:val="18"/>
                <w:szCs w:val="18"/>
              </w:rPr>
              <w:t xml:space="preserve">Entrepreneurs; intl private client</w:t>
            </w:r>
          </w:p>
        </w:tc>
      </w:tr>
      <w:tr>
        <w:tc>
          <w:tcPr>
            <w:tcW w:type="dxa" w:w="4680"/>
            <w:tcBorders>
              <w:top w:val="single" w:color="D9D9D9" w:sz="1"/>
              <w:left w:val="single" w:color="D9D9D9" w:sz="1"/>
              <w:bottom w:val="single" w:color="D9D9D9" w:sz="1"/>
              <w:right w:val="single" w:color="D9D9D9" w:sz="1"/>
            </w:tcBorders>
            <w:tcMar>
              <w:top w:type="dxa" w:w="70"/>
              <w:left w:type="dxa" w:w="110"/>
              <w:bottom w:type="dxa" w:w="70"/>
              <w:right w:type="dxa" w:w="110"/>
            </w:tcMar>
          </w:tcPr>
          <w:p>
            <w:pPr>
              <w:spacing w:after="0" w:line="264"/>
              <w:jc w:val="left"/>
            </w:pPr>
            <w:r>
              <w:rPr>
                <w:b/>
                <w:bCs/>
                <w:color w:val="14110F"/>
                <w:sz w:val="18"/>
                <w:szCs w:val="18"/>
              </w:rPr>
              <w:t xml:space="preserve">Buzzacott</w:t>
            </w:r>
          </w:p>
        </w:tc>
        <w:tc>
          <w:tcPr>
            <w:tcW w:type="dxa" w:w="4680"/>
            <w:tcBorders>
              <w:top w:val="single" w:color="D9D9D9" w:sz="1"/>
              <w:left w:val="single" w:color="D9D9D9" w:sz="1"/>
              <w:bottom w:val="single" w:color="D9D9D9" w:sz="1"/>
              <w:right w:val="single" w:color="D9D9D9" w:sz="1"/>
            </w:tcBorders>
            <w:tcMar>
              <w:top w:type="dxa" w:w="70"/>
              <w:left w:type="dxa" w:w="110"/>
              <w:bottom w:type="dxa" w:w="70"/>
              <w:right w:type="dxa" w:w="110"/>
            </w:tcMar>
          </w:tcPr>
          <w:p>
            <w:pPr>
              <w:spacing w:after="0" w:line="264"/>
              <w:jc w:val="left"/>
            </w:pPr>
            <w:r>
              <w:rPr>
                <w:b w:val="false"/>
                <w:bCs w:val="false"/>
                <w:color w:val="14110F"/>
                <w:sz w:val="18"/>
                <w:szCs w:val="18"/>
              </w:rPr>
              <w:t xml:space="preserve">Single-office; world-class site</w:t>
            </w:r>
          </w:p>
        </w:tc>
      </w:tr>
      <w:tr>
        <w:tc>
          <w:tcPr>
            <w:tcW w:type="dxa" w:w="4680"/>
            <w:tcBorders>
              <w:top w:val="single" w:color="D9D9D9" w:sz="1"/>
              <w:left w:val="single" w:color="D9D9D9" w:sz="1"/>
              <w:bottom w:val="single" w:color="D9D9D9" w:sz="1"/>
              <w:right w:val="single" w:color="D9D9D9" w:sz="1"/>
            </w:tcBorders>
            <w:shd w:fill="F5F7F1" w:val="clear"/>
            <w:tcMar>
              <w:top w:type="dxa" w:w="70"/>
              <w:left w:type="dxa" w:w="110"/>
              <w:bottom w:type="dxa" w:w="70"/>
              <w:right w:type="dxa" w:w="110"/>
            </w:tcMar>
          </w:tcPr>
          <w:p>
            <w:pPr>
              <w:spacing w:after="0" w:line="264"/>
              <w:jc w:val="left"/>
            </w:pPr>
            <w:r>
              <w:rPr>
                <w:b/>
                <w:bCs/>
                <w:color w:val="14110F"/>
                <w:sz w:val="18"/>
                <w:szCs w:val="18"/>
              </w:rPr>
              <w:t xml:space="preserve">Moore Kingston Smith</w:t>
            </w:r>
          </w:p>
        </w:tc>
        <w:tc>
          <w:tcPr>
            <w:tcW w:type="dxa" w:w="4680"/>
            <w:tcBorders>
              <w:top w:val="single" w:color="D9D9D9" w:sz="1"/>
              <w:left w:val="single" w:color="D9D9D9" w:sz="1"/>
              <w:bottom w:val="single" w:color="D9D9D9" w:sz="1"/>
              <w:right w:val="single" w:color="D9D9D9" w:sz="1"/>
            </w:tcBorders>
            <w:shd w:fill="F5F7F1" w:val="clear"/>
            <w:tcMar>
              <w:top w:type="dxa" w:w="70"/>
              <w:left w:type="dxa" w:w="110"/>
              <w:bottom w:type="dxa" w:w="70"/>
              <w:right w:type="dxa" w:w="110"/>
            </w:tcMar>
          </w:tcPr>
          <w:p>
            <w:pPr>
              <w:spacing w:after="0" w:line="264"/>
              <w:jc w:val="left"/>
            </w:pPr>
            <w:r>
              <w:rPr>
                <w:b w:val="false"/>
                <w:bCs w:val="false"/>
                <w:color w:val="14110F"/>
                <w:sz w:val="18"/>
                <w:szCs w:val="18"/>
              </w:rPr>
              <w:t xml:space="preserve">Moore Global; media/charities</w:t>
            </w:r>
          </w:p>
        </w:tc>
      </w:tr>
      <w:tr>
        <w:tc>
          <w:tcPr>
            <w:tcW w:type="dxa" w:w="4680"/>
            <w:tcBorders>
              <w:top w:val="single" w:color="D9D9D9" w:sz="1"/>
              <w:left w:val="single" w:color="D9D9D9" w:sz="1"/>
              <w:bottom w:val="single" w:color="D9D9D9" w:sz="1"/>
              <w:right w:val="single" w:color="D9D9D9" w:sz="1"/>
            </w:tcBorders>
            <w:tcMar>
              <w:top w:type="dxa" w:w="70"/>
              <w:left w:type="dxa" w:w="110"/>
              <w:bottom w:type="dxa" w:w="70"/>
              <w:right w:type="dxa" w:w="110"/>
            </w:tcMar>
          </w:tcPr>
          <w:p>
            <w:pPr>
              <w:spacing w:after="0" w:line="264"/>
              <w:jc w:val="left"/>
            </w:pPr>
            <w:r>
              <w:rPr>
                <w:b/>
                <w:bCs/>
                <w:color w:val="14110F"/>
                <w:sz w:val="18"/>
                <w:szCs w:val="18"/>
              </w:rPr>
              <w:t xml:space="preserve">HaysMac (haysmacintyre)</w:t>
            </w:r>
          </w:p>
        </w:tc>
        <w:tc>
          <w:tcPr>
            <w:tcW w:type="dxa" w:w="4680"/>
            <w:tcBorders>
              <w:top w:val="single" w:color="D9D9D9" w:sz="1"/>
              <w:left w:val="single" w:color="D9D9D9" w:sz="1"/>
              <w:bottom w:val="single" w:color="D9D9D9" w:sz="1"/>
              <w:right w:val="single" w:color="D9D9D9" w:sz="1"/>
            </w:tcBorders>
            <w:tcMar>
              <w:top w:type="dxa" w:w="70"/>
              <w:left w:type="dxa" w:w="110"/>
              <w:bottom w:type="dxa" w:w="70"/>
              <w:right w:type="dxa" w:w="110"/>
            </w:tcMar>
          </w:tcPr>
          <w:p>
            <w:pPr>
              <w:spacing w:after="0" w:line="264"/>
              <w:jc w:val="left"/>
            </w:pPr>
            <w:r>
              <w:rPr>
                <w:b w:val="false"/>
                <w:bCs w:val="false"/>
                <w:color w:val="14110F"/>
                <w:sz w:val="18"/>
                <w:szCs w:val="18"/>
              </w:rPr>
              <w:t xml:space="preserve">Award-winning rebrand</w:t>
            </w:r>
          </w:p>
        </w:tc>
      </w:tr>
      <w:tr>
        <w:tc>
          <w:tcPr>
            <w:tcW w:type="dxa" w:w="4680"/>
            <w:tcBorders>
              <w:top w:val="single" w:color="D9D9D9" w:sz="1"/>
              <w:left w:val="single" w:color="D9D9D9" w:sz="1"/>
              <w:bottom w:val="single" w:color="D9D9D9" w:sz="1"/>
              <w:right w:val="single" w:color="D9D9D9" w:sz="1"/>
            </w:tcBorders>
            <w:shd w:fill="F5F7F1" w:val="clear"/>
            <w:tcMar>
              <w:top w:type="dxa" w:w="70"/>
              <w:left w:type="dxa" w:w="110"/>
              <w:bottom w:type="dxa" w:w="70"/>
              <w:right w:type="dxa" w:w="110"/>
            </w:tcMar>
          </w:tcPr>
          <w:p>
            <w:pPr>
              <w:spacing w:after="0" w:line="264"/>
              <w:jc w:val="left"/>
            </w:pPr>
            <w:r>
              <w:rPr>
                <w:b/>
                <w:bCs/>
                <w:color w:val="14110F"/>
                <w:sz w:val="18"/>
                <w:szCs w:val="18"/>
              </w:rPr>
              <w:t xml:space="preserve">HW Fisher</w:t>
            </w:r>
          </w:p>
        </w:tc>
        <w:tc>
          <w:tcPr>
            <w:tcW w:type="dxa" w:w="4680"/>
            <w:tcBorders>
              <w:top w:val="single" w:color="D9D9D9" w:sz="1"/>
              <w:left w:val="single" w:color="D9D9D9" w:sz="1"/>
              <w:bottom w:val="single" w:color="D9D9D9" w:sz="1"/>
              <w:right w:val="single" w:color="D9D9D9" w:sz="1"/>
            </w:tcBorders>
            <w:shd w:fill="F5F7F1" w:val="clear"/>
            <w:tcMar>
              <w:top w:type="dxa" w:w="70"/>
              <w:left w:type="dxa" w:w="110"/>
              <w:bottom w:type="dxa" w:w="70"/>
              <w:right w:type="dxa" w:w="110"/>
            </w:tcMar>
          </w:tcPr>
          <w:p>
            <w:pPr>
              <w:spacing w:after="0" w:line="264"/>
              <w:jc w:val="left"/>
            </w:pPr>
            <w:r>
              <w:rPr>
                <w:b w:val="false"/>
                <w:bCs w:val="false"/>
                <w:color w:val="14110F"/>
                <w:sz w:val="18"/>
                <w:szCs w:val="18"/>
              </w:rPr>
              <w:t xml:space="preserve">Media &amp; entertainment</w:t>
            </w:r>
          </w:p>
        </w:tc>
      </w:tr>
      <w:tr>
        <w:tc>
          <w:tcPr>
            <w:tcW w:type="dxa" w:w="4680"/>
            <w:tcBorders>
              <w:top w:val="single" w:color="D9D9D9" w:sz="1"/>
              <w:left w:val="single" w:color="D9D9D9" w:sz="1"/>
              <w:bottom w:val="single" w:color="D9D9D9" w:sz="1"/>
              <w:right w:val="single" w:color="D9D9D9" w:sz="1"/>
            </w:tcBorders>
            <w:tcMar>
              <w:top w:type="dxa" w:w="70"/>
              <w:left w:type="dxa" w:w="110"/>
              <w:bottom w:type="dxa" w:w="70"/>
              <w:right w:type="dxa" w:w="110"/>
            </w:tcMar>
          </w:tcPr>
          <w:p>
            <w:pPr>
              <w:spacing w:after="0" w:line="264"/>
              <w:jc w:val="left"/>
            </w:pPr>
            <w:r>
              <w:rPr>
                <w:b/>
                <w:bCs/>
                <w:color w:val="14110F"/>
                <w:sz w:val="18"/>
                <w:szCs w:val="18"/>
              </w:rPr>
              <w:t xml:space="preserve">BKL</w:t>
            </w:r>
          </w:p>
        </w:tc>
        <w:tc>
          <w:tcPr>
            <w:tcW w:type="dxa" w:w="4680"/>
            <w:tcBorders>
              <w:top w:val="single" w:color="D9D9D9" w:sz="1"/>
              <w:left w:val="single" w:color="D9D9D9" w:sz="1"/>
              <w:bottom w:val="single" w:color="D9D9D9" w:sz="1"/>
              <w:right w:val="single" w:color="D9D9D9" w:sz="1"/>
            </w:tcBorders>
            <w:tcMar>
              <w:top w:type="dxa" w:w="70"/>
              <w:left w:type="dxa" w:w="110"/>
              <w:bottom w:type="dxa" w:w="70"/>
              <w:right w:type="dxa" w:w="110"/>
            </w:tcMar>
          </w:tcPr>
          <w:p>
            <w:pPr>
              <w:spacing w:after="0" w:line="264"/>
              <w:jc w:val="left"/>
            </w:pPr>
            <w:r>
              <w:rPr>
                <w:b w:val="false"/>
                <w:bCs w:val="false"/>
                <w:color w:val="14110F"/>
                <w:sz w:val="18"/>
                <w:szCs w:val="18"/>
              </w:rPr>
              <w:t xml:space="preserve">Entrepreneurs, property</w:t>
            </w:r>
          </w:p>
        </w:tc>
      </w:tr>
      <w:tr>
        <w:tc>
          <w:tcPr>
            <w:tcW w:type="dxa" w:w="4680"/>
            <w:tcBorders>
              <w:top w:val="single" w:color="D9D9D9" w:sz="1"/>
              <w:left w:val="single" w:color="D9D9D9" w:sz="1"/>
              <w:bottom w:val="single" w:color="D9D9D9" w:sz="1"/>
              <w:right w:val="single" w:color="D9D9D9" w:sz="1"/>
            </w:tcBorders>
            <w:shd w:fill="F5F7F1" w:val="clear"/>
            <w:tcMar>
              <w:top w:type="dxa" w:w="70"/>
              <w:left w:type="dxa" w:w="110"/>
              <w:bottom w:type="dxa" w:w="70"/>
              <w:right w:type="dxa" w:w="110"/>
            </w:tcMar>
          </w:tcPr>
          <w:p>
            <w:pPr>
              <w:spacing w:after="0" w:line="264"/>
              <w:jc w:val="left"/>
            </w:pPr>
            <w:r>
              <w:rPr>
                <w:b/>
                <w:bCs/>
                <w:color w:val="14110F"/>
                <w:sz w:val="18"/>
                <w:szCs w:val="18"/>
              </w:rPr>
              <w:t xml:space="preserve">Wilson Wright</w:t>
            </w:r>
          </w:p>
        </w:tc>
        <w:tc>
          <w:tcPr>
            <w:tcW w:type="dxa" w:w="4680"/>
            <w:tcBorders>
              <w:top w:val="single" w:color="D9D9D9" w:sz="1"/>
              <w:left w:val="single" w:color="D9D9D9" w:sz="1"/>
              <w:bottom w:val="single" w:color="D9D9D9" w:sz="1"/>
              <w:right w:val="single" w:color="D9D9D9" w:sz="1"/>
            </w:tcBorders>
            <w:shd w:fill="F5F7F1" w:val="clear"/>
            <w:tcMar>
              <w:top w:type="dxa" w:w="70"/>
              <w:left w:type="dxa" w:w="110"/>
              <w:bottom w:type="dxa" w:w="70"/>
              <w:right w:type="dxa" w:w="110"/>
            </w:tcMar>
          </w:tcPr>
          <w:p>
            <w:pPr>
              <w:spacing w:after="0" w:line="264"/>
              <w:jc w:val="left"/>
            </w:pPr>
            <w:r>
              <w:rPr>
                <w:b w:val="false"/>
                <w:bCs w:val="false"/>
                <w:color w:val="14110F"/>
                <w:sz w:val="18"/>
                <w:szCs w:val="18"/>
              </w:rPr>
              <w:t xml:space="preserve">Sports, media, private clients</w:t>
            </w:r>
          </w:p>
        </w:tc>
      </w:tr>
      <w:tr>
        <w:tc>
          <w:tcPr>
            <w:tcW w:type="dxa" w:w="4680"/>
            <w:tcBorders>
              <w:top w:val="single" w:color="D9D9D9" w:sz="1"/>
              <w:left w:val="single" w:color="D9D9D9" w:sz="1"/>
              <w:bottom w:val="single" w:color="D9D9D9" w:sz="1"/>
              <w:right w:val="single" w:color="D9D9D9" w:sz="1"/>
            </w:tcBorders>
            <w:tcMar>
              <w:top w:type="dxa" w:w="70"/>
              <w:left w:type="dxa" w:w="110"/>
              <w:bottom w:type="dxa" w:w="70"/>
              <w:right w:type="dxa" w:w="110"/>
            </w:tcMar>
          </w:tcPr>
          <w:p>
            <w:pPr>
              <w:spacing w:after="0" w:line="264"/>
              <w:jc w:val="left"/>
            </w:pPr>
            <w:r>
              <w:rPr>
                <w:b/>
                <w:bCs/>
                <w:color w:val="14110F"/>
                <w:sz w:val="18"/>
                <w:szCs w:val="18"/>
              </w:rPr>
              <w:t xml:space="preserve">Gerald Edelman</w:t>
            </w:r>
          </w:p>
        </w:tc>
        <w:tc>
          <w:tcPr>
            <w:tcW w:type="dxa" w:w="4680"/>
            <w:tcBorders>
              <w:top w:val="single" w:color="D9D9D9" w:sz="1"/>
              <w:left w:val="single" w:color="D9D9D9" w:sz="1"/>
              <w:bottom w:val="single" w:color="D9D9D9" w:sz="1"/>
              <w:right w:val="single" w:color="D9D9D9" w:sz="1"/>
            </w:tcBorders>
            <w:tcMar>
              <w:top w:type="dxa" w:w="70"/>
              <w:left w:type="dxa" w:w="110"/>
              <w:bottom w:type="dxa" w:w="70"/>
              <w:right w:type="dxa" w:w="110"/>
            </w:tcMar>
          </w:tcPr>
          <w:p>
            <w:pPr>
              <w:spacing w:after="0" w:line="264"/>
              <w:jc w:val="left"/>
            </w:pPr>
            <w:r>
              <w:rPr>
                <w:b w:val="false"/>
                <w:bCs w:val="false"/>
                <w:color w:val="14110F"/>
                <w:sz w:val="18"/>
                <w:szCs w:val="18"/>
              </w:rPr>
              <w:t xml:space="preserve">B-Corp; strong trust signalling</w:t>
            </w:r>
          </w:p>
        </w:tc>
      </w:tr>
      <w:tr>
        <w:tc>
          <w:tcPr>
            <w:tcW w:type="dxa" w:w="4680"/>
            <w:tcBorders>
              <w:top w:val="single" w:color="D9D9D9" w:sz="1"/>
              <w:left w:val="single" w:color="D9D9D9" w:sz="1"/>
              <w:bottom w:val="single" w:color="D9D9D9" w:sz="1"/>
              <w:right w:val="single" w:color="D9D9D9" w:sz="1"/>
            </w:tcBorders>
            <w:shd w:fill="F5F7F1" w:val="clear"/>
            <w:tcMar>
              <w:top w:type="dxa" w:w="70"/>
              <w:left w:type="dxa" w:w="110"/>
              <w:bottom w:type="dxa" w:w="70"/>
              <w:right w:type="dxa" w:w="110"/>
            </w:tcMar>
          </w:tcPr>
          <w:p>
            <w:pPr>
              <w:spacing w:after="0" w:line="264"/>
              <w:jc w:val="left"/>
            </w:pPr>
            <w:r>
              <w:rPr>
                <w:b/>
                <w:bCs/>
                <w:color w:val="14110F"/>
                <w:sz w:val="18"/>
                <w:szCs w:val="18"/>
              </w:rPr>
              <w:t xml:space="preserve">Lubbock Fine</w:t>
            </w:r>
          </w:p>
        </w:tc>
        <w:tc>
          <w:tcPr>
            <w:tcW w:type="dxa" w:w="4680"/>
            <w:tcBorders>
              <w:top w:val="single" w:color="D9D9D9" w:sz="1"/>
              <w:left w:val="single" w:color="D9D9D9" w:sz="1"/>
              <w:bottom w:val="single" w:color="D9D9D9" w:sz="1"/>
              <w:right w:val="single" w:color="D9D9D9" w:sz="1"/>
            </w:tcBorders>
            <w:shd w:fill="F5F7F1" w:val="clear"/>
            <w:tcMar>
              <w:top w:type="dxa" w:w="70"/>
              <w:left w:type="dxa" w:w="110"/>
              <w:bottom w:type="dxa" w:w="70"/>
              <w:right w:type="dxa" w:w="110"/>
            </w:tcMar>
          </w:tcPr>
          <w:p>
            <w:pPr>
              <w:spacing w:after="0" w:line="264"/>
              <w:jc w:val="left"/>
            </w:pPr>
            <w:r>
              <w:rPr>
                <w:b w:val="false"/>
                <w:bCs w:val="false"/>
                <w:color w:val="14110F"/>
                <w:sz w:val="18"/>
                <w:szCs w:val="18"/>
              </w:rPr>
              <w:t xml:space="preserve">Russell Bedford member</w:t>
            </w:r>
          </w:p>
        </w:tc>
      </w:tr>
      <w:tr>
        <w:tc>
          <w:tcPr>
            <w:tcW w:type="dxa" w:w="4680"/>
            <w:tcBorders>
              <w:top w:val="single" w:color="D9D9D9" w:sz="1"/>
              <w:left w:val="single" w:color="D9D9D9" w:sz="1"/>
              <w:bottom w:val="single" w:color="D9D9D9" w:sz="1"/>
              <w:right w:val="single" w:color="D9D9D9" w:sz="1"/>
            </w:tcBorders>
            <w:tcMar>
              <w:top w:type="dxa" w:w="70"/>
              <w:left w:type="dxa" w:w="110"/>
              <w:bottom w:type="dxa" w:w="70"/>
              <w:right w:type="dxa" w:w="110"/>
            </w:tcMar>
          </w:tcPr>
          <w:p>
            <w:pPr>
              <w:spacing w:after="0" w:line="264"/>
              <w:jc w:val="left"/>
            </w:pPr>
            <w:r>
              <w:rPr>
                <w:b/>
                <w:bCs/>
                <w:color w:val="14110F"/>
                <w:sz w:val="18"/>
                <w:szCs w:val="18"/>
              </w:rPr>
              <w:t xml:space="preserve">Price Bailey</w:t>
            </w:r>
          </w:p>
        </w:tc>
        <w:tc>
          <w:tcPr>
            <w:tcW w:type="dxa" w:w="4680"/>
            <w:tcBorders>
              <w:top w:val="single" w:color="D9D9D9" w:sz="1"/>
              <w:left w:val="single" w:color="D9D9D9" w:sz="1"/>
              <w:bottom w:val="single" w:color="D9D9D9" w:sz="1"/>
              <w:right w:val="single" w:color="D9D9D9" w:sz="1"/>
            </w:tcBorders>
            <w:tcMar>
              <w:top w:type="dxa" w:w="70"/>
              <w:left w:type="dxa" w:w="110"/>
              <w:bottom w:type="dxa" w:w="70"/>
              <w:right w:type="dxa" w:w="110"/>
            </w:tcMar>
          </w:tcPr>
          <w:p>
            <w:pPr>
              <w:spacing w:after="0" w:line="264"/>
              <w:jc w:val="left"/>
            </w:pPr>
            <w:r>
              <w:rPr>
                <w:b w:val="false"/>
                <w:bCs w:val="false"/>
                <w:color w:val="14110F"/>
                <w:sz w:val="18"/>
                <w:szCs w:val="18"/>
              </w:rPr>
              <w:t xml:space="preserve">Strategy-led; international</w:t>
            </w:r>
          </w:p>
        </w:tc>
      </w:tr>
      <w:tr>
        <w:tc>
          <w:tcPr>
            <w:tcW w:type="dxa" w:w="4680"/>
            <w:tcBorders>
              <w:top w:val="single" w:color="D9D9D9" w:sz="1"/>
              <w:left w:val="single" w:color="D9D9D9" w:sz="1"/>
              <w:bottom w:val="single" w:color="D9D9D9" w:sz="1"/>
              <w:right w:val="single" w:color="D9D9D9" w:sz="1"/>
            </w:tcBorders>
            <w:shd w:fill="F5F7F1" w:val="clear"/>
            <w:tcMar>
              <w:top w:type="dxa" w:w="70"/>
              <w:left w:type="dxa" w:w="110"/>
              <w:bottom w:type="dxa" w:w="70"/>
              <w:right w:type="dxa" w:w="110"/>
            </w:tcMar>
          </w:tcPr>
          <w:p>
            <w:pPr>
              <w:spacing w:after="0" w:line="264"/>
              <w:jc w:val="left"/>
            </w:pPr>
            <w:r>
              <w:rPr>
                <w:b/>
                <w:bCs/>
                <w:color w:val="14110F"/>
                <w:sz w:val="18"/>
                <w:szCs w:val="18"/>
              </w:rPr>
              <w:t xml:space="preserve">Kreston Reeves</w:t>
            </w:r>
          </w:p>
        </w:tc>
        <w:tc>
          <w:tcPr>
            <w:tcW w:type="dxa" w:w="4680"/>
            <w:tcBorders>
              <w:top w:val="single" w:color="D9D9D9" w:sz="1"/>
              <w:left w:val="single" w:color="D9D9D9" w:sz="1"/>
              <w:bottom w:val="single" w:color="D9D9D9" w:sz="1"/>
              <w:right w:val="single" w:color="D9D9D9" w:sz="1"/>
            </w:tcBorders>
            <w:shd w:fill="F5F7F1" w:val="clear"/>
            <w:tcMar>
              <w:top w:type="dxa" w:w="70"/>
              <w:left w:type="dxa" w:w="110"/>
              <w:bottom w:type="dxa" w:w="70"/>
              <w:right w:type="dxa" w:w="110"/>
            </w:tcMar>
          </w:tcPr>
          <w:p>
            <w:pPr>
              <w:spacing w:after="0" w:line="264"/>
              <w:jc w:val="left"/>
            </w:pPr>
            <w:r>
              <w:rPr>
                <w:b w:val="false"/>
                <w:bCs w:val="false"/>
                <w:color w:val="14110F"/>
                <w:sz w:val="18"/>
                <w:szCs w:val="18"/>
              </w:rPr>
              <w:t xml:space="preserve">Kreston Global member</w:t>
            </w:r>
          </w:p>
        </w:tc>
      </w:tr>
      <w:tr>
        <w:tc>
          <w:tcPr>
            <w:tcW w:type="dxa" w:w="4680"/>
            <w:tcBorders>
              <w:top w:val="single" w:color="D9D9D9" w:sz="1"/>
              <w:left w:val="single" w:color="D9D9D9" w:sz="1"/>
              <w:bottom w:val="single" w:color="D9D9D9" w:sz="1"/>
              <w:right w:val="single" w:color="D9D9D9" w:sz="1"/>
            </w:tcBorders>
            <w:tcMar>
              <w:top w:type="dxa" w:w="70"/>
              <w:left w:type="dxa" w:w="110"/>
              <w:bottom w:type="dxa" w:w="70"/>
              <w:right w:type="dxa" w:w="110"/>
            </w:tcMar>
          </w:tcPr>
          <w:p>
            <w:pPr>
              <w:spacing w:after="0" w:line="264"/>
              <w:jc w:val="left"/>
            </w:pPr>
            <w:r>
              <w:rPr>
                <w:b/>
                <w:bCs/>
                <w:color w:val="14110F"/>
                <w:sz w:val="18"/>
                <w:szCs w:val="18"/>
              </w:rPr>
              <w:t xml:space="preserve">Mercer &amp; Hole</w:t>
            </w:r>
          </w:p>
        </w:tc>
        <w:tc>
          <w:tcPr>
            <w:tcW w:type="dxa" w:w="4680"/>
            <w:tcBorders>
              <w:top w:val="single" w:color="D9D9D9" w:sz="1"/>
              <w:left w:val="single" w:color="D9D9D9" w:sz="1"/>
              <w:bottom w:val="single" w:color="D9D9D9" w:sz="1"/>
              <w:right w:val="single" w:color="D9D9D9" w:sz="1"/>
            </w:tcBorders>
            <w:tcMar>
              <w:top w:type="dxa" w:w="70"/>
              <w:left w:type="dxa" w:w="110"/>
              <w:bottom w:type="dxa" w:w="70"/>
              <w:right w:type="dxa" w:w="110"/>
            </w:tcMar>
          </w:tcPr>
          <w:p>
            <w:pPr>
              <w:spacing w:after="0" w:line="264"/>
              <w:jc w:val="left"/>
            </w:pPr>
            <w:r>
              <w:rPr>
                <w:b w:val="false"/>
                <w:bCs w:val="false"/>
                <w:color w:val="14110F"/>
                <w:sz w:val="18"/>
                <w:szCs w:val="18"/>
              </w:rPr>
              <w:t xml:space="preserve">Private client, trusts</w:t>
            </w:r>
          </w:p>
        </w:tc>
      </w:tr>
      <w:tr>
        <w:tc>
          <w:tcPr>
            <w:tcW w:type="dxa" w:w="4680"/>
            <w:tcBorders>
              <w:top w:val="single" w:color="D9D9D9" w:sz="1"/>
              <w:left w:val="single" w:color="D9D9D9" w:sz="1"/>
              <w:bottom w:val="single" w:color="D9D9D9" w:sz="1"/>
              <w:right w:val="single" w:color="D9D9D9" w:sz="1"/>
            </w:tcBorders>
            <w:shd w:fill="F5F7F1" w:val="clear"/>
            <w:tcMar>
              <w:top w:type="dxa" w:w="70"/>
              <w:left w:type="dxa" w:w="110"/>
              <w:bottom w:type="dxa" w:w="70"/>
              <w:right w:type="dxa" w:w="110"/>
            </w:tcMar>
          </w:tcPr>
          <w:p>
            <w:pPr>
              <w:spacing w:after="0" w:line="264"/>
              <w:jc w:val="left"/>
            </w:pPr>
            <w:r>
              <w:rPr>
                <w:b/>
                <w:bCs/>
                <w:color w:val="14110F"/>
                <w:sz w:val="18"/>
                <w:szCs w:val="18"/>
              </w:rPr>
              <w:t xml:space="preserve">Goodman Jones</w:t>
            </w:r>
          </w:p>
        </w:tc>
        <w:tc>
          <w:tcPr>
            <w:tcW w:type="dxa" w:w="4680"/>
            <w:tcBorders>
              <w:top w:val="single" w:color="D9D9D9" w:sz="1"/>
              <w:left w:val="single" w:color="D9D9D9" w:sz="1"/>
              <w:bottom w:val="single" w:color="D9D9D9" w:sz="1"/>
              <w:right w:val="single" w:color="D9D9D9" w:sz="1"/>
            </w:tcBorders>
            <w:shd w:fill="F5F7F1" w:val="clear"/>
            <w:tcMar>
              <w:top w:type="dxa" w:w="70"/>
              <w:left w:type="dxa" w:w="110"/>
              <w:bottom w:type="dxa" w:w="70"/>
              <w:right w:type="dxa" w:w="110"/>
            </w:tcMar>
          </w:tcPr>
          <w:p>
            <w:pPr>
              <w:spacing w:after="0" w:line="264"/>
              <w:jc w:val="left"/>
            </w:pPr>
            <w:r>
              <w:rPr>
                <w:b w:val="false"/>
                <w:bCs w:val="false"/>
                <w:color w:val="14110F"/>
                <w:sz w:val="18"/>
                <w:szCs w:val="18"/>
              </w:rPr>
              <w:t xml:space="preserve">West End boutique</w:t>
            </w:r>
          </w:p>
        </w:tc>
      </w:tr>
      <w:tr>
        <w:tc>
          <w:tcPr>
            <w:tcW w:type="dxa" w:w="4680"/>
            <w:tcBorders>
              <w:top w:val="single" w:color="D9D9D9" w:sz="1"/>
              <w:left w:val="single" w:color="D9D9D9" w:sz="1"/>
              <w:bottom w:val="single" w:color="D9D9D9" w:sz="1"/>
              <w:right w:val="single" w:color="D9D9D9" w:sz="1"/>
            </w:tcBorders>
            <w:tcMar>
              <w:top w:type="dxa" w:w="70"/>
              <w:left w:type="dxa" w:w="110"/>
              <w:bottom w:type="dxa" w:w="70"/>
              <w:right w:type="dxa" w:w="110"/>
            </w:tcMar>
          </w:tcPr>
          <w:p>
            <w:pPr>
              <w:spacing w:after="0" w:line="264"/>
              <w:jc w:val="left"/>
            </w:pPr>
            <w:r>
              <w:rPr>
                <w:b/>
                <w:bCs/>
                <w:color w:val="14110F"/>
                <w:sz w:val="18"/>
                <w:szCs w:val="18"/>
              </w:rPr>
              <w:t xml:space="preserve">Sopher + Co</w:t>
            </w:r>
          </w:p>
        </w:tc>
        <w:tc>
          <w:tcPr>
            <w:tcW w:type="dxa" w:w="4680"/>
            <w:tcBorders>
              <w:top w:val="single" w:color="D9D9D9" w:sz="1"/>
              <w:left w:val="single" w:color="D9D9D9" w:sz="1"/>
              <w:bottom w:val="single" w:color="D9D9D9" w:sz="1"/>
              <w:right w:val="single" w:color="D9D9D9" w:sz="1"/>
            </w:tcBorders>
            <w:tcMar>
              <w:top w:type="dxa" w:w="70"/>
              <w:left w:type="dxa" w:w="110"/>
              <w:bottom w:type="dxa" w:w="70"/>
              <w:right w:type="dxa" w:w="110"/>
            </w:tcMar>
          </w:tcPr>
          <w:p>
            <w:pPr>
              <w:spacing w:after="0" w:line="264"/>
              <w:jc w:val="left"/>
            </w:pPr>
            <w:r>
              <w:rPr>
                <w:b w:val="false"/>
                <w:bCs w:val="false"/>
                <w:color w:val="14110F"/>
                <w:sz w:val="18"/>
                <w:szCs w:val="18"/>
              </w:rPr>
              <w:t xml:space="preserve">Entertainment, HNW</w:t>
            </w:r>
          </w:p>
        </w:tc>
      </w:tr>
      <w:tr>
        <w:tc>
          <w:tcPr>
            <w:tcW w:type="dxa" w:w="4680"/>
            <w:tcBorders>
              <w:top w:val="single" w:color="D9D9D9" w:sz="1"/>
              <w:left w:val="single" w:color="D9D9D9" w:sz="1"/>
              <w:bottom w:val="single" w:color="D9D9D9" w:sz="1"/>
              <w:right w:val="single" w:color="D9D9D9" w:sz="1"/>
            </w:tcBorders>
            <w:shd w:fill="F5F7F1" w:val="clear"/>
            <w:tcMar>
              <w:top w:type="dxa" w:w="70"/>
              <w:left w:type="dxa" w:w="110"/>
              <w:bottom w:type="dxa" w:w="70"/>
              <w:right w:type="dxa" w:w="110"/>
            </w:tcMar>
          </w:tcPr>
          <w:p>
            <w:pPr>
              <w:spacing w:after="0" w:line="264"/>
              <w:jc w:val="left"/>
            </w:pPr>
            <w:r>
              <w:rPr>
                <w:b/>
                <w:bCs/>
                <w:color w:val="14110F"/>
                <w:sz w:val="18"/>
                <w:szCs w:val="18"/>
              </w:rPr>
              <w:t xml:space="preserve">Cooper Parry</w:t>
            </w:r>
          </w:p>
        </w:tc>
        <w:tc>
          <w:tcPr>
            <w:tcW w:type="dxa" w:w="4680"/>
            <w:tcBorders>
              <w:top w:val="single" w:color="D9D9D9" w:sz="1"/>
              <w:left w:val="single" w:color="D9D9D9" w:sz="1"/>
              <w:bottom w:val="single" w:color="D9D9D9" w:sz="1"/>
              <w:right w:val="single" w:color="D9D9D9" w:sz="1"/>
            </w:tcBorders>
            <w:shd w:fill="F5F7F1" w:val="clear"/>
            <w:tcMar>
              <w:top w:type="dxa" w:w="70"/>
              <w:left w:type="dxa" w:w="110"/>
              <w:bottom w:type="dxa" w:w="70"/>
              <w:right w:type="dxa" w:w="110"/>
            </w:tcMar>
          </w:tcPr>
          <w:p>
            <w:pPr>
              <w:spacing w:after="0" w:line="264"/>
              <w:jc w:val="left"/>
            </w:pPr>
            <w:r>
              <w:rPr>
                <w:b w:val="false"/>
                <w:bCs w:val="false"/>
                <w:color w:val="14110F"/>
                <w:sz w:val="18"/>
                <w:szCs w:val="18"/>
              </w:rPr>
              <w:t xml:space="preserve">“Goodbye boring” challenger brand</w:t>
            </w:r>
          </w:p>
        </w:tc>
      </w:tr>
    </w:tbl>
    <w:p>
      <w:r>
        <w:br w:type="page"/>
      </w:r>
    </w:p>
    <w:p>
      <w:pPr>
        <w:pStyle w:val="Heading2"/>
      </w:pPr>
      <w:r>
        <w:t xml:space="preserve">New York — 30 firms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9D9D9" w:sz="1"/>
              <w:left w:val="single" w:color="D9D9D9" w:sz="1"/>
              <w:bottom w:val="single" w:color="D9D9D9" w:sz="1"/>
              <w:right w:val="single" w:color="D9D9D9" w:sz="1"/>
            </w:tcBorders>
            <w:shd w:fill="557D27" w:val="clear"/>
            <w:tcMar>
              <w:top w:type="dxa" w:w="70"/>
              <w:left w:type="dxa" w:w="110"/>
              <w:bottom w:type="dxa" w:w="70"/>
              <w:right w:type="dxa" w:w="110"/>
            </w:tcMar>
          </w:tcPr>
          <w:p>
            <w:pPr>
              <w:spacing w:after="0" w:line="264"/>
              <w:jc w:val="left"/>
            </w:pPr>
            <w:r>
              <w:rPr>
                <w:b/>
                <w:bCs/>
                <w:color w:val="FFFFFF"/>
                <w:sz w:val="19"/>
                <w:szCs w:val="19"/>
              </w:rPr>
              <w:t xml:space="preserve">Firm</w:t>
            </w:r>
          </w:p>
        </w:tc>
        <w:tc>
          <w:tcPr>
            <w:tcW w:type="dxa" w:w="4680"/>
            <w:tcBorders>
              <w:top w:val="single" w:color="D9D9D9" w:sz="1"/>
              <w:left w:val="single" w:color="D9D9D9" w:sz="1"/>
              <w:bottom w:val="single" w:color="D9D9D9" w:sz="1"/>
              <w:right w:val="single" w:color="D9D9D9" w:sz="1"/>
            </w:tcBorders>
            <w:shd w:fill="557D27" w:val="clear"/>
            <w:tcMar>
              <w:top w:type="dxa" w:w="70"/>
              <w:left w:type="dxa" w:w="110"/>
              <w:bottom w:type="dxa" w:w="70"/>
              <w:right w:type="dxa" w:w="110"/>
            </w:tcMar>
          </w:tcPr>
          <w:p>
            <w:pPr>
              <w:spacing w:after="0" w:line="264"/>
              <w:jc w:val="left"/>
            </w:pPr>
            <w:r>
              <w:rPr>
                <w:b/>
                <w:bCs/>
                <w:color w:val="FFFFFF"/>
                <w:sz w:val="19"/>
                <w:szCs w:val="19"/>
              </w:rPr>
              <w:t xml:space="preserve">Positioning</w:t>
            </w:r>
          </w:p>
        </w:tc>
      </w:tr>
      <w:tr>
        <w:tc>
          <w:tcPr>
            <w:tcW w:type="dxa" w:w="4680"/>
            <w:tcBorders>
              <w:top w:val="single" w:color="D9D9D9" w:sz="1"/>
              <w:left w:val="single" w:color="D9D9D9" w:sz="1"/>
              <w:bottom w:val="single" w:color="D9D9D9" w:sz="1"/>
              <w:right w:val="single" w:color="D9D9D9" w:sz="1"/>
            </w:tcBorders>
            <w:tcMar>
              <w:top w:type="dxa" w:w="70"/>
              <w:left w:type="dxa" w:w="110"/>
              <w:bottom w:type="dxa" w:w="70"/>
              <w:right w:type="dxa" w:w="110"/>
            </w:tcMar>
          </w:tcPr>
          <w:p>
            <w:pPr>
              <w:spacing w:after="0" w:line="264"/>
              <w:jc w:val="left"/>
            </w:pPr>
            <w:r>
              <w:rPr>
                <w:b/>
                <w:bCs/>
                <w:color w:val="14110F"/>
                <w:sz w:val="18"/>
                <w:szCs w:val="18"/>
              </w:rPr>
              <w:t xml:space="preserve">Deloitte</w:t>
            </w:r>
          </w:p>
        </w:tc>
        <w:tc>
          <w:tcPr>
            <w:tcW w:type="dxa" w:w="4680"/>
            <w:tcBorders>
              <w:top w:val="single" w:color="D9D9D9" w:sz="1"/>
              <w:left w:val="single" w:color="D9D9D9" w:sz="1"/>
              <w:bottom w:val="single" w:color="D9D9D9" w:sz="1"/>
              <w:right w:val="single" w:color="D9D9D9" w:sz="1"/>
            </w:tcBorders>
            <w:tcMar>
              <w:top w:type="dxa" w:w="70"/>
              <w:left w:type="dxa" w:w="110"/>
              <w:bottom w:type="dxa" w:w="70"/>
              <w:right w:type="dxa" w:w="110"/>
            </w:tcMar>
          </w:tcPr>
          <w:p>
            <w:pPr>
              <w:spacing w:after="0" w:line="264"/>
              <w:jc w:val="left"/>
            </w:pPr>
            <w:r>
              <w:rPr>
                <w:b w:val="false"/>
                <w:bCs w:val="false"/>
                <w:color w:val="14110F"/>
                <w:sz w:val="18"/>
                <w:szCs w:val="18"/>
              </w:rPr>
              <w:t xml:space="preserve">Big 4; NYC HQ</w:t>
            </w:r>
          </w:p>
        </w:tc>
      </w:tr>
      <w:tr>
        <w:tc>
          <w:tcPr>
            <w:tcW w:type="dxa" w:w="4680"/>
            <w:tcBorders>
              <w:top w:val="single" w:color="D9D9D9" w:sz="1"/>
              <w:left w:val="single" w:color="D9D9D9" w:sz="1"/>
              <w:bottom w:val="single" w:color="D9D9D9" w:sz="1"/>
              <w:right w:val="single" w:color="D9D9D9" w:sz="1"/>
            </w:tcBorders>
            <w:shd w:fill="F5F7F1" w:val="clear"/>
            <w:tcMar>
              <w:top w:type="dxa" w:w="70"/>
              <w:left w:type="dxa" w:w="110"/>
              <w:bottom w:type="dxa" w:w="70"/>
              <w:right w:type="dxa" w:w="110"/>
            </w:tcMar>
          </w:tcPr>
          <w:p>
            <w:pPr>
              <w:spacing w:after="0" w:line="264"/>
              <w:jc w:val="left"/>
            </w:pPr>
            <w:r>
              <w:rPr>
                <w:b/>
                <w:bCs/>
                <w:color w:val="14110F"/>
                <w:sz w:val="18"/>
                <w:szCs w:val="18"/>
              </w:rPr>
              <w:t xml:space="preserve">PwC</w:t>
            </w:r>
          </w:p>
        </w:tc>
        <w:tc>
          <w:tcPr>
            <w:tcW w:type="dxa" w:w="4680"/>
            <w:tcBorders>
              <w:top w:val="single" w:color="D9D9D9" w:sz="1"/>
              <w:left w:val="single" w:color="D9D9D9" w:sz="1"/>
              <w:bottom w:val="single" w:color="D9D9D9" w:sz="1"/>
              <w:right w:val="single" w:color="D9D9D9" w:sz="1"/>
            </w:tcBorders>
            <w:shd w:fill="F5F7F1" w:val="clear"/>
            <w:tcMar>
              <w:top w:type="dxa" w:w="70"/>
              <w:left w:type="dxa" w:w="110"/>
              <w:bottom w:type="dxa" w:w="70"/>
              <w:right w:type="dxa" w:w="110"/>
            </w:tcMar>
          </w:tcPr>
          <w:p>
            <w:pPr>
              <w:spacing w:after="0" w:line="264"/>
              <w:jc w:val="left"/>
            </w:pPr>
            <w:r>
              <w:rPr>
                <w:b w:val="false"/>
                <w:bCs w:val="false"/>
                <w:color w:val="14110F"/>
                <w:sz w:val="18"/>
                <w:szCs w:val="18"/>
              </w:rPr>
              <w:t xml:space="preserve">Big 4; #1 prestige 2025</w:t>
            </w:r>
          </w:p>
        </w:tc>
      </w:tr>
      <w:tr>
        <w:tc>
          <w:tcPr>
            <w:tcW w:type="dxa" w:w="4680"/>
            <w:tcBorders>
              <w:top w:val="single" w:color="D9D9D9" w:sz="1"/>
              <w:left w:val="single" w:color="D9D9D9" w:sz="1"/>
              <w:bottom w:val="single" w:color="D9D9D9" w:sz="1"/>
              <w:right w:val="single" w:color="D9D9D9" w:sz="1"/>
            </w:tcBorders>
            <w:tcMar>
              <w:top w:type="dxa" w:w="70"/>
              <w:left w:type="dxa" w:w="110"/>
              <w:bottom w:type="dxa" w:w="70"/>
              <w:right w:type="dxa" w:w="110"/>
            </w:tcMar>
          </w:tcPr>
          <w:p>
            <w:pPr>
              <w:spacing w:after="0" w:line="264"/>
              <w:jc w:val="left"/>
            </w:pPr>
            <w:r>
              <w:rPr>
                <w:b/>
                <w:bCs/>
                <w:color w:val="14110F"/>
                <w:sz w:val="18"/>
                <w:szCs w:val="18"/>
              </w:rPr>
              <w:t xml:space="preserve">EY</w:t>
            </w:r>
          </w:p>
        </w:tc>
        <w:tc>
          <w:tcPr>
            <w:tcW w:type="dxa" w:w="4680"/>
            <w:tcBorders>
              <w:top w:val="single" w:color="D9D9D9" w:sz="1"/>
              <w:left w:val="single" w:color="D9D9D9" w:sz="1"/>
              <w:bottom w:val="single" w:color="D9D9D9" w:sz="1"/>
              <w:right w:val="single" w:color="D9D9D9" w:sz="1"/>
            </w:tcBorders>
            <w:tcMar>
              <w:top w:type="dxa" w:w="70"/>
              <w:left w:type="dxa" w:w="110"/>
              <w:bottom w:type="dxa" w:w="70"/>
              <w:right w:type="dxa" w:w="110"/>
            </w:tcMar>
          </w:tcPr>
          <w:p>
            <w:pPr>
              <w:spacing w:after="0" w:line="264"/>
              <w:jc w:val="left"/>
            </w:pPr>
            <w:r>
              <w:rPr>
                <w:b w:val="false"/>
                <w:bCs w:val="false"/>
                <w:color w:val="14110F"/>
                <w:sz w:val="18"/>
                <w:szCs w:val="18"/>
              </w:rPr>
              <w:t xml:space="preserve">Big 4; One Manhattan West</w:t>
            </w:r>
          </w:p>
        </w:tc>
      </w:tr>
      <w:tr>
        <w:tc>
          <w:tcPr>
            <w:tcW w:type="dxa" w:w="4680"/>
            <w:tcBorders>
              <w:top w:val="single" w:color="D9D9D9" w:sz="1"/>
              <w:left w:val="single" w:color="D9D9D9" w:sz="1"/>
              <w:bottom w:val="single" w:color="D9D9D9" w:sz="1"/>
              <w:right w:val="single" w:color="D9D9D9" w:sz="1"/>
            </w:tcBorders>
            <w:shd w:fill="F5F7F1" w:val="clear"/>
            <w:tcMar>
              <w:top w:type="dxa" w:w="70"/>
              <w:left w:type="dxa" w:w="110"/>
              <w:bottom w:type="dxa" w:w="70"/>
              <w:right w:type="dxa" w:w="110"/>
            </w:tcMar>
          </w:tcPr>
          <w:p>
            <w:pPr>
              <w:spacing w:after="0" w:line="264"/>
              <w:jc w:val="left"/>
            </w:pPr>
            <w:r>
              <w:rPr>
                <w:b/>
                <w:bCs/>
                <w:color w:val="14110F"/>
                <w:sz w:val="18"/>
                <w:szCs w:val="18"/>
              </w:rPr>
              <w:t xml:space="preserve">KPMG US</w:t>
            </w:r>
          </w:p>
        </w:tc>
        <w:tc>
          <w:tcPr>
            <w:tcW w:type="dxa" w:w="4680"/>
            <w:tcBorders>
              <w:top w:val="single" w:color="D9D9D9" w:sz="1"/>
              <w:left w:val="single" w:color="D9D9D9" w:sz="1"/>
              <w:bottom w:val="single" w:color="D9D9D9" w:sz="1"/>
              <w:right w:val="single" w:color="D9D9D9" w:sz="1"/>
            </w:tcBorders>
            <w:shd w:fill="F5F7F1" w:val="clear"/>
            <w:tcMar>
              <w:top w:type="dxa" w:w="70"/>
              <w:left w:type="dxa" w:w="110"/>
              <w:bottom w:type="dxa" w:w="70"/>
              <w:right w:type="dxa" w:w="110"/>
            </w:tcMar>
          </w:tcPr>
          <w:p>
            <w:pPr>
              <w:spacing w:after="0" w:line="264"/>
              <w:jc w:val="left"/>
            </w:pPr>
            <w:r>
              <w:rPr>
                <w:b w:val="false"/>
                <w:bCs w:val="false"/>
                <w:color w:val="14110F"/>
                <w:sz w:val="18"/>
                <w:szCs w:val="18"/>
              </w:rPr>
              <w:t xml:space="preserve">Big 4</w:t>
            </w:r>
          </w:p>
        </w:tc>
      </w:tr>
      <w:tr>
        <w:tc>
          <w:tcPr>
            <w:tcW w:type="dxa" w:w="4680"/>
            <w:tcBorders>
              <w:top w:val="single" w:color="D9D9D9" w:sz="1"/>
              <w:left w:val="single" w:color="D9D9D9" w:sz="1"/>
              <w:bottom w:val="single" w:color="D9D9D9" w:sz="1"/>
              <w:right w:val="single" w:color="D9D9D9" w:sz="1"/>
            </w:tcBorders>
            <w:tcMar>
              <w:top w:type="dxa" w:w="70"/>
              <w:left w:type="dxa" w:w="110"/>
              <w:bottom w:type="dxa" w:w="70"/>
              <w:right w:type="dxa" w:w="110"/>
            </w:tcMar>
          </w:tcPr>
          <w:p>
            <w:pPr>
              <w:spacing w:after="0" w:line="264"/>
              <w:jc w:val="left"/>
            </w:pPr>
            <w:r>
              <w:rPr>
                <w:b/>
                <w:bCs/>
                <w:color w:val="14110F"/>
                <w:sz w:val="18"/>
                <w:szCs w:val="18"/>
              </w:rPr>
              <w:t xml:space="preserve">Grant Thornton</w:t>
            </w:r>
          </w:p>
        </w:tc>
        <w:tc>
          <w:tcPr>
            <w:tcW w:type="dxa" w:w="4680"/>
            <w:tcBorders>
              <w:top w:val="single" w:color="D9D9D9" w:sz="1"/>
              <w:left w:val="single" w:color="D9D9D9" w:sz="1"/>
              <w:bottom w:val="single" w:color="D9D9D9" w:sz="1"/>
              <w:right w:val="single" w:color="D9D9D9" w:sz="1"/>
            </w:tcBorders>
            <w:tcMar>
              <w:top w:type="dxa" w:w="70"/>
              <w:left w:type="dxa" w:w="110"/>
              <w:bottom w:type="dxa" w:w="70"/>
              <w:right w:type="dxa" w:w="110"/>
            </w:tcMar>
          </w:tcPr>
          <w:p>
            <w:pPr>
              <w:spacing w:after="0" w:line="264"/>
              <w:jc w:val="left"/>
            </w:pPr>
            <w:r>
              <w:rPr>
                <w:b w:val="false"/>
                <w:bCs w:val="false"/>
                <w:color w:val="14110F"/>
                <w:sz w:val="18"/>
                <w:szCs w:val="18"/>
              </w:rPr>
              <w:t xml:space="preserve">Largest non-Big-4 tier</w:t>
            </w:r>
          </w:p>
        </w:tc>
      </w:tr>
      <w:tr>
        <w:tc>
          <w:tcPr>
            <w:tcW w:type="dxa" w:w="4680"/>
            <w:tcBorders>
              <w:top w:val="single" w:color="D9D9D9" w:sz="1"/>
              <w:left w:val="single" w:color="D9D9D9" w:sz="1"/>
              <w:bottom w:val="single" w:color="D9D9D9" w:sz="1"/>
              <w:right w:val="single" w:color="D9D9D9" w:sz="1"/>
            </w:tcBorders>
            <w:shd w:fill="F5F7F1" w:val="clear"/>
            <w:tcMar>
              <w:top w:type="dxa" w:w="70"/>
              <w:left w:type="dxa" w:w="110"/>
              <w:bottom w:type="dxa" w:w="70"/>
              <w:right w:type="dxa" w:w="110"/>
            </w:tcMar>
          </w:tcPr>
          <w:p>
            <w:pPr>
              <w:spacing w:after="0" w:line="264"/>
              <w:jc w:val="left"/>
            </w:pPr>
            <w:r>
              <w:rPr>
                <w:b/>
                <w:bCs/>
                <w:color w:val="14110F"/>
                <w:sz w:val="18"/>
                <w:szCs w:val="18"/>
              </w:rPr>
              <w:t xml:space="preserve">RSM US</w:t>
            </w:r>
          </w:p>
        </w:tc>
        <w:tc>
          <w:tcPr>
            <w:tcW w:type="dxa" w:w="4680"/>
            <w:tcBorders>
              <w:top w:val="single" w:color="D9D9D9" w:sz="1"/>
              <w:left w:val="single" w:color="D9D9D9" w:sz="1"/>
              <w:bottom w:val="single" w:color="D9D9D9" w:sz="1"/>
              <w:right w:val="single" w:color="D9D9D9" w:sz="1"/>
            </w:tcBorders>
            <w:shd w:fill="F5F7F1" w:val="clear"/>
            <w:tcMar>
              <w:top w:type="dxa" w:w="70"/>
              <w:left w:type="dxa" w:w="110"/>
              <w:bottom w:type="dxa" w:w="70"/>
              <w:right w:type="dxa" w:w="110"/>
            </w:tcMar>
          </w:tcPr>
          <w:p>
            <w:pPr>
              <w:spacing w:after="0" w:line="264"/>
              <w:jc w:val="left"/>
            </w:pPr>
            <w:r>
              <w:rPr>
                <w:b w:val="false"/>
                <w:bCs w:val="false"/>
                <w:color w:val="14110F"/>
                <w:sz w:val="18"/>
                <w:szCs w:val="18"/>
              </w:rPr>
              <w:t xml:space="preserve">Leading middle-market</w:t>
            </w:r>
          </w:p>
        </w:tc>
      </w:tr>
      <w:tr>
        <w:tc>
          <w:tcPr>
            <w:tcW w:type="dxa" w:w="4680"/>
            <w:tcBorders>
              <w:top w:val="single" w:color="D9D9D9" w:sz="1"/>
              <w:left w:val="single" w:color="D9D9D9" w:sz="1"/>
              <w:bottom w:val="single" w:color="D9D9D9" w:sz="1"/>
              <w:right w:val="single" w:color="D9D9D9" w:sz="1"/>
            </w:tcBorders>
            <w:tcMar>
              <w:top w:type="dxa" w:w="70"/>
              <w:left w:type="dxa" w:w="110"/>
              <w:bottom w:type="dxa" w:w="70"/>
              <w:right w:type="dxa" w:w="110"/>
            </w:tcMar>
          </w:tcPr>
          <w:p>
            <w:pPr>
              <w:spacing w:after="0" w:line="264"/>
              <w:jc w:val="left"/>
            </w:pPr>
            <w:r>
              <w:rPr>
                <w:b/>
                <w:bCs/>
                <w:color w:val="14110F"/>
                <w:sz w:val="18"/>
                <w:szCs w:val="18"/>
              </w:rPr>
              <w:t xml:space="preserve">BDO USA</w:t>
            </w:r>
          </w:p>
        </w:tc>
        <w:tc>
          <w:tcPr>
            <w:tcW w:type="dxa" w:w="4680"/>
            <w:tcBorders>
              <w:top w:val="single" w:color="D9D9D9" w:sz="1"/>
              <w:left w:val="single" w:color="D9D9D9" w:sz="1"/>
              <w:bottom w:val="single" w:color="D9D9D9" w:sz="1"/>
              <w:right w:val="single" w:color="D9D9D9" w:sz="1"/>
            </w:tcBorders>
            <w:tcMar>
              <w:top w:type="dxa" w:w="70"/>
              <w:left w:type="dxa" w:w="110"/>
              <w:bottom w:type="dxa" w:w="70"/>
              <w:right w:type="dxa" w:w="110"/>
            </w:tcMar>
          </w:tcPr>
          <w:p>
            <w:pPr>
              <w:spacing w:after="0" w:line="264"/>
              <w:jc w:val="left"/>
            </w:pPr>
            <w:r>
              <w:rPr>
                <w:b w:val="false"/>
                <w:bCs w:val="false"/>
                <w:color w:val="14110F"/>
                <w:sz w:val="18"/>
                <w:szCs w:val="18"/>
              </w:rPr>
              <w:t xml:space="preserve">Top-6 national</w:t>
            </w:r>
          </w:p>
        </w:tc>
      </w:tr>
      <w:tr>
        <w:tc>
          <w:tcPr>
            <w:tcW w:type="dxa" w:w="4680"/>
            <w:tcBorders>
              <w:top w:val="single" w:color="D9D9D9" w:sz="1"/>
              <w:left w:val="single" w:color="D9D9D9" w:sz="1"/>
              <w:bottom w:val="single" w:color="D9D9D9" w:sz="1"/>
              <w:right w:val="single" w:color="D9D9D9" w:sz="1"/>
            </w:tcBorders>
            <w:shd w:fill="F5F7F1" w:val="clear"/>
            <w:tcMar>
              <w:top w:type="dxa" w:w="70"/>
              <w:left w:type="dxa" w:w="110"/>
              <w:bottom w:type="dxa" w:w="70"/>
              <w:right w:type="dxa" w:w="110"/>
            </w:tcMar>
          </w:tcPr>
          <w:p>
            <w:pPr>
              <w:spacing w:after="0" w:line="264"/>
              <w:jc w:val="left"/>
            </w:pPr>
            <w:r>
              <w:rPr>
                <w:b/>
                <w:bCs/>
                <w:color w:val="14110F"/>
                <w:sz w:val="18"/>
                <w:szCs w:val="18"/>
              </w:rPr>
              <w:t xml:space="preserve">CBIZ / Marcum</w:t>
            </w:r>
          </w:p>
        </w:tc>
        <w:tc>
          <w:tcPr>
            <w:tcW w:type="dxa" w:w="4680"/>
            <w:tcBorders>
              <w:top w:val="single" w:color="D9D9D9" w:sz="1"/>
              <w:left w:val="single" w:color="D9D9D9" w:sz="1"/>
              <w:bottom w:val="single" w:color="D9D9D9" w:sz="1"/>
              <w:right w:val="single" w:color="D9D9D9" w:sz="1"/>
            </w:tcBorders>
            <w:shd w:fill="F5F7F1" w:val="clear"/>
            <w:tcMar>
              <w:top w:type="dxa" w:w="70"/>
              <w:left w:type="dxa" w:w="110"/>
              <w:bottom w:type="dxa" w:w="70"/>
              <w:right w:type="dxa" w:w="110"/>
            </w:tcMar>
          </w:tcPr>
          <w:p>
            <w:pPr>
              <w:spacing w:after="0" w:line="264"/>
              <w:jc w:val="left"/>
            </w:pPr>
            <w:r>
              <w:rPr>
                <w:b w:val="false"/>
                <w:bCs w:val="false"/>
                <w:color w:val="14110F"/>
                <w:sz w:val="18"/>
                <w:szCs w:val="18"/>
              </w:rPr>
              <w:t xml:space="preserve">NY-rooted; merged 2024</w:t>
            </w:r>
          </w:p>
        </w:tc>
      </w:tr>
      <w:tr>
        <w:tc>
          <w:tcPr>
            <w:tcW w:type="dxa" w:w="4680"/>
            <w:tcBorders>
              <w:top w:val="single" w:color="D9D9D9" w:sz="1"/>
              <w:left w:val="single" w:color="D9D9D9" w:sz="1"/>
              <w:bottom w:val="single" w:color="D9D9D9" w:sz="1"/>
              <w:right w:val="single" w:color="D9D9D9" w:sz="1"/>
            </w:tcBorders>
            <w:tcMar>
              <w:top w:type="dxa" w:w="70"/>
              <w:left w:type="dxa" w:w="110"/>
              <w:bottom w:type="dxa" w:w="70"/>
              <w:right w:type="dxa" w:w="110"/>
            </w:tcMar>
          </w:tcPr>
          <w:p>
            <w:pPr>
              <w:spacing w:after="0" w:line="264"/>
              <w:jc w:val="left"/>
            </w:pPr>
            <w:r>
              <w:rPr>
                <w:b/>
                <w:bCs/>
                <w:color w:val="14110F"/>
                <w:sz w:val="18"/>
                <w:szCs w:val="18"/>
              </w:rPr>
              <w:t xml:space="preserve">CohnReznick</w:t>
            </w:r>
          </w:p>
        </w:tc>
        <w:tc>
          <w:tcPr>
            <w:tcW w:type="dxa" w:w="4680"/>
            <w:tcBorders>
              <w:top w:val="single" w:color="D9D9D9" w:sz="1"/>
              <w:left w:val="single" w:color="D9D9D9" w:sz="1"/>
              <w:bottom w:val="single" w:color="D9D9D9" w:sz="1"/>
              <w:right w:val="single" w:color="D9D9D9" w:sz="1"/>
            </w:tcBorders>
            <w:tcMar>
              <w:top w:type="dxa" w:w="70"/>
              <w:left w:type="dxa" w:w="110"/>
              <w:bottom w:type="dxa" w:w="70"/>
              <w:right w:type="dxa" w:w="110"/>
            </w:tcMar>
          </w:tcPr>
          <w:p>
            <w:pPr>
              <w:spacing w:after="0" w:line="264"/>
              <w:jc w:val="left"/>
            </w:pPr>
            <w:r>
              <w:rPr>
                <w:b w:val="false"/>
                <w:bCs w:val="false"/>
                <w:color w:val="14110F"/>
                <w:sz w:val="18"/>
                <w:szCs w:val="18"/>
              </w:rPr>
              <w:t xml:space="preserve">Top-15; NYC HQ</w:t>
            </w:r>
          </w:p>
        </w:tc>
      </w:tr>
      <w:tr>
        <w:tc>
          <w:tcPr>
            <w:tcW w:type="dxa" w:w="4680"/>
            <w:tcBorders>
              <w:top w:val="single" w:color="D9D9D9" w:sz="1"/>
              <w:left w:val="single" w:color="D9D9D9" w:sz="1"/>
              <w:bottom w:val="single" w:color="D9D9D9" w:sz="1"/>
              <w:right w:val="single" w:color="D9D9D9" w:sz="1"/>
            </w:tcBorders>
            <w:shd w:fill="F5F7F1" w:val="clear"/>
            <w:tcMar>
              <w:top w:type="dxa" w:w="70"/>
              <w:left w:type="dxa" w:w="110"/>
              <w:bottom w:type="dxa" w:w="70"/>
              <w:right w:type="dxa" w:w="110"/>
            </w:tcMar>
          </w:tcPr>
          <w:p>
            <w:pPr>
              <w:spacing w:after="0" w:line="264"/>
              <w:jc w:val="left"/>
            </w:pPr>
            <w:r>
              <w:rPr>
                <w:b/>
                <w:bCs/>
                <w:color w:val="14110F"/>
                <w:sz w:val="18"/>
                <w:szCs w:val="18"/>
              </w:rPr>
              <w:t xml:space="preserve">Citrin Cooperman</w:t>
            </w:r>
          </w:p>
        </w:tc>
        <w:tc>
          <w:tcPr>
            <w:tcW w:type="dxa" w:w="4680"/>
            <w:tcBorders>
              <w:top w:val="single" w:color="D9D9D9" w:sz="1"/>
              <w:left w:val="single" w:color="D9D9D9" w:sz="1"/>
              <w:bottom w:val="single" w:color="D9D9D9" w:sz="1"/>
              <w:right w:val="single" w:color="D9D9D9" w:sz="1"/>
            </w:tcBorders>
            <w:shd w:fill="F5F7F1" w:val="clear"/>
            <w:tcMar>
              <w:top w:type="dxa" w:w="70"/>
              <w:left w:type="dxa" w:w="110"/>
              <w:bottom w:type="dxa" w:w="70"/>
              <w:right w:type="dxa" w:w="110"/>
            </w:tcMar>
          </w:tcPr>
          <w:p>
            <w:pPr>
              <w:spacing w:after="0" w:line="264"/>
              <w:jc w:val="left"/>
            </w:pPr>
            <w:r>
              <w:rPr>
                <w:b w:val="false"/>
                <w:bCs w:val="false"/>
                <w:color w:val="14110F"/>
                <w:sz w:val="18"/>
                <w:szCs w:val="18"/>
              </w:rPr>
              <w:t xml:space="preserve">PE-backed roll-up; NYC HQ</w:t>
            </w:r>
          </w:p>
        </w:tc>
      </w:tr>
      <w:tr>
        <w:tc>
          <w:tcPr>
            <w:tcW w:type="dxa" w:w="4680"/>
            <w:tcBorders>
              <w:top w:val="single" w:color="D9D9D9" w:sz="1"/>
              <w:left w:val="single" w:color="D9D9D9" w:sz="1"/>
              <w:bottom w:val="single" w:color="D9D9D9" w:sz="1"/>
              <w:right w:val="single" w:color="D9D9D9" w:sz="1"/>
            </w:tcBorders>
            <w:tcMar>
              <w:top w:type="dxa" w:w="70"/>
              <w:left w:type="dxa" w:w="110"/>
              <w:bottom w:type="dxa" w:w="70"/>
              <w:right w:type="dxa" w:w="110"/>
            </w:tcMar>
          </w:tcPr>
          <w:p>
            <w:pPr>
              <w:spacing w:after="0" w:line="264"/>
              <w:jc w:val="left"/>
            </w:pPr>
            <w:r>
              <w:rPr>
                <w:b/>
                <w:bCs/>
                <w:color w:val="14110F"/>
                <w:sz w:val="18"/>
                <w:szCs w:val="18"/>
              </w:rPr>
              <w:t xml:space="preserve">EisnerAmper</w:t>
            </w:r>
          </w:p>
        </w:tc>
        <w:tc>
          <w:tcPr>
            <w:tcW w:type="dxa" w:w="4680"/>
            <w:tcBorders>
              <w:top w:val="single" w:color="D9D9D9" w:sz="1"/>
              <w:left w:val="single" w:color="D9D9D9" w:sz="1"/>
              <w:bottom w:val="single" w:color="D9D9D9" w:sz="1"/>
              <w:right w:val="single" w:color="D9D9D9" w:sz="1"/>
            </w:tcBorders>
            <w:tcMar>
              <w:top w:type="dxa" w:w="70"/>
              <w:left w:type="dxa" w:w="110"/>
              <w:bottom w:type="dxa" w:w="70"/>
              <w:right w:type="dxa" w:w="110"/>
            </w:tcMar>
          </w:tcPr>
          <w:p>
            <w:pPr>
              <w:spacing w:after="0" w:line="264"/>
              <w:jc w:val="left"/>
            </w:pPr>
            <w:r>
              <w:rPr>
                <w:b w:val="false"/>
                <w:bCs w:val="false"/>
                <w:color w:val="14110F"/>
                <w:sz w:val="18"/>
                <w:szCs w:val="18"/>
              </w:rPr>
              <w:t xml:space="preserve">Top-12; best-in-class site</w:t>
            </w:r>
          </w:p>
        </w:tc>
      </w:tr>
      <w:tr>
        <w:tc>
          <w:tcPr>
            <w:tcW w:type="dxa" w:w="4680"/>
            <w:tcBorders>
              <w:top w:val="single" w:color="D9D9D9" w:sz="1"/>
              <w:left w:val="single" w:color="D9D9D9" w:sz="1"/>
              <w:bottom w:val="single" w:color="D9D9D9" w:sz="1"/>
              <w:right w:val="single" w:color="D9D9D9" w:sz="1"/>
            </w:tcBorders>
            <w:shd w:fill="F5F7F1" w:val="clear"/>
            <w:tcMar>
              <w:top w:type="dxa" w:w="70"/>
              <w:left w:type="dxa" w:w="110"/>
              <w:bottom w:type="dxa" w:w="70"/>
              <w:right w:type="dxa" w:w="110"/>
            </w:tcMar>
          </w:tcPr>
          <w:p>
            <w:pPr>
              <w:spacing w:after="0" w:line="264"/>
              <w:jc w:val="left"/>
            </w:pPr>
            <w:r>
              <w:rPr>
                <w:b/>
                <w:bCs/>
                <w:color w:val="14110F"/>
                <w:sz w:val="18"/>
                <w:szCs w:val="18"/>
              </w:rPr>
              <w:t xml:space="preserve">Baker Tilly US</w:t>
            </w:r>
          </w:p>
        </w:tc>
        <w:tc>
          <w:tcPr>
            <w:tcW w:type="dxa" w:w="4680"/>
            <w:tcBorders>
              <w:top w:val="single" w:color="D9D9D9" w:sz="1"/>
              <w:left w:val="single" w:color="D9D9D9" w:sz="1"/>
              <w:bottom w:val="single" w:color="D9D9D9" w:sz="1"/>
              <w:right w:val="single" w:color="D9D9D9" w:sz="1"/>
            </w:tcBorders>
            <w:shd w:fill="F5F7F1" w:val="clear"/>
            <w:tcMar>
              <w:top w:type="dxa" w:w="70"/>
              <w:left w:type="dxa" w:w="110"/>
              <w:bottom w:type="dxa" w:w="70"/>
              <w:right w:type="dxa" w:w="110"/>
            </w:tcMar>
          </w:tcPr>
          <w:p>
            <w:pPr>
              <w:spacing w:after="0" w:line="264"/>
              <w:jc w:val="left"/>
            </w:pPr>
            <w:r>
              <w:rPr>
                <w:b w:val="false"/>
                <w:bCs w:val="false"/>
                <w:color w:val="14110F"/>
                <w:sz w:val="18"/>
                <w:szCs w:val="18"/>
              </w:rPr>
              <w:t xml:space="preserve">Top-10; acquiring Anchin</w:t>
            </w:r>
          </w:p>
        </w:tc>
      </w:tr>
      <w:tr>
        <w:tc>
          <w:tcPr>
            <w:tcW w:type="dxa" w:w="4680"/>
            <w:tcBorders>
              <w:top w:val="single" w:color="D9D9D9" w:sz="1"/>
              <w:left w:val="single" w:color="D9D9D9" w:sz="1"/>
              <w:bottom w:val="single" w:color="D9D9D9" w:sz="1"/>
              <w:right w:val="single" w:color="D9D9D9" w:sz="1"/>
            </w:tcBorders>
            <w:tcMar>
              <w:top w:type="dxa" w:w="70"/>
              <w:left w:type="dxa" w:w="110"/>
              <w:bottom w:type="dxa" w:w="70"/>
              <w:right w:type="dxa" w:w="110"/>
            </w:tcMar>
          </w:tcPr>
          <w:p>
            <w:pPr>
              <w:spacing w:after="0" w:line="264"/>
              <w:jc w:val="left"/>
            </w:pPr>
            <w:r>
              <w:rPr>
                <w:b/>
                <w:bCs/>
                <w:color w:val="14110F"/>
                <w:sz w:val="18"/>
                <w:szCs w:val="18"/>
              </w:rPr>
              <w:t xml:space="preserve">Forvis Mazars US</w:t>
            </w:r>
          </w:p>
        </w:tc>
        <w:tc>
          <w:tcPr>
            <w:tcW w:type="dxa" w:w="4680"/>
            <w:tcBorders>
              <w:top w:val="single" w:color="D9D9D9" w:sz="1"/>
              <w:left w:val="single" w:color="D9D9D9" w:sz="1"/>
              <w:bottom w:val="single" w:color="D9D9D9" w:sz="1"/>
              <w:right w:val="single" w:color="D9D9D9" w:sz="1"/>
            </w:tcBorders>
            <w:tcMar>
              <w:top w:type="dxa" w:w="70"/>
              <w:left w:type="dxa" w:w="110"/>
              <w:bottom w:type="dxa" w:w="70"/>
              <w:right w:type="dxa" w:w="110"/>
            </w:tcMar>
          </w:tcPr>
          <w:p>
            <w:pPr>
              <w:spacing w:after="0" w:line="264"/>
              <w:jc w:val="left"/>
            </w:pPr>
            <w:r>
              <w:rPr>
                <w:b w:val="false"/>
                <w:bCs w:val="false"/>
                <w:color w:val="14110F"/>
                <w:sz w:val="18"/>
                <w:szCs w:val="18"/>
              </w:rPr>
              <w:t xml:space="preserve">Top-10 firm</w:t>
            </w:r>
          </w:p>
        </w:tc>
      </w:tr>
      <w:tr>
        <w:tc>
          <w:tcPr>
            <w:tcW w:type="dxa" w:w="4680"/>
            <w:tcBorders>
              <w:top w:val="single" w:color="D9D9D9" w:sz="1"/>
              <w:left w:val="single" w:color="D9D9D9" w:sz="1"/>
              <w:bottom w:val="single" w:color="D9D9D9" w:sz="1"/>
              <w:right w:val="single" w:color="D9D9D9" w:sz="1"/>
            </w:tcBorders>
            <w:shd w:fill="F5F7F1" w:val="clear"/>
            <w:tcMar>
              <w:top w:type="dxa" w:w="70"/>
              <w:left w:type="dxa" w:w="110"/>
              <w:bottom w:type="dxa" w:w="70"/>
              <w:right w:type="dxa" w:w="110"/>
            </w:tcMar>
          </w:tcPr>
          <w:p>
            <w:pPr>
              <w:spacing w:after="0" w:line="264"/>
              <w:jc w:val="left"/>
            </w:pPr>
            <w:r>
              <w:rPr>
                <w:b/>
                <w:bCs/>
                <w:color w:val="14110F"/>
                <w:sz w:val="18"/>
                <w:szCs w:val="18"/>
              </w:rPr>
              <w:t xml:space="preserve">Withum</w:t>
            </w:r>
          </w:p>
        </w:tc>
        <w:tc>
          <w:tcPr>
            <w:tcW w:type="dxa" w:w="4680"/>
            <w:tcBorders>
              <w:top w:val="single" w:color="D9D9D9" w:sz="1"/>
              <w:left w:val="single" w:color="D9D9D9" w:sz="1"/>
              <w:bottom w:val="single" w:color="D9D9D9" w:sz="1"/>
              <w:right w:val="single" w:color="D9D9D9" w:sz="1"/>
            </w:tcBorders>
            <w:shd w:fill="F5F7F1" w:val="clear"/>
            <w:tcMar>
              <w:top w:type="dxa" w:w="70"/>
              <w:left w:type="dxa" w:w="110"/>
              <w:bottom w:type="dxa" w:w="70"/>
              <w:right w:type="dxa" w:w="110"/>
            </w:tcMar>
          </w:tcPr>
          <w:p>
            <w:pPr>
              <w:spacing w:after="0" w:line="264"/>
              <w:jc w:val="left"/>
            </w:pPr>
            <w:r>
              <w:rPr>
                <w:b w:val="false"/>
                <w:bCs w:val="false"/>
                <w:color w:val="14110F"/>
                <w:sz w:val="18"/>
                <w:szCs w:val="18"/>
              </w:rPr>
              <w:t xml:space="preserve">Bold brand platform</w:t>
            </w:r>
          </w:p>
        </w:tc>
      </w:tr>
      <w:tr>
        <w:tc>
          <w:tcPr>
            <w:tcW w:type="dxa" w:w="4680"/>
            <w:tcBorders>
              <w:top w:val="single" w:color="D9D9D9" w:sz="1"/>
              <w:left w:val="single" w:color="D9D9D9" w:sz="1"/>
              <w:bottom w:val="single" w:color="D9D9D9" w:sz="1"/>
              <w:right w:val="single" w:color="D9D9D9" w:sz="1"/>
            </w:tcBorders>
            <w:tcMar>
              <w:top w:type="dxa" w:w="70"/>
              <w:left w:type="dxa" w:w="110"/>
              <w:bottom w:type="dxa" w:w="70"/>
              <w:right w:type="dxa" w:w="110"/>
            </w:tcMar>
          </w:tcPr>
          <w:p>
            <w:pPr>
              <w:spacing w:after="0" w:line="264"/>
              <w:jc w:val="left"/>
            </w:pPr>
            <w:r>
              <w:rPr>
                <w:b/>
                <w:bCs/>
                <w:color w:val="14110F"/>
                <w:sz w:val="18"/>
                <w:szCs w:val="18"/>
              </w:rPr>
              <w:t xml:space="preserve">PKF O’Connor Davies</w:t>
            </w:r>
          </w:p>
        </w:tc>
        <w:tc>
          <w:tcPr>
            <w:tcW w:type="dxa" w:w="4680"/>
            <w:tcBorders>
              <w:top w:val="single" w:color="D9D9D9" w:sz="1"/>
              <w:left w:val="single" w:color="D9D9D9" w:sz="1"/>
              <w:bottom w:val="single" w:color="D9D9D9" w:sz="1"/>
              <w:right w:val="single" w:color="D9D9D9" w:sz="1"/>
            </w:tcBorders>
            <w:tcMar>
              <w:top w:type="dxa" w:w="70"/>
              <w:left w:type="dxa" w:w="110"/>
              <w:bottom w:type="dxa" w:w="70"/>
              <w:right w:type="dxa" w:w="110"/>
            </w:tcMar>
          </w:tcPr>
          <w:p>
            <w:pPr>
              <w:spacing w:after="0" w:line="264"/>
              <w:jc w:val="left"/>
            </w:pPr>
            <w:r>
              <w:rPr>
                <w:b w:val="false"/>
                <w:bCs w:val="false"/>
                <w:color w:val="14110F"/>
                <w:sz w:val="18"/>
                <w:szCs w:val="18"/>
              </w:rPr>
              <w:t xml:space="preserve">Top-25; PKF Intl lead US firm</w:t>
            </w:r>
          </w:p>
        </w:tc>
      </w:tr>
      <w:tr>
        <w:tc>
          <w:tcPr>
            <w:tcW w:type="dxa" w:w="4680"/>
            <w:tcBorders>
              <w:top w:val="single" w:color="D9D9D9" w:sz="1"/>
              <w:left w:val="single" w:color="D9D9D9" w:sz="1"/>
              <w:bottom w:val="single" w:color="D9D9D9" w:sz="1"/>
              <w:right w:val="single" w:color="D9D9D9" w:sz="1"/>
            </w:tcBorders>
            <w:shd w:fill="F5F7F1" w:val="clear"/>
            <w:tcMar>
              <w:top w:type="dxa" w:w="70"/>
              <w:left w:type="dxa" w:w="110"/>
              <w:bottom w:type="dxa" w:w="70"/>
              <w:right w:type="dxa" w:w="110"/>
            </w:tcMar>
          </w:tcPr>
          <w:p>
            <w:pPr>
              <w:spacing w:after="0" w:line="264"/>
              <w:jc w:val="left"/>
            </w:pPr>
            <w:r>
              <w:rPr>
                <w:b/>
                <w:bCs/>
                <w:color w:val="14110F"/>
                <w:sz w:val="18"/>
                <w:szCs w:val="18"/>
              </w:rPr>
              <w:t xml:space="preserve">Anchin</w:t>
            </w:r>
          </w:p>
        </w:tc>
        <w:tc>
          <w:tcPr>
            <w:tcW w:type="dxa" w:w="4680"/>
            <w:tcBorders>
              <w:top w:val="single" w:color="D9D9D9" w:sz="1"/>
              <w:left w:val="single" w:color="D9D9D9" w:sz="1"/>
              <w:bottom w:val="single" w:color="D9D9D9" w:sz="1"/>
              <w:right w:val="single" w:color="D9D9D9" w:sz="1"/>
            </w:tcBorders>
            <w:shd w:fill="F5F7F1" w:val="clear"/>
            <w:tcMar>
              <w:top w:type="dxa" w:w="70"/>
              <w:left w:type="dxa" w:w="110"/>
              <w:bottom w:type="dxa" w:w="70"/>
              <w:right w:type="dxa" w:w="110"/>
            </w:tcMar>
          </w:tcPr>
          <w:p>
            <w:pPr>
              <w:spacing w:after="0" w:line="264"/>
              <w:jc w:val="left"/>
            </w:pPr>
            <w:r>
              <w:rPr>
                <w:b w:val="false"/>
                <w:bCs w:val="false"/>
                <w:color w:val="14110F"/>
                <w:sz w:val="18"/>
                <w:szCs w:val="18"/>
              </w:rPr>
              <w:t xml:space="preserve">Premier NYC; strong social proof</w:t>
            </w:r>
          </w:p>
        </w:tc>
      </w:tr>
      <w:tr>
        <w:tc>
          <w:tcPr>
            <w:tcW w:type="dxa" w:w="4680"/>
            <w:tcBorders>
              <w:top w:val="single" w:color="D9D9D9" w:sz="1"/>
              <w:left w:val="single" w:color="D9D9D9" w:sz="1"/>
              <w:bottom w:val="single" w:color="D9D9D9" w:sz="1"/>
              <w:right w:val="single" w:color="D9D9D9" w:sz="1"/>
            </w:tcBorders>
            <w:tcMar>
              <w:top w:type="dxa" w:w="70"/>
              <w:left w:type="dxa" w:w="110"/>
              <w:bottom w:type="dxa" w:w="70"/>
              <w:right w:type="dxa" w:w="110"/>
            </w:tcMar>
          </w:tcPr>
          <w:p>
            <w:pPr>
              <w:spacing w:after="0" w:line="264"/>
              <w:jc w:val="left"/>
            </w:pPr>
            <w:r>
              <w:rPr>
                <w:b/>
                <w:bCs/>
                <w:color w:val="14110F"/>
                <w:sz w:val="18"/>
                <w:szCs w:val="18"/>
              </w:rPr>
              <w:t xml:space="preserve">Prager Metis</w:t>
            </w:r>
          </w:p>
        </w:tc>
        <w:tc>
          <w:tcPr>
            <w:tcW w:type="dxa" w:w="4680"/>
            <w:tcBorders>
              <w:top w:val="single" w:color="D9D9D9" w:sz="1"/>
              <w:left w:val="single" w:color="D9D9D9" w:sz="1"/>
              <w:bottom w:val="single" w:color="D9D9D9" w:sz="1"/>
              <w:right w:val="single" w:color="D9D9D9" w:sz="1"/>
            </w:tcBorders>
            <w:tcMar>
              <w:top w:type="dxa" w:w="70"/>
              <w:left w:type="dxa" w:w="110"/>
              <w:bottom w:type="dxa" w:w="70"/>
              <w:right w:type="dxa" w:w="110"/>
            </w:tcMar>
          </w:tcPr>
          <w:p>
            <w:pPr>
              <w:spacing w:after="0" w:line="264"/>
              <w:jc w:val="left"/>
            </w:pPr>
            <w:r>
              <w:rPr>
                <w:b w:val="false"/>
                <w:bCs w:val="false"/>
                <w:color w:val="14110F"/>
                <w:sz w:val="18"/>
                <w:szCs w:val="18"/>
              </w:rPr>
              <w:t xml:space="preserve">Entertainment/media/sports</w:t>
            </w:r>
          </w:p>
        </w:tc>
      </w:tr>
      <w:tr>
        <w:tc>
          <w:tcPr>
            <w:tcW w:type="dxa" w:w="4680"/>
            <w:tcBorders>
              <w:top w:val="single" w:color="D9D9D9" w:sz="1"/>
              <w:left w:val="single" w:color="D9D9D9" w:sz="1"/>
              <w:bottom w:val="single" w:color="D9D9D9" w:sz="1"/>
              <w:right w:val="single" w:color="D9D9D9" w:sz="1"/>
            </w:tcBorders>
            <w:shd w:fill="F5F7F1" w:val="clear"/>
            <w:tcMar>
              <w:top w:type="dxa" w:w="70"/>
              <w:left w:type="dxa" w:w="110"/>
              <w:bottom w:type="dxa" w:w="70"/>
              <w:right w:type="dxa" w:w="110"/>
            </w:tcMar>
          </w:tcPr>
          <w:p>
            <w:pPr>
              <w:spacing w:after="0" w:line="264"/>
              <w:jc w:val="left"/>
            </w:pPr>
            <w:r>
              <w:rPr>
                <w:b/>
                <w:bCs/>
                <w:color w:val="14110F"/>
                <w:sz w:val="18"/>
                <w:szCs w:val="18"/>
              </w:rPr>
              <w:t xml:space="preserve">Grassi</w:t>
            </w:r>
          </w:p>
        </w:tc>
        <w:tc>
          <w:tcPr>
            <w:tcW w:type="dxa" w:w="4680"/>
            <w:tcBorders>
              <w:top w:val="single" w:color="D9D9D9" w:sz="1"/>
              <w:left w:val="single" w:color="D9D9D9" w:sz="1"/>
              <w:bottom w:val="single" w:color="D9D9D9" w:sz="1"/>
              <w:right w:val="single" w:color="D9D9D9" w:sz="1"/>
            </w:tcBorders>
            <w:shd w:fill="F5F7F1" w:val="clear"/>
            <w:tcMar>
              <w:top w:type="dxa" w:w="70"/>
              <w:left w:type="dxa" w:w="110"/>
              <w:bottom w:type="dxa" w:w="70"/>
              <w:right w:type="dxa" w:w="110"/>
            </w:tcMar>
          </w:tcPr>
          <w:p>
            <w:pPr>
              <w:spacing w:after="0" w:line="264"/>
              <w:jc w:val="left"/>
            </w:pPr>
            <w:r>
              <w:rPr>
                <w:b w:val="false"/>
                <w:bCs w:val="false"/>
                <w:color w:val="14110F"/>
                <w:sz w:val="18"/>
                <w:szCs w:val="18"/>
              </w:rPr>
              <w:t xml:space="preserve">Construction/A&amp;E; great brand</w:t>
            </w:r>
          </w:p>
        </w:tc>
      </w:tr>
      <w:tr>
        <w:tc>
          <w:tcPr>
            <w:tcW w:type="dxa" w:w="4680"/>
            <w:tcBorders>
              <w:top w:val="single" w:color="D9D9D9" w:sz="1"/>
              <w:left w:val="single" w:color="D9D9D9" w:sz="1"/>
              <w:bottom w:val="single" w:color="D9D9D9" w:sz="1"/>
              <w:right w:val="single" w:color="D9D9D9" w:sz="1"/>
            </w:tcBorders>
            <w:tcMar>
              <w:top w:type="dxa" w:w="70"/>
              <w:left w:type="dxa" w:w="110"/>
              <w:bottom w:type="dxa" w:w="70"/>
              <w:right w:type="dxa" w:w="110"/>
            </w:tcMar>
          </w:tcPr>
          <w:p>
            <w:pPr>
              <w:spacing w:after="0" w:line="264"/>
              <w:jc w:val="left"/>
            </w:pPr>
            <w:r>
              <w:rPr>
                <w:b/>
                <w:bCs/>
                <w:color w:val="14110F"/>
                <w:sz w:val="18"/>
                <w:szCs w:val="18"/>
              </w:rPr>
              <w:t xml:space="preserve">UHY LLP</w:t>
            </w:r>
          </w:p>
        </w:tc>
        <w:tc>
          <w:tcPr>
            <w:tcW w:type="dxa" w:w="4680"/>
            <w:tcBorders>
              <w:top w:val="single" w:color="D9D9D9" w:sz="1"/>
              <w:left w:val="single" w:color="D9D9D9" w:sz="1"/>
              <w:bottom w:val="single" w:color="D9D9D9" w:sz="1"/>
              <w:right w:val="single" w:color="D9D9D9" w:sz="1"/>
            </w:tcBorders>
            <w:tcMar>
              <w:top w:type="dxa" w:w="70"/>
              <w:left w:type="dxa" w:w="110"/>
              <w:bottom w:type="dxa" w:w="70"/>
              <w:right w:type="dxa" w:w="110"/>
            </w:tcMar>
          </w:tcPr>
          <w:p>
            <w:pPr>
              <w:spacing w:after="0" w:line="264"/>
              <w:jc w:val="left"/>
            </w:pPr>
            <w:r>
              <w:rPr>
                <w:b w:val="false"/>
                <w:bCs w:val="false"/>
                <w:color w:val="14110F"/>
                <w:sz w:val="18"/>
                <w:szCs w:val="18"/>
              </w:rPr>
              <w:t xml:space="preserve">Top-30; global UHY network</w:t>
            </w:r>
          </w:p>
        </w:tc>
      </w:tr>
      <w:tr>
        <w:tc>
          <w:tcPr>
            <w:tcW w:type="dxa" w:w="4680"/>
            <w:tcBorders>
              <w:top w:val="single" w:color="D9D9D9" w:sz="1"/>
              <w:left w:val="single" w:color="D9D9D9" w:sz="1"/>
              <w:bottom w:val="single" w:color="D9D9D9" w:sz="1"/>
              <w:right w:val="single" w:color="D9D9D9" w:sz="1"/>
            </w:tcBorders>
            <w:shd w:fill="F5F7F1" w:val="clear"/>
            <w:tcMar>
              <w:top w:type="dxa" w:w="70"/>
              <w:left w:type="dxa" w:w="110"/>
              <w:bottom w:type="dxa" w:w="70"/>
              <w:right w:type="dxa" w:w="110"/>
            </w:tcMar>
          </w:tcPr>
          <w:p>
            <w:pPr>
              <w:spacing w:after="0" w:line="264"/>
              <w:jc w:val="left"/>
            </w:pPr>
            <w:r>
              <w:rPr>
                <w:b/>
                <w:bCs/>
                <w:color w:val="14110F"/>
                <w:sz w:val="18"/>
                <w:szCs w:val="18"/>
              </w:rPr>
              <w:t xml:space="preserve">Wiss &amp; Company</w:t>
            </w:r>
          </w:p>
        </w:tc>
        <w:tc>
          <w:tcPr>
            <w:tcW w:type="dxa" w:w="4680"/>
            <w:tcBorders>
              <w:top w:val="single" w:color="D9D9D9" w:sz="1"/>
              <w:left w:val="single" w:color="D9D9D9" w:sz="1"/>
              <w:bottom w:val="single" w:color="D9D9D9" w:sz="1"/>
              <w:right w:val="single" w:color="D9D9D9" w:sz="1"/>
            </w:tcBorders>
            <w:shd w:fill="F5F7F1" w:val="clear"/>
            <w:tcMar>
              <w:top w:type="dxa" w:w="70"/>
              <w:left w:type="dxa" w:w="110"/>
              <w:bottom w:type="dxa" w:w="70"/>
              <w:right w:type="dxa" w:w="110"/>
            </w:tcMar>
          </w:tcPr>
          <w:p>
            <w:pPr>
              <w:spacing w:after="0" w:line="264"/>
              <w:jc w:val="left"/>
            </w:pPr>
            <w:r>
              <w:rPr>
                <w:b w:val="false"/>
                <w:bCs w:val="false"/>
                <w:color w:val="14110F"/>
                <w:sz w:val="18"/>
                <w:szCs w:val="18"/>
              </w:rPr>
              <w:t xml:space="preserve">NJ/NY-metro; CAS focus</w:t>
            </w:r>
          </w:p>
        </w:tc>
      </w:tr>
      <w:tr>
        <w:tc>
          <w:tcPr>
            <w:tcW w:type="dxa" w:w="4680"/>
            <w:tcBorders>
              <w:top w:val="single" w:color="D9D9D9" w:sz="1"/>
              <w:left w:val="single" w:color="D9D9D9" w:sz="1"/>
              <w:bottom w:val="single" w:color="D9D9D9" w:sz="1"/>
              <w:right w:val="single" w:color="D9D9D9" w:sz="1"/>
            </w:tcBorders>
            <w:tcMar>
              <w:top w:type="dxa" w:w="70"/>
              <w:left w:type="dxa" w:w="110"/>
              <w:bottom w:type="dxa" w:w="70"/>
              <w:right w:type="dxa" w:w="110"/>
            </w:tcMar>
          </w:tcPr>
          <w:p>
            <w:pPr>
              <w:spacing w:after="0" w:line="264"/>
              <w:jc w:val="left"/>
            </w:pPr>
            <w:r>
              <w:rPr>
                <w:b/>
                <w:bCs/>
                <w:color w:val="14110F"/>
                <w:sz w:val="18"/>
                <w:szCs w:val="18"/>
              </w:rPr>
              <w:t xml:space="preserve">Berdon (Citrin Cooperman)</w:t>
            </w:r>
          </w:p>
        </w:tc>
        <w:tc>
          <w:tcPr>
            <w:tcW w:type="dxa" w:w="4680"/>
            <w:tcBorders>
              <w:top w:val="single" w:color="D9D9D9" w:sz="1"/>
              <w:left w:val="single" w:color="D9D9D9" w:sz="1"/>
              <w:bottom w:val="single" w:color="D9D9D9" w:sz="1"/>
              <w:right w:val="single" w:color="D9D9D9" w:sz="1"/>
            </w:tcBorders>
            <w:tcMar>
              <w:top w:type="dxa" w:w="70"/>
              <w:left w:type="dxa" w:w="110"/>
              <w:bottom w:type="dxa" w:w="70"/>
              <w:right w:type="dxa" w:w="110"/>
            </w:tcMar>
          </w:tcPr>
          <w:p>
            <w:pPr>
              <w:spacing w:after="0" w:line="264"/>
              <w:jc w:val="left"/>
            </w:pPr>
            <w:r>
              <w:rPr>
                <w:b w:val="false"/>
                <w:bCs w:val="false"/>
                <w:color w:val="14110F"/>
                <w:sz w:val="18"/>
                <w:szCs w:val="18"/>
              </w:rPr>
              <w:t xml:space="preserve">NYC real-estate/HNW legacy</w:t>
            </w:r>
          </w:p>
        </w:tc>
      </w:tr>
      <w:tr>
        <w:tc>
          <w:tcPr>
            <w:tcW w:type="dxa" w:w="4680"/>
            <w:tcBorders>
              <w:top w:val="single" w:color="D9D9D9" w:sz="1"/>
              <w:left w:val="single" w:color="D9D9D9" w:sz="1"/>
              <w:bottom w:val="single" w:color="D9D9D9" w:sz="1"/>
              <w:right w:val="single" w:color="D9D9D9" w:sz="1"/>
            </w:tcBorders>
            <w:shd w:fill="F5F7F1" w:val="clear"/>
            <w:tcMar>
              <w:top w:type="dxa" w:w="70"/>
              <w:left w:type="dxa" w:w="110"/>
              <w:bottom w:type="dxa" w:w="70"/>
              <w:right w:type="dxa" w:w="110"/>
            </w:tcMar>
          </w:tcPr>
          <w:p>
            <w:pPr>
              <w:spacing w:after="0" w:line="264"/>
              <w:jc w:val="left"/>
            </w:pPr>
            <w:r>
              <w:rPr>
                <w:b/>
                <w:bCs/>
                <w:color w:val="14110F"/>
                <w:sz w:val="18"/>
                <w:szCs w:val="18"/>
              </w:rPr>
              <w:t xml:space="preserve">CBIZ Marks Paneth</w:t>
            </w:r>
          </w:p>
        </w:tc>
        <w:tc>
          <w:tcPr>
            <w:tcW w:type="dxa" w:w="4680"/>
            <w:tcBorders>
              <w:top w:val="single" w:color="D9D9D9" w:sz="1"/>
              <w:left w:val="single" w:color="D9D9D9" w:sz="1"/>
              <w:bottom w:val="single" w:color="D9D9D9" w:sz="1"/>
              <w:right w:val="single" w:color="D9D9D9" w:sz="1"/>
            </w:tcBorders>
            <w:shd w:fill="F5F7F1" w:val="clear"/>
            <w:tcMar>
              <w:top w:type="dxa" w:w="70"/>
              <w:left w:type="dxa" w:w="110"/>
              <w:bottom w:type="dxa" w:w="70"/>
              <w:right w:type="dxa" w:w="110"/>
            </w:tcMar>
          </w:tcPr>
          <w:p>
            <w:pPr>
              <w:spacing w:after="0" w:line="264"/>
              <w:jc w:val="left"/>
            </w:pPr>
            <w:r>
              <w:rPr>
                <w:b w:val="false"/>
                <w:bCs w:val="false"/>
                <w:color w:val="14110F"/>
                <w:sz w:val="18"/>
                <w:szCs w:val="18"/>
              </w:rPr>
              <w:t xml:space="preserve">NFP/real-estate specialist</w:t>
            </w:r>
          </w:p>
        </w:tc>
      </w:tr>
      <w:tr>
        <w:tc>
          <w:tcPr>
            <w:tcW w:type="dxa" w:w="4680"/>
            <w:tcBorders>
              <w:top w:val="single" w:color="D9D9D9" w:sz="1"/>
              <w:left w:val="single" w:color="D9D9D9" w:sz="1"/>
              <w:bottom w:val="single" w:color="D9D9D9" w:sz="1"/>
              <w:right w:val="single" w:color="D9D9D9" w:sz="1"/>
            </w:tcBorders>
            <w:tcMar>
              <w:top w:type="dxa" w:w="70"/>
              <w:left w:type="dxa" w:w="110"/>
              <w:bottom w:type="dxa" w:w="70"/>
              <w:right w:type="dxa" w:w="110"/>
            </w:tcMar>
          </w:tcPr>
          <w:p>
            <w:pPr>
              <w:spacing w:after="0" w:line="264"/>
              <w:jc w:val="left"/>
            </w:pPr>
            <w:r>
              <w:rPr>
                <w:b/>
                <w:bCs/>
                <w:color w:val="14110F"/>
                <w:sz w:val="18"/>
                <w:szCs w:val="18"/>
              </w:rPr>
              <w:t xml:space="preserve">Friedman (Marcum)</w:t>
            </w:r>
          </w:p>
        </w:tc>
        <w:tc>
          <w:tcPr>
            <w:tcW w:type="dxa" w:w="4680"/>
            <w:tcBorders>
              <w:top w:val="single" w:color="D9D9D9" w:sz="1"/>
              <w:left w:val="single" w:color="D9D9D9" w:sz="1"/>
              <w:bottom w:val="single" w:color="D9D9D9" w:sz="1"/>
              <w:right w:val="single" w:color="D9D9D9" w:sz="1"/>
            </w:tcBorders>
            <w:tcMar>
              <w:top w:type="dxa" w:w="70"/>
              <w:left w:type="dxa" w:w="110"/>
              <w:bottom w:type="dxa" w:w="70"/>
              <w:right w:type="dxa" w:w="110"/>
            </w:tcMar>
          </w:tcPr>
          <w:p>
            <w:pPr>
              <w:spacing w:after="0" w:line="264"/>
              <w:jc w:val="left"/>
            </w:pPr>
            <w:r>
              <w:rPr>
                <w:b w:val="false"/>
                <w:bCs w:val="false"/>
                <w:color w:val="14110F"/>
                <w:sz w:val="18"/>
                <w:szCs w:val="18"/>
              </w:rPr>
              <w:t xml:space="preserve">Former NYC mid-market</w:t>
            </w:r>
          </w:p>
        </w:tc>
      </w:tr>
      <w:tr>
        <w:tc>
          <w:tcPr>
            <w:tcW w:type="dxa" w:w="4680"/>
            <w:tcBorders>
              <w:top w:val="single" w:color="D9D9D9" w:sz="1"/>
              <w:left w:val="single" w:color="D9D9D9" w:sz="1"/>
              <w:bottom w:val="single" w:color="D9D9D9" w:sz="1"/>
              <w:right w:val="single" w:color="D9D9D9" w:sz="1"/>
            </w:tcBorders>
            <w:shd w:fill="F5F7F1" w:val="clear"/>
            <w:tcMar>
              <w:top w:type="dxa" w:w="70"/>
              <w:left w:type="dxa" w:w="110"/>
              <w:bottom w:type="dxa" w:w="70"/>
              <w:right w:type="dxa" w:w="110"/>
            </w:tcMar>
          </w:tcPr>
          <w:p>
            <w:pPr>
              <w:spacing w:after="0" w:line="264"/>
              <w:jc w:val="left"/>
            </w:pPr>
            <w:r>
              <w:rPr>
                <w:b/>
                <w:bCs/>
                <w:color w:val="14110F"/>
                <w:sz w:val="18"/>
                <w:szCs w:val="18"/>
              </w:rPr>
              <w:t xml:space="preserve">Janover</w:t>
            </w:r>
          </w:p>
        </w:tc>
        <w:tc>
          <w:tcPr>
            <w:tcW w:type="dxa" w:w="4680"/>
            <w:tcBorders>
              <w:top w:val="single" w:color="D9D9D9" w:sz="1"/>
              <w:left w:val="single" w:color="D9D9D9" w:sz="1"/>
              <w:bottom w:val="single" w:color="D9D9D9" w:sz="1"/>
              <w:right w:val="single" w:color="D9D9D9" w:sz="1"/>
            </w:tcBorders>
            <w:shd w:fill="F5F7F1" w:val="clear"/>
            <w:tcMar>
              <w:top w:type="dxa" w:w="70"/>
              <w:left w:type="dxa" w:w="110"/>
              <w:bottom w:type="dxa" w:w="70"/>
              <w:right w:type="dxa" w:w="110"/>
            </w:tcMar>
          </w:tcPr>
          <w:p>
            <w:pPr>
              <w:spacing w:after="0" w:line="264"/>
              <w:jc w:val="left"/>
            </w:pPr>
            <w:r>
              <w:rPr>
                <w:b w:val="false"/>
                <w:bCs w:val="false"/>
                <w:color w:val="14110F"/>
                <w:sz w:val="18"/>
                <w:szCs w:val="18"/>
              </w:rPr>
              <w:t xml:space="preserve">Long Island/NYC advisory</w:t>
            </w:r>
          </w:p>
        </w:tc>
      </w:tr>
      <w:tr>
        <w:tc>
          <w:tcPr>
            <w:tcW w:type="dxa" w:w="4680"/>
            <w:tcBorders>
              <w:top w:val="single" w:color="D9D9D9" w:sz="1"/>
              <w:left w:val="single" w:color="D9D9D9" w:sz="1"/>
              <w:bottom w:val="single" w:color="D9D9D9" w:sz="1"/>
              <w:right w:val="single" w:color="D9D9D9" w:sz="1"/>
            </w:tcBorders>
            <w:tcMar>
              <w:top w:type="dxa" w:w="70"/>
              <w:left w:type="dxa" w:w="110"/>
              <w:bottom w:type="dxa" w:w="70"/>
              <w:right w:type="dxa" w:w="110"/>
            </w:tcMar>
          </w:tcPr>
          <w:p>
            <w:pPr>
              <w:spacing w:after="0" w:line="264"/>
              <w:jc w:val="left"/>
            </w:pPr>
            <w:r>
              <w:rPr>
                <w:b/>
                <w:bCs/>
                <w:color w:val="14110F"/>
                <w:sz w:val="18"/>
                <w:szCs w:val="18"/>
              </w:rPr>
              <w:t xml:space="preserve">Buchbinder Tunick</w:t>
            </w:r>
          </w:p>
        </w:tc>
        <w:tc>
          <w:tcPr>
            <w:tcW w:type="dxa" w:w="4680"/>
            <w:tcBorders>
              <w:top w:val="single" w:color="D9D9D9" w:sz="1"/>
              <w:left w:val="single" w:color="D9D9D9" w:sz="1"/>
              <w:bottom w:val="single" w:color="D9D9D9" w:sz="1"/>
              <w:right w:val="single" w:color="D9D9D9" w:sz="1"/>
            </w:tcBorders>
            <w:tcMar>
              <w:top w:type="dxa" w:w="70"/>
              <w:left w:type="dxa" w:w="110"/>
              <w:bottom w:type="dxa" w:w="70"/>
              <w:right w:type="dxa" w:w="110"/>
            </w:tcMar>
          </w:tcPr>
          <w:p>
            <w:pPr>
              <w:spacing w:after="0" w:line="264"/>
              <w:jc w:val="left"/>
            </w:pPr>
            <w:r>
              <w:rPr>
                <w:b w:val="false"/>
                <w:bCs w:val="false"/>
                <w:color w:val="14110F"/>
                <w:sz w:val="18"/>
                <w:szCs w:val="18"/>
              </w:rPr>
              <w:t xml:space="preserve">Nonprofit, government, RE</w:t>
            </w:r>
          </w:p>
        </w:tc>
      </w:tr>
      <w:tr>
        <w:tc>
          <w:tcPr>
            <w:tcW w:type="dxa" w:w="4680"/>
            <w:tcBorders>
              <w:top w:val="single" w:color="D9D9D9" w:sz="1"/>
              <w:left w:val="single" w:color="D9D9D9" w:sz="1"/>
              <w:bottom w:val="single" w:color="D9D9D9" w:sz="1"/>
              <w:right w:val="single" w:color="D9D9D9" w:sz="1"/>
            </w:tcBorders>
            <w:shd w:fill="F5F7F1" w:val="clear"/>
            <w:tcMar>
              <w:top w:type="dxa" w:w="70"/>
              <w:left w:type="dxa" w:w="110"/>
              <w:bottom w:type="dxa" w:w="70"/>
              <w:right w:type="dxa" w:w="110"/>
            </w:tcMar>
          </w:tcPr>
          <w:p>
            <w:pPr>
              <w:spacing w:after="0" w:line="264"/>
              <w:jc w:val="left"/>
            </w:pPr>
            <w:r>
              <w:rPr>
                <w:b/>
                <w:bCs/>
                <w:color w:val="14110F"/>
                <w:sz w:val="18"/>
                <w:szCs w:val="18"/>
              </w:rPr>
              <w:t xml:space="preserve">Berkowitz Pollack Brant (NY)</w:t>
            </w:r>
          </w:p>
        </w:tc>
        <w:tc>
          <w:tcPr>
            <w:tcW w:type="dxa" w:w="4680"/>
            <w:tcBorders>
              <w:top w:val="single" w:color="D9D9D9" w:sz="1"/>
              <w:left w:val="single" w:color="D9D9D9" w:sz="1"/>
              <w:bottom w:val="single" w:color="D9D9D9" w:sz="1"/>
              <w:right w:val="single" w:color="D9D9D9" w:sz="1"/>
            </w:tcBorders>
            <w:shd w:fill="F5F7F1" w:val="clear"/>
            <w:tcMar>
              <w:top w:type="dxa" w:w="70"/>
              <w:left w:type="dxa" w:w="110"/>
              <w:bottom w:type="dxa" w:w="70"/>
              <w:right w:type="dxa" w:w="110"/>
            </w:tcMar>
          </w:tcPr>
          <w:p>
            <w:pPr>
              <w:spacing w:after="0" w:line="264"/>
              <w:jc w:val="left"/>
            </w:pPr>
            <w:r>
              <w:rPr>
                <w:b w:val="false"/>
                <w:bCs w:val="false"/>
                <w:color w:val="14110F"/>
                <w:sz w:val="18"/>
                <w:szCs w:val="18"/>
              </w:rPr>
              <w:t xml:space="preserve">Top-40; private client</w:t>
            </w:r>
          </w:p>
        </w:tc>
      </w:tr>
      <w:tr>
        <w:tc>
          <w:tcPr>
            <w:tcW w:type="dxa" w:w="4680"/>
            <w:tcBorders>
              <w:top w:val="single" w:color="D9D9D9" w:sz="1"/>
              <w:left w:val="single" w:color="D9D9D9" w:sz="1"/>
              <w:bottom w:val="single" w:color="D9D9D9" w:sz="1"/>
              <w:right w:val="single" w:color="D9D9D9" w:sz="1"/>
            </w:tcBorders>
            <w:tcMar>
              <w:top w:type="dxa" w:w="70"/>
              <w:left w:type="dxa" w:w="110"/>
              <w:bottom w:type="dxa" w:w="70"/>
              <w:right w:type="dxa" w:w="110"/>
            </w:tcMar>
          </w:tcPr>
          <w:p>
            <w:pPr>
              <w:spacing w:after="0" w:line="264"/>
              <w:jc w:val="left"/>
            </w:pPr>
            <w:r>
              <w:rPr>
                <w:b/>
                <w:bCs/>
                <w:color w:val="14110F"/>
                <w:sz w:val="18"/>
                <w:szCs w:val="18"/>
              </w:rPr>
              <w:t xml:space="preserve">Raich Ende Malter</w:t>
            </w:r>
          </w:p>
        </w:tc>
        <w:tc>
          <w:tcPr>
            <w:tcW w:type="dxa" w:w="4680"/>
            <w:tcBorders>
              <w:top w:val="single" w:color="D9D9D9" w:sz="1"/>
              <w:left w:val="single" w:color="D9D9D9" w:sz="1"/>
              <w:bottom w:val="single" w:color="D9D9D9" w:sz="1"/>
              <w:right w:val="single" w:color="D9D9D9" w:sz="1"/>
            </w:tcBorders>
            <w:tcMar>
              <w:top w:type="dxa" w:w="70"/>
              <w:left w:type="dxa" w:w="110"/>
              <w:bottom w:type="dxa" w:w="70"/>
              <w:right w:type="dxa" w:w="110"/>
            </w:tcMar>
          </w:tcPr>
          <w:p>
            <w:pPr>
              <w:spacing w:after="0" w:line="264"/>
              <w:jc w:val="left"/>
            </w:pPr>
            <w:r>
              <w:rPr>
                <w:b w:val="false"/>
                <w:bCs w:val="false"/>
                <w:color w:val="14110F"/>
                <w:sz w:val="18"/>
                <w:szCs w:val="18"/>
              </w:rPr>
              <w:t xml:space="preserve">NYC mid-size; audit/tax/NFP</w:t>
            </w:r>
          </w:p>
        </w:tc>
      </w:tr>
      <w:tr>
        <w:tc>
          <w:tcPr>
            <w:tcW w:type="dxa" w:w="4680"/>
            <w:tcBorders>
              <w:top w:val="single" w:color="D9D9D9" w:sz="1"/>
              <w:left w:val="single" w:color="D9D9D9" w:sz="1"/>
              <w:bottom w:val="single" w:color="D9D9D9" w:sz="1"/>
              <w:right w:val="single" w:color="D9D9D9" w:sz="1"/>
            </w:tcBorders>
            <w:shd w:fill="F5F7F1" w:val="clear"/>
            <w:tcMar>
              <w:top w:type="dxa" w:w="70"/>
              <w:left w:type="dxa" w:w="110"/>
              <w:bottom w:type="dxa" w:w="70"/>
              <w:right w:type="dxa" w:w="110"/>
            </w:tcMar>
          </w:tcPr>
          <w:p>
            <w:pPr>
              <w:spacing w:after="0" w:line="264"/>
              <w:jc w:val="left"/>
            </w:pPr>
            <w:r>
              <w:rPr>
                <w:b/>
                <w:bCs/>
                <w:color w:val="14110F"/>
                <w:sz w:val="18"/>
                <w:szCs w:val="18"/>
              </w:rPr>
              <w:t xml:space="preserve">Mazars USA (legacy)</w:t>
            </w:r>
          </w:p>
        </w:tc>
        <w:tc>
          <w:tcPr>
            <w:tcW w:type="dxa" w:w="4680"/>
            <w:tcBorders>
              <w:top w:val="single" w:color="D9D9D9" w:sz="1"/>
              <w:left w:val="single" w:color="D9D9D9" w:sz="1"/>
              <w:bottom w:val="single" w:color="D9D9D9" w:sz="1"/>
              <w:right w:val="single" w:color="D9D9D9" w:sz="1"/>
            </w:tcBorders>
            <w:shd w:fill="F5F7F1" w:val="clear"/>
            <w:tcMar>
              <w:top w:type="dxa" w:w="70"/>
              <w:left w:type="dxa" w:w="110"/>
              <w:bottom w:type="dxa" w:w="70"/>
              <w:right w:type="dxa" w:w="110"/>
            </w:tcMar>
          </w:tcPr>
          <w:p>
            <w:pPr>
              <w:spacing w:after="0" w:line="264"/>
              <w:jc w:val="left"/>
            </w:pPr>
            <w:r>
              <w:rPr>
                <w:b w:val="false"/>
                <w:bCs w:val="false"/>
                <w:color w:val="14110F"/>
                <w:sz w:val="18"/>
                <w:szCs w:val="18"/>
              </w:rPr>
              <w:t xml:space="preserve">NYC practice under Forvis Mazars</w:t>
            </w:r>
          </w:p>
        </w:tc>
      </w:tr>
      <w:tr>
        <w:tc>
          <w:tcPr>
            <w:tcW w:type="dxa" w:w="4680"/>
            <w:tcBorders>
              <w:top w:val="single" w:color="D9D9D9" w:sz="1"/>
              <w:left w:val="single" w:color="D9D9D9" w:sz="1"/>
              <w:bottom w:val="single" w:color="D9D9D9" w:sz="1"/>
              <w:right w:val="single" w:color="D9D9D9" w:sz="1"/>
            </w:tcBorders>
            <w:tcMar>
              <w:top w:type="dxa" w:w="70"/>
              <w:left w:type="dxa" w:w="110"/>
              <w:bottom w:type="dxa" w:w="70"/>
              <w:right w:type="dxa" w:w="110"/>
            </w:tcMar>
          </w:tcPr>
          <w:p>
            <w:pPr>
              <w:spacing w:after="0" w:line="264"/>
              <w:jc w:val="left"/>
            </w:pPr>
            <w:r>
              <w:rPr>
                <w:b/>
                <w:bCs/>
                <w:color w:val="14110F"/>
                <w:sz w:val="18"/>
                <w:szCs w:val="18"/>
              </w:rPr>
              <w:t xml:space="preserve">MarksNelson</w:t>
            </w:r>
          </w:p>
        </w:tc>
        <w:tc>
          <w:tcPr>
            <w:tcW w:type="dxa" w:w="4680"/>
            <w:tcBorders>
              <w:top w:val="single" w:color="D9D9D9" w:sz="1"/>
              <w:left w:val="single" w:color="D9D9D9" w:sz="1"/>
              <w:bottom w:val="single" w:color="D9D9D9" w:sz="1"/>
              <w:right w:val="single" w:color="D9D9D9" w:sz="1"/>
            </w:tcBorders>
            <w:tcMar>
              <w:top w:type="dxa" w:w="70"/>
              <w:left w:type="dxa" w:w="110"/>
              <w:bottom w:type="dxa" w:w="70"/>
              <w:right w:type="dxa" w:w="110"/>
            </w:tcMar>
          </w:tcPr>
          <w:p>
            <w:pPr>
              <w:spacing w:after="0" w:line="264"/>
              <w:jc w:val="left"/>
            </w:pPr>
            <w:r>
              <w:rPr>
                <w:b w:val="false"/>
                <w:bCs w:val="false"/>
                <w:color w:val="14110F"/>
                <w:sz w:val="18"/>
                <w:szCs w:val="18"/>
              </w:rPr>
              <w:t xml:space="preserve">Mid-market advisory</w:t>
            </w:r>
          </w:p>
        </w:tc>
      </w:tr>
      <w:tr>
        <w:tc>
          <w:tcPr>
            <w:tcW w:type="dxa" w:w="4680"/>
            <w:tcBorders>
              <w:top w:val="single" w:color="D9D9D9" w:sz="1"/>
              <w:left w:val="single" w:color="D9D9D9" w:sz="1"/>
              <w:bottom w:val="single" w:color="D9D9D9" w:sz="1"/>
              <w:right w:val="single" w:color="D9D9D9" w:sz="1"/>
            </w:tcBorders>
            <w:shd w:fill="F5F7F1" w:val="clear"/>
            <w:tcMar>
              <w:top w:type="dxa" w:w="70"/>
              <w:left w:type="dxa" w:w="110"/>
              <w:bottom w:type="dxa" w:w="70"/>
              <w:right w:type="dxa" w:w="110"/>
            </w:tcMar>
          </w:tcPr>
          <w:p>
            <w:pPr>
              <w:spacing w:after="0" w:line="264"/>
              <w:jc w:val="left"/>
            </w:pPr>
            <w:r>
              <w:rPr>
                <w:b/>
                <w:bCs/>
                <w:color w:val="14110F"/>
                <w:sz w:val="18"/>
                <w:szCs w:val="18"/>
              </w:rPr>
              <w:t xml:space="preserve">Schall &amp; Ashenfarb</w:t>
            </w:r>
          </w:p>
        </w:tc>
        <w:tc>
          <w:tcPr>
            <w:tcW w:type="dxa" w:w="4680"/>
            <w:tcBorders>
              <w:top w:val="single" w:color="D9D9D9" w:sz="1"/>
              <w:left w:val="single" w:color="D9D9D9" w:sz="1"/>
              <w:bottom w:val="single" w:color="D9D9D9" w:sz="1"/>
              <w:right w:val="single" w:color="D9D9D9" w:sz="1"/>
            </w:tcBorders>
            <w:shd w:fill="F5F7F1" w:val="clear"/>
            <w:tcMar>
              <w:top w:type="dxa" w:w="70"/>
              <w:left w:type="dxa" w:w="110"/>
              <w:bottom w:type="dxa" w:w="70"/>
              <w:right w:type="dxa" w:w="110"/>
            </w:tcMar>
          </w:tcPr>
          <w:p>
            <w:pPr>
              <w:spacing w:after="0" w:line="264"/>
              <w:jc w:val="left"/>
            </w:pPr>
            <w:r>
              <w:rPr>
                <w:b w:val="false"/>
                <w:bCs w:val="false"/>
                <w:color w:val="14110F"/>
                <w:sz w:val="18"/>
                <w:szCs w:val="18"/>
              </w:rPr>
              <w:t xml:space="preserve">NYC NFP specialist</w:t>
            </w:r>
          </w:p>
        </w:tc>
      </w:tr>
    </w:tbl>
    <w:p>
      <w:pPr>
        <w:spacing w:after="160"/>
      </w:pPr>
    </w:p>
    <w:p>
      <w:pPr>
        <w:spacing w:after="120" w:line="276"/>
      </w:pPr>
      <w:r>
        <w:rPr>
          <w:b/>
          <w:bCs/>
          <w:color w:val="6F675F"/>
          <w:sz w:val="18"/>
          <w:szCs w:val="18"/>
        </w:rPr>
        <w:t xml:space="preserve">Sources: </w:t>
      </w:r>
      <w:r>
        <w:rPr>
          <w:color w:val="6F675F"/>
          <w:sz w:val="18"/>
          <w:szCs w:val="18"/>
        </w:rPr>
        <w:t xml:space="preserve">Accountancy Age Top 50 (2025); Accounting Today Top 100; Crain’s New York Largest Accounting Firms (Sept 2025); INSIDE Public Accounting Top 500; Vault 2025; and direct inspection of the firm websites listed above (June 2026).</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6"/>
      </w:pBdr>
      <w:jc w:val="center"/>
    </w:pPr>
    <w:r>
      <w:rPr>
        <w:color w:val="6F675F"/>
        <w:sz w:val="16"/>
        <w:szCs w:val="16"/>
      </w:rPr>
      <w:t xml:space="preserve">Najma Al Raeda  ·  Website Competitive Benchmarking  ·  Page </w:t>
    </w:r>
    <w:r>
      <w:rPr>
        <w:color w:val="6F675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557D27"/>
      </w:r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60" w:hanging="260"/>
      </w:pPr>
      <w:rPr>
        <w:b/>
        <w:bCs/>
        <w:color w:val="557D27"/>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4110F"/>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6F9E3A" w:sz="6" w:space="4"/>
      </w:pBdr>
      <w:spacing w:after="160" w:before="320"/>
      <w:outlineLvl w:val="0"/>
    </w:pPr>
    <w:rPr>
      <w:rFonts w:ascii="Calibri" w:cs="Calibri" w:eastAsia="Calibri" w:hAnsi="Calibri"/>
      <w:b/>
      <w:bCs/>
      <w:color w:val="557D27"/>
      <w:sz w:val="30"/>
      <w:szCs w:val="30"/>
    </w:rPr>
  </w:style>
  <w:style w:type="paragraph" w:styleId="Heading2">
    <w:name w:val="Heading 2"/>
    <w:basedOn w:val="Normal"/>
    <w:next w:val="Normal"/>
    <w:qFormat/>
    <w:pPr>
      <w:spacing w:after="110" w:before="220"/>
      <w:outlineLvl w:val="1"/>
    </w:pPr>
    <w:rPr>
      <w:rFonts w:ascii="Calibri" w:cs="Calibri" w:eastAsia="Calibri" w:hAnsi="Calibri"/>
      <w:b/>
      <w:bCs/>
      <w:color w:val="14110F"/>
      <w:sz w:val="24"/>
      <w:szCs w:val="24"/>
    </w:rPr>
  </w:style>
  <w:style w:type="paragraph" w:styleId="TOC1">
    <w:name w:val="toc 1"/>
    <w:basedOn w:val="Normal"/>
    <w:pPr>
      <w:spacing w:after="60"/>
    </w:pPr>
    <w:rPr>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2026-06-23T16:26:44.236Z</dcterms:created>
  <dcterms:modified xsi:type="dcterms:W3CDTF">2026-06-23T16:26:44.236Z</dcterms:modified>
</cp:coreProperties>
</file>

<file path=docProps/custom.xml><?xml version="1.0" encoding="utf-8"?>
<Properties xmlns="http://schemas.openxmlformats.org/officeDocument/2006/custom-properties" xmlns:vt="http://schemas.openxmlformats.org/officeDocument/2006/docPropsVTypes"/>
</file>