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rPr>
          <w:b/>
          <w:bCs/>
          <w:color w:val="1F7A6D"/>
          <w:sz w:val="22"/>
          <w:szCs w:val="22"/>
        </w:rPr>
        <w:t xml:space="preserve">TECHNICAL AUDIT &amp; COMPETITIVE ROADMAP</w:t>
      </w:r>
    </w:p>
    <w:p>
      <w:pPr>
        <w:spacing w:after="60"/>
      </w:pPr>
      <w:r>
        <w:rPr>
          <w:b/>
          <w:bCs/>
          <w:color w:val="1F3A5F"/>
          <w:sz w:val="40"/>
          <w:szCs w:val="40"/>
        </w:rPr>
        <w:t xml:space="preserve">Security, Accounting Correctness &amp; How to Win the UAE Market</w:t>
      </w:r>
    </w:p>
    <w:p>
      <w:pPr>
        <w:spacing w:after="200"/>
      </w:pPr>
      <w:r>
        <w:rPr>
          <w:color w:val="555555"/>
          <w:sz w:val="24"/>
          <w:szCs w:val="24"/>
        </w:rPr>
        <w:t xml:space="preserve">Muhasib.ai (Netmara) vs QuickBooks, Wafeq, Zoho Books &amp; Mazeed</w:t>
      </w:r>
    </w:p>
    <w:p>
      <w:pPr>
        <w:pBdr>
          <w:bottom w:val="single" w:color="1F7A6D" w:sz="10" w:space="6"/>
        </w:pBdr>
      </w:pPr>
      <w:r>
        <w:t xml:space="preserve"/>
      </w:r>
    </w:p>
    <w:p>
      <w:pPr>
        <w:spacing w:after="40" w:before="160"/>
      </w:pPr>
      <w:r>
        <w:rPr>
          <w:b/>
          <w:bCs/>
        </w:rPr>
        <w:t xml:space="preserve">Prepared for:  </w:t>
      </w:r>
      <w:r>
        <w:t xml:space="preserve">Product owner / engineering lead</w:t>
      </w:r>
    </w:p>
    <w:p>
      <w:pPr>
        <w:spacing w:after="40"/>
      </w:pPr>
      <w:r>
        <w:rPr>
          <w:b/>
          <w:bCs/>
        </w:rPr>
        <w:t xml:space="preserve">Basis:  </w:t>
      </w:r>
      <w:r>
        <w:t xml:space="preserve">Read-only review of the live app + full codebase (~67k LOC server, ~133k LOC client, 452 endpoints, 87 migrations) + competitor research</w:t>
      </w:r>
    </w:p>
    <w:p>
      <w:pPr>
        <w:spacing w:after="40"/>
      </w:pPr>
      <w:r>
        <w:rPr>
          <w:b/>
          <w:bCs/>
        </w:rPr>
        <w:t xml:space="preserve">Date:  </w:t>
      </w:r>
      <w:r>
        <w:t xml:space="preserve">21 June 2026</w:t>
      </w:r>
    </w:p>
    <w:p>
      <w:pPr>
        <w:spacing w:after="40"/>
      </w:pPr>
      <w:r>
        <w:rPr>
          <w:b/>
          <w:bCs/>
        </w:rPr>
        <w:t xml:space="preserve">Scope:  </w:t>
      </w:r>
      <w:r>
        <w:t xml:space="preserve">Identify all material issues &amp; security concerns; benchmark vs competitors; prioritised plan (no code changed)</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30"/>
      </w:pPr>
      <w:r>
        <w:t xml:space="preserve">The platform has an impressive surface and a genuinely strong double-entry core, but it is </w:t>
      </w:r>
      <w:r>
        <w:rPr>
          <w:b/>
          <w:bCs/>
        </w:rPr>
        <w:t xml:space="preserve">not yet trustworthy enough to keep a client's books unsupervised, and not yet compliant with the e-invoicing regime that will decide the UAE market in 2027.</w:t>
      </w:r>
      <w:r>
        <w:t xml:space="preserve"> The good news: the gaps are specific, well-understood, and fixable on a realistic timeline.</w:t>
      </w:r>
    </w:p>
    <w:p>
      <w:pPr>
        <w:spacing w:after="130"/>
      </w:pPr>
      <w:r>
        <w:rPr>
          <w:b/>
          <w:bCs/>
        </w:rPr>
        <w:t xml:space="preserve">Engineering posture is above average for its size. </w:t>
      </w:r>
      <w:r>
        <w:t xml:space="preserve">The core journal engine is production-grade — atomic transactions, debits==credits enforcement, concurrency-safe gap-free numbering, immutable posted entries, FTA 5-year retention on the main documents, parameterised queries, PKCE OAuth, strict production CSP, and decimal.js on the money write-path. There are no production-runtime dependency vulnerabilities.</w:t>
      </w:r>
    </w:p>
    <w:p>
      <w:pPr>
        <w:spacing w:after="130"/>
      </w:pPr>
      <w:r>
        <w:rPr>
          <w:b/>
          <w:bCs/>
        </w:rPr>
        <w:t xml:space="preserve">But correctness breaks at the edges. </w:t>
      </w:r>
      <w:r>
        <w:t xml:space="preserve">The damage is concentrated in transaction lifecycles (void, payments, credit notes), the reporting layer (balance sheet, cash flow), and FX/corporate-tax — plus a near-total absence of accounting test coverage. Several modules were built twice (two cash-flow engines, two credit-note systems, three corporate-tax calculators, two VAT engines), and the buggy versions are the ones wired into the UI.</w:t>
      </w:r>
    </w:p>
    <w:p>
      <w:pPr>
        <w:spacing w:after="130"/>
      </w:pPr>
      <w:r>
        <w:rPr>
          <w:b/>
          <w:bCs/>
        </w:rPr>
        <w:t xml:space="preserve">Security is solid with three sharp edges. </w:t>
      </w:r>
      <w:r>
        <w:t xml:space="preserve">One live cross-tenant data-exposure bug (portal token IDOR), seeded backdoor/personal-admin accounts baked into migrations and git history, and non-atomic money writes in the raw-SQL modules (bill-pay, bank-reconcile, payroll) that can silently corrupt balances.</w:t>
      </w:r>
    </w:p>
    <w:p>
      <w:pPr>
        <w:spacing w:after="130"/>
      </w:pPr>
      <w:r>
        <w:rPr>
          <w:b/>
          <w:bCs/>
        </w:rPr>
        <w:t xml:space="preserve">The strategic clock is the e-invoicing mandate. </w:t>
      </w:r>
      <w:r>
        <w:t xml:space="preserve">The UAE has adopted a Peppol 5-corner model: pilot from July 2026, mandatory from 1 January 2027 for businesses over AED 50M, and from 1 July 2027 for SMEs. Wafeq is already an accredited service provider, Zoho is an FTA Digital Tax Integrator, and Mazeed markets itself as e-invoicing-ready. Without an accredited e-invoicing path, the product cannot be sold to serious UAE businesses by 2027 — this is the single highest-leverage investment.</w:t>
      </w:r>
    </w:p>
    <w:p>
      <w:pPr>
        <w:pStyle w:val="Heading3"/>
      </w:pPr>
      <w:r>
        <w:t xml:space="preserve">Headline verdict</w:t>
      </w:r>
    </w:p>
    <w:p>
      <w:pPr>
        <w:spacing w:after="130"/>
      </w:pPr>
      <w:r>
        <w:t xml:space="preserve">Fix the books and the security edges first (P0), build the compliance moat second (P1), reach feature parity third (P2), and win on AI-native bookkeeping fourth (P3). Do that and this moves from “promising” to a credible challenger to Wafeq, Zoho and Mazeed.</w:t>
      </w:r>
    </w:p>
    <w:p>
      <w:r>
        <w:br w:type="page"/>
      </w:r>
    </w:p>
    <w:p>
      <w:pPr>
        <w:pStyle w:val="Heading1"/>
      </w:pPr>
      <w:r>
        <w:t xml:space="preserve">2.  Security &amp; data-integrity findings</w:t>
      </w:r>
    </w:p>
    <w:p>
      <w:pPr>
        <w:spacing w:after="130"/>
      </w:pPr>
      <w:r>
        <w:t xml:space="preserve">Read-only audit of authentication, multi-tenant isolation, input validation, secrets, API security, financial controls, dependencies and data integrity. </w:t>
      </w:r>
      <w:r>
        <w:rPr>
          <w:b/>
          <w:bCs/>
        </w:rPr>
        <w:t xml:space="preserve">Two critical, six high, four medium and four low findings</w:t>
      </w:r>
      <w:r>
        <w:t xml:space="preserve"> are summarised below; the most urgent are the portal IDOR (S-H1), the non-atomic money writes (S-C1, S-C2), and the seeded backdoor/admin migrations (S-H2, S-H3).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500"/>
        <w:gridCol w:w="5040"/>
        <w:gridCol w:w="2200"/>
      </w:tblGrid>
      <w:tr>
        <w:trPr>
          <w:tblHeader/>
        </w:trPr>
        <w:tc>
          <w:tcPr>
            <w:tcW w:type="dxa" w:w="62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8"/>
                <w:szCs w:val="18"/>
              </w:rPr>
              <w:t xml:space="preserve">ID</w:t>
            </w:r>
          </w:p>
        </w:tc>
        <w:tc>
          <w:tcPr>
            <w:tcW w:type="dxa" w:w="150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8"/>
                <w:szCs w:val="18"/>
              </w:rPr>
              <w:t xml:space="preserve">Severity</w:t>
            </w:r>
          </w:p>
        </w:tc>
        <w:tc>
          <w:tcPr>
            <w:tcW w:type="dxa" w:w="504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8"/>
                <w:szCs w:val="18"/>
              </w:rPr>
              <w:t xml:space="preserve">Finding &amp; risk</w:t>
            </w:r>
          </w:p>
        </w:tc>
        <w:tc>
          <w:tcPr>
            <w:tcW w:type="dxa" w:w="220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8"/>
                <w:szCs w:val="18"/>
              </w:rPr>
              <w:t xml:space="preserve">Location / fix</w:t>
            </w:r>
          </w:p>
        </w:tc>
      </w:tr>
      <w:tr>
        <w:tc>
          <w:tcPr>
            <w:tcW w:type="dxa" w:w="62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center"/>
            </w:pPr>
            <w:r>
              <w:rPr>
                <w:b/>
                <w:bCs/>
                <w:sz w:val="18"/>
                <w:szCs w:val="18"/>
              </w:rPr>
              <w:t xml:space="preserve">S-C1</w:t>
            </w:r>
          </w:p>
        </w:tc>
        <w:tc>
          <w:tcPr>
            <w:tcW w:type="dxa" w:w="15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b/>
                <w:bCs/>
                <w:color w:val="B3261E"/>
                <w:sz w:val="18"/>
                <w:szCs w:val="18"/>
              </w:rPr>
              <w:t xml:space="preserve">Critical</w:t>
            </w:r>
          </w:p>
        </w:tc>
        <w:tc>
          <w:tcPr>
            <w:tcW w:type="dxa" w:w="504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8"/>
                <w:szCs w:val="18"/>
              </w:rPr>
              <w:t xml:space="preserve">Bill-payment recording is not atomic: three separate DB writes with no transaction. A failed final update leaves amount_paid stale and lets the next payment exceed the bill total (silent vendor overpayment); overpayment guard uses float compare.</w:t>
            </w:r>
          </w:p>
        </w:tc>
        <w:tc>
          <w:tcPr>
            <w:tcW w:type="dxa" w:w="22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color w:val="555555"/>
                <w:sz w:val="16"/>
                <w:szCs w:val="16"/>
              </w:rPr>
              <w:t xml:space="preserve">bill-pay.routes.ts:546-638 — one DB transaction + Decimal guard</w:t>
            </w:r>
          </w:p>
        </w:tc>
      </w:tr>
      <w:tr>
        <w:tc>
          <w:tcPr>
            <w:tcW w:type="dxa" w:w="62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center"/>
            </w:pPr>
            <w:r>
              <w:rPr>
                <w:b/>
                <w:bCs/>
                <w:sz w:val="18"/>
                <w:szCs w:val="18"/>
              </w:rPr>
              <w:t xml:space="preserve">S-C2</w:t>
            </w:r>
          </w:p>
        </w:tc>
        <w:tc>
          <w:tcPr>
            <w:tcW w:type="dxa" w:w="15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b/>
                <w:bCs/>
                <w:color w:val="B3261E"/>
                <w:sz w:val="18"/>
                <w:szCs w:val="18"/>
              </w:rPr>
              <w:t xml:space="preserve">Critical</w:t>
            </w:r>
          </w:p>
        </w:tc>
        <w:tc>
          <w:tcPr>
            <w:tcW w:type="dxa" w:w="504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8"/>
                <w:szCs w:val="18"/>
              </w:rPr>
              <w:t xml:space="preserve">Bank-reconciliation 'create-entry' has no guard on the line's reconciled status and posts JE + reconcile + update as separate awaits. Calling it twice double-posts a journal entry against the same bank line.</w:t>
            </w:r>
          </w:p>
        </w:tc>
        <w:tc>
          <w:tcPr>
            <w:tcW w:type="dxa" w:w="22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color w:val="555555"/>
                <w:sz w:val="16"/>
                <w:szCs w:val="16"/>
              </w:rPr>
              <w:t xml:space="preserve">bank-statements.routes.ts ~848 — reject if already matched; single txn</w:t>
            </w:r>
          </w:p>
        </w:tc>
      </w:tr>
      <w:tr>
        <w:tc>
          <w:tcPr>
            <w:tcW w:type="dxa" w:w="62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center"/>
            </w:pPr>
            <w:r>
              <w:rPr>
                <w:b/>
                <w:bCs/>
                <w:sz w:val="18"/>
                <w:szCs w:val="18"/>
              </w:rPr>
              <w:t xml:space="preserve">S-H1</w:t>
            </w:r>
          </w:p>
        </w:tc>
        <w:tc>
          <w:tcPr>
            <w:tcW w:type="dxa" w:w="15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b/>
                <w:bCs/>
                <w:color w:val="C0531B"/>
                <w:sz w:val="18"/>
                <w:szCs w:val="18"/>
              </w:rPr>
              <w:t xml:space="preserve">High</w:t>
            </w:r>
          </w:p>
        </w:tc>
        <w:tc>
          <w:tcPr>
            <w:tcW w:type="dxa" w:w="504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8"/>
                <w:szCs w:val="18"/>
              </w:rPr>
              <w:t xml:space="preserve">Live cross-tenant IDOR: portal access-token generation is protected by auth only, resolves contactId from the body via an unscoped lookup, and mints a 1-year portal link — any user can expose another company's invoices/PDFs.</w:t>
            </w:r>
          </w:p>
        </w:tc>
        <w:tc>
          <w:tcPr>
            <w:tcW w:type="dxa" w:w="22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color w:val="555555"/>
                <w:sz w:val="16"/>
                <w:szCs w:val="16"/>
              </w:rPr>
              <w:t xml:space="preserve">portal.public.routes.ts:18-48 — add hasCompanyAccess(contact.companyId)</w:t>
            </w:r>
          </w:p>
        </w:tc>
      </w:tr>
      <w:tr>
        <w:tc>
          <w:tcPr>
            <w:tcW w:type="dxa" w:w="62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center"/>
            </w:pPr>
            <w:r>
              <w:rPr>
                <w:b/>
                <w:bCs/>
                <w:sz w:val="18"/>
                <w:szCs w:val="18"/>
              </w:rPr>
              <w:t xml:space="preserve">S-H2</w:t>
            </w:r>
          </w:p>
        </w:tc>
        <w:tc>
          <w:tcPr>
            <w:tcW w:type="dxa" w:w="15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b/>
                <w:bCs/>
                <w:color w:val="C0531B"/>
                <w:sz w:val="18"/>
                <w:szCs w:val="18"/>
              </w:rPr>
              <w:t xml:space="preserve">High</w:t>
            </w:r>
          </w:p>
        </w:tc>
        <w:tc>
          <w:tcPr>
            <w:tcW w:type="dxa" w:w="504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8"/>
                <w:szCs w:val="18"/>
              </w:rPr>
              <w:t xml:space="preserve">Seeded 'backdoor' firm_owner accounts with bcrypt hashes + a cleartext password committed in migrations (and git history forever). Mitigated by a later revoke migration + CI guard, but residual on fresh DBs; rotate JWT_SECRET.</w:t>
            </w:r>
          </w:p>
        </w:tc>
        <w:tc>
          <w:tcPr>
            <w:tcW w:type="dxa" w:w="22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color w:val="555555"/>
                <w:sz w:val="16"/>
                <w:szCs w:val="16"/>
              </w:rPr>
              <w:t xml:space="preserve">migrations 0023/0028 (revoked by 0051)</w:t>
            </w:r>
          </w:p>
        </w:tc>
      </w:tr>
      <w:tr>
        <w:tc>
          <w:tcPr>
            <w:tcW w:type="dxa" w:w="62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center"/>
            </w:pPr>
            <w:r>
              <w:rPr>
                <w:b/>
                <w:bCs/>
                <w:sz w:val="18"/>
                <w:szCs w:val="18"/>
              </w:rPr>
              <w:t xml:space="preserve">S-H3</w:t>
            </w:r>
          </w:p>
        </w:tc>
        <w:tc>
          <w:tcPr>
            <w:tcW w:type="dxa" w:w="15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b/>
                <w:bCs/>
                <w:color w:val="C0531B"/>
                <w:sz w:val="18"/>
                <w:szCs w:val="18"/>
              </w:rPr>
              <w:t xml:space="preserve">High</w:t>
            </w:r>
          </w:p>
        </w:tc>
        <w:tc>
          <w:tcPr>
            <w:tcW w:type="dxa" w:w="504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8"/>
                <w:szCs w:val="18"/>
              </w:rPr>
              <w:t xml:space="preserve">A specific personal email is hard-coded to permanent admin + firm_owner (all-tenant superuser) in every deployment with no expiry.</w:t>
            </w:r>
          </w:p>
        </w:tc>
        <w:tc>
          <w:tcPr>
            <w:tcW w:type="dxa" w:w="22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color w:val="555555"/>
                <w:sz w:val="16"/>
                <w:szCs w:val="16"/>
              </w:rPr>
              <w:t xml:space="preserve">migrations/0054 — move to environment-scoped runbook</w:t>
            </w:r>
          </w:p>
        </w:tc>
      </w:tr>
      <w:tr>
        <w:tc>
          <w:tcPr>
            <w:tcW w:type="dxa" w:w="62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center"/>
            </w:pPr>
            <w:r>
              <w:rPr>
                <w:b/>
                <w:bCs/>
                <w:sz w:val="18"/>
                <w:szCs w:val="18"/>
              </w:rPr>
              <w:t xml:space="preserve">S-H4</w:t>
            </w:r>
          </w:p>
        </w:tc>
        <w:tc>
          <w:tcPr>
            <w:tcW w:type="dxa" w:w="15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b/>
                <w:bCs/>
                <w:color w:val="C0531B"/>
                <w:sz w:val="18"/>
                <w:szCs w:val="18"/>
              </w:rPr>
              <w:t xml:space="preserve">High</w:t>
            </w:r>
          </w:p>
        </w:tc>
        <w:tc>
          <w:tcPr>
            <w:tcW w:type="dxa" w:w="504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8"/>
                <w:szCs w:val="18"/>
              </w:rPr>
              <w:t xml:space="preserve">Money-moving / sensitive endpoints with NO audit logging: bill approve/pay/delete, bank connect/sync, credit-note create/void, expense-claim approve/pay, and all report exports (who exported the VAT return / trial balance is not recorded).</w:t>
            </w:r>
          </w:p>
        </w:tc>
        <w:tc>
          <w:tcPr>
            <w:tcW w:type="dxa" w:w="22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color w:val="555555"/>
                <w:sz w:val="16"/>
                <w:szCs w:val="16"/>
              </w:rPr>
              <w:t xml:space="preserve">bill-pay, bank, credit-notes, reports routes — add recordAudit</w:t>
            </w:r>
          </w:p>
        </w:tc>
      </w:tr>
      <w:tr>
        <w:tc>
          <w:tcPr>
            <w:tcW w:type="dxa" w:w="62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center"/>
            </w:pPr>
            <w:r>
              <w:rPr>
                <w:b/>
                <w:bCs/>
                <w:sz w:val="18"/>
                <w:szCs w:val="18"/>
              </w:rPr>
              <w:t xml:space="preserve">S-H5</w:t>
            </w:r>
          </w:p>
        </w:tc>
        <w:tc>
          <w:tcPr>
            <w:tcW w:type="dxa" w:w="15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b/>
                <w:bCs/>
                <w:color w:val="C0531B"/>
                <w:sz w:val="18"/>
                <w:szCs w:val="18"/>
              </w:rPr>
              <w:t xml:space="preserve">High</w:t>
            </w:r>
          </w:p>
        </w:tc>
        <w:tc>
          <w:tcPr>
            <w:tcW w:type="dxa" w:w="504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8"/>
                <w:szCs w:val="18"/>
              </w:rPr>
              <w:t xml:space="preserve">Hard deletes that bypass FTA 5-year retention: credit notes and fixed assets are hard-deleted with no retention/period-lock guard, orphaning posted depreciation/disposal JEs. No soft-delete on financial documents.</w:t>
            </w:r>
          </w:p>
        </w:tc>
        <w:tc>
          <w:tcPr>
            <w:tcW w:type="dxa" w:w="22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color w:val="555555"/>
                <w:sz w:val="16"/>
                <w:szCs w:val="16"/>
              </w:rPr>
              <w:t xml:space="preserve">storage.ts:3312; fixed-assets.routes.ts:660</w:t>
            </w:r>
          </w:p>
        </w:tc>
      </w:tr>
      <w:tr>
        <w:tc>
          <w:tcPr>
            <w:tcW w:type="dxa" w:w="62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center"/>
            </w:pPr>
            <w:r>
              <w:rPr>
                <w:b/>
                <w:bCs/>
                <w:sz w:val="18"/>
                <w:szCs w:val="18"/>
              </w:rPr>
              <w:t xml:space="preserve">S-H6</w:t>
            </w:r>
          </w:p>
        </w:tc>
        <w:tc>
          <w:tcPr>
            <w:tcW w:type="dxa" w:w="15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b/>
                <w:bCs/>
                <w:color w:val="C0531B"/>
                <w:sz w:val="18"/>
                <w:szCs w:val="18"/>
              </w:rPr>
              <w:t xml:space="preserve">High</w:t>
            </w:r>
          </w:p>
        </w:tc>
        <w:tc>
          <w:tcPr>
            <w:tcW w:type="dxa" w:w="504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8"/>
                <w:szCs w:val="18"/>
              </w:rPr>
              <w:t xml:space="preserve">Non-atomic posting and missing GL entries: payroll posts in 3 separate awaits; expense-claim approve/pay posts NO journal entry (approved expenses never hit the GL); Stripe webhook marks invoices paid without the cash-receipt JE.</w:t>
            </w:r>
          </w:p>
        </w:tc>
        <w:tc>
          <w:tcPr>
            <w:tcW w:type="dxa" w:w="22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color w:val="555555"/>
                <w:sz w:val="16"/>
                <w:szCs w:val="16"/>
              </w:rPr>
              <w:t xml:space="preserve">payroll.routes.ts:1080; expense-claims.routes.ts; invoice-payment.service.ts:90</w:t>
            </w:r>
          </w:p>
        </w:tc>
      </w:tr>
      <w:tr>
        <w:tc>
          <w:tcPr>
            <w:tcW w:type="dxa" w:w="62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center"/>
            </w:pPr>
            <w:r>
              <w:rPr>
                <w:b/>
                <w:bCs/>
                <w:sz w:val="18"/>
                <w:szCs w:val="18"/>
              </w:rPr>
              <w:t xml:space="preserve">S-M1</w:t>
            </w:r>
          </w:p>
        </w:tc>
        <w:tc>
          <w:tcPr>
            <w:tcW w:type="dxa" w:w="15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b/>
                <w:bCs/>
                <w:color w:val="B5780B"/>
                <w:sz w:val="18"/>
                <w:szCs w:val="18"/>
              </w:rPr>
              <w:t xml:space="preserve">Medium</w:t>
            </w:r>
          </w:p>
        </w:tc>
        <w:tc>
          <w:tcPr>
            <w:tcW w:type="dxa" w:w="504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8"/>
                <w:szCs w:val="18"/>
              </w:rPr>
              <w:t xml:space="preserve">Mass-assignment: { ...req.body } spread into Drizzle writes with no schema on ~63 of 70 route files. updateCompany lets an authorized member set arbitrary real columns (firmId, isActive, tax/subscription fields) beyond the UI.</w:t>
            </w:r>
          </w:p>
        </w:tc>
        <w:tc>
          <w:tcPr>
            <w:tcW w:type="dxa" w:w="22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color w:val="555555"/>
                <w:sz w:val="16"/>
                <w:szCs w:val="16"/>
              </w:rPr>
              <w:t xml:space="preserve">companies.routes.ts:245,285 + others — validate()/allowlist</w:t>
            </w:r>
          </w:p>
        </w:tc>
      </w:tr>
      <w:tr>
        <w:tc>
          <w:tcPr>
            <w:tcW w:type="dxa" w:w="62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center"/>
            </w:pPr>
            <w:r>
              <w:rPr>
                <w:b/>
                <w:bCs/>
                <w:sz w:val="18"/>
                <w:szCs w:val="18"/>
              </w:rPr>
              <w:t xml:space="preserve">S-M2</w:t>
            </w:r>
          </w:p>
        </w:tc>
        <w:tc>
          <w:tcPr>
            <w:tcW w:type="dxa" w:w="15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b/>
                <w:bCs/>
                <w:color w:val="B5780B"/>
                <w:sz w:val="18"/>
                <w:szCs w:val="18"/>
              </w:rPr>
              <w:t xml:space="preserve">Medium</w:t>
            </w:r>
          </w:p>
        </w:tc>
        <w:tc>
          <w:tcPr>
            <w:tcW w:type="dxa" w:w="504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8"/>
                <w:szCs w:val="18"/>
              </w:rPr>
              <w:t xml:space="preserve">Server-side sanitization helpers (sanitizeText, sanitizeRichText, validateUpload) are well-written but NEVER called. User text is rendered unescaped in PDFs, emails, and CSV/XLSX — a stored-XSS / CSV-formula-injection path on non-React surfaces.</w:t>
            </w:r>
          </w:p>
        </w:tc>
        <w:tc>
          <w:tcPr>
            <w:tcW w:type="dxa" w:w="22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color w:val="555555"/>
                <w:sz w:val="16"/>
                <w:szCs w:val="16"/>
              </w:rPr>
              <w:t xml:space="preserve">server/sanitize.ts — wire into write paths</w:t>
            </w:r>
          </w:p>
        </w:tc>
      </w:tr>
      <w:tr>
        <w:tc>
          <w:tcPr>
            <w:tcW w:type="dxa" w:w="62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center"/>
            </w:pPr>
            <w:r>
              <w:rPr>
                <w:b/>
                <w:bCs/>
                <w:sz w:val="18"/>
                <w:szCs w:val="18"/>
              </w:rPr>
              <w:t xml:space="preserve">S-M3</w:t>
            </w:r>
          </w:p>
        </w:tc>
        <w:tc>
          <w:tcPr>
            <w:tcW w:type="dxa" w:w="15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b/>
                <w:bCs/>
                <w:color w:val="B5780B"/>
                <w:sz w:val="18"/>
                <w:szCs w:val="18"/>
              </w:rPr>
              <w:t xml:space="preserve">Medium</w:t>
            </w:r>
          </w:p>
        </w:tc>
        <w:tc>
          <w:tcPr>
            <w:tcW w:type="dxa" w:w="504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8"/>
                <w:szCs w:val="18"/>
              </w:rPr>
              <w:t xml:space="preserve">Non-atomic invoice void/cancel and credit-note flows: the reversing JE and the document status update are separate awaits, so a mid-sequence failure flips the GL without flipping the document.</w:t>
            </w:r>
          </w:p>
        </w:tc>
        <w:tc>
          <w:tcPr>
            <w:tcW w:type="dxa" w:w="22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color w:val="555555"/>
                <w:sz w:val="16"/>
                <w:szCs w:val="16"/>
              </w:rPr>
              <w:t xml:space="preserve">invoices.routes.ts:728-811</w:t>
            </w:r>
          </w:p>
        </w:tc>
      </w:tr>
      <w:tr>
        <w:tc>
          <w:tcPr>
            <w:tcW w:type="dxa" w:w="62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center"/>
            </w:pPr>
            <w:r>
              <w:rPr>
                <w:b/>
                <w:bCs/>
                <w:sz w:val="18"/>
                <w:szCs w:val="18"/>
              </w:rPr>
              <w:t xml:space="preserve">S-M4</w:t>
            </w:r>
          </w:p>
        </w:tc>
        <w:tc>
          <w:tcPr>
            <w:tcW w:type="dxa" w:w="15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b/>
                <w:bCs/>
                <w:color w:val="B5780B"/>
                <w:sz w:val="18"/>
                <w:szCs w:val="18"/>
              </w:rPr>
              <w:t xml:space="preserve">Medium</w:t>
            </w:r>
          </w:p>
        </w:tc>
        <w:tc>
          <w:tcPr>
            <w:tcW w:type="dxa" w:w="504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8"/>
                <w:szCs w:val="18"/>
              </w:rPr>
              <w:t xml:space="preserve">Dependency advisories are dev/build-only: npm audit --omit=dev = 0 vulns. Two transitive tooling advisories (js-yaml moderate, @babel/core low). Runtime deps current.</w:t>
            </w:r>
          </w:p>
        </w:tc>
        <w:tc>
          <w:tcPr>
            <w:tcW w:type="dxa" w:w="22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color w:val="555555"/>
                <w:sz w:val="16"/>
                <w:szCs w:val="16"/>
              </w:rPr>
              <w:t xml:space="preserve">package-lock — upgrade tooling deps</w:t>
            </w:r>
          </w:p>
        </w:tc>
      </w:tr>
      <w:tr>
        <w:tc>
          <w:tcPr>
            <w:tcW w:type="dxa" w:w="62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center"/>
            </w:pPr>
            <w:r>
              <w:rPr>
                <w:b/>
                <w:bCs/>
                <w:sz w:val="18"/>
                <w:szCs w:val="18"/>
              </w:rPr>
              <w:t xml:space="preserve">S-L1</w:t>
            </w:r>
          </w:p>
        </w:tc>
        <w:tc>
          <w:tcPr>
            <w:tcW w:type="dxa" w:w="15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b/>
                <w:bCs/>
                <w:color w:val="555555"/>
                <w:sz w:val="18"/>
                <w:szCs w:val="18"/>
              </w:rPr>
              <w:t xml:space="preserve">Low</w:t>
            </w:r>
          </w:p>
        </w:tc>
        <w:tc>
          <w:tcPr>
            <w:tcW w:type="dxa" w:w="504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8"/>
                <w:szCs w:val="18"/>
              </w:rPr>
              <w:t xml:space="preserve">Served receipt image uses sendFile with sniffed content-type and no nosniff / attachment disposition (mitigated by write-time MIME allowlist).</w:t>
            </w:r>
          </w:p>
        </w:tc>
        <w:tc>
          <w:tcPr>
            <w:tcW w:type="dxa" w:w="22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color w:val="555555"/>
                <w:sz w:val="16"/>
                <w:szCs w:val="16"/>
              </w:rPr>
              <w:t xml:space="preserve">receipts.routes.ts:916</w:t>
            </w:r>
          </w:p>
        </w:tc>
      </w:tr>
      <w:tr>
        <w:tc>
          <w:tcPr>
            <w:tcW w:type="dxa" w:w="62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center"/>
            </w:pPr>
            <w:r>
              <w:rPr>
                <w:b/>
                <w:bCs/>
                <w:sz w:val="18"/>
                <w:szCs w:val="18"/>
              </w:rPr>
              <w:t xml:space="preserve">S-L2</w:t>
            </w:r>
          </w:p>
        </w:tc>
        <w:tc>
          <w:tcPr>
            <w:tcW w:type="dxa" w:w="15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b/>
                <w:bCs/>
                <w:color w:val="555555"/>
                <w:sz w:val="18"/>
                <w:szCs w:val="18"/>
              </w:rPr>
              <w:t xml:space="preserve">Low</w:t>
            </w:r>
          </w:p>
        </w:tc>
        <w:tc>
          <w:tcPr>
            <w:tcW w:type="dxa" w:w="504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8"/>
                <w:szCs w:val="18"/>
              </w:rPr>
              <w:t xml:space="preserve">Bank-token encryption key derives from SESSION_SECRET when TOKEN_ENCRYPTION_KEY is unset; rotating the session secret invalidates stored bank tokens.</w:t>
            </w:r>
          </w:p>
        </w:tc>
        <w:tc>
          <w:tcPr>
            <w:tcW w:type="dxa" w:w="22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color w:val="555555"/>
                <w:sz w:val="16"/>
                <w:szCs w:val="16"/>
              </w:rPr>
              <w:t xml:space="preserve">secret-vault.service.ts:23 — set dedicated key</w:t>
            </w:r>
          </w:p>
        </w:tc>
      </w:tr>
      <w:tr>
        <w:tc>
          <w:tcPr>
            <w:tcW w:type="dxa" w:w="62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center"/>
            </w:pPr>
            <w:r>
              <w:rPr>
                <w:b/>
                <w:bCs/>
                <w:sz w:val="18"/>
                <w:szCs w:val="18"/>
              </w:rPr>
              <w:t xml:space="preserve">S-L3</w:t>
            </w:r>
          </w:p>
        </w:tc>
        <w:tc>
          <w:tcPr>
            <w:tcW w:type="dxa" w:w="15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b/>
                <w:bCs/>
                <w:color w:val="555555"/>
                <w:sz w:val="18"/>
                <w:szCs w:val="18"/>
              </w:rPr>
              <w:t xml:space="preserve">Low</w:t>
            </w:r>
          </w:p>
        </w:tc>
        <w:tc>
          <w:tcPr>
            <w:tcW w:type="dxa" w:w="504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8"/>
                <w:szCs w:val="18"/>
              </w:rPr>
              <w:t xml:space="preserve">Unscoped storage mutators rely entirely on route-level pre-checks; a future caller forgetting the check = instant cross-tenant write.</w:t>
            </w:r>
          </w:p>
        </w:tc>
        <w:tc>
          <w:tcPr>
            <w:tcW w:type="dxa" w:w="22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color w:val="555555"/>
                <w:sz w:val="16"/>
                <w:szCs w:val="16"/>
              </w:rPr>
              <w:t xml:space="preserve">updateCustomerContact, expense/fixed-asset raw SQL</w:t>
            </w:r>
          </w:p>
        </w:tc>
      </w:tr>
      <w:tr>
        <w:tc>
          <w:tcPr>
            <w:tcW w:type="dxa" w:w="62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center"/>
            </w:pPr>
            <w:r>
              <w:rPr>
                <w:b/>
                <w:bCs/>
                <w:sz w:val="18"/>
                <w:szCs w:val="18"/>
              </w:rPr>
              <w:t xml:space="preserve">S-L4</w:t>
            </w:r>
          </w:p>
        </w:tc>
        <w:tc>
          <w:tcPr>
            <w:tcW w:type="dxa" w:w="15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b/>
                <w:bCs/>
                <w:color w:val="555555"/>
                <w:sz w:val="18"/>
                <w:szCs w:val="18"/>
              </w:rPr>
              <w:t xml:space="preserve">Low</w:t>
            </w:r>
          </w:p>
        </w:tc>
        <w:tc>
          <w:tcPr>
            <w:tcW w:type="dxa" w:w="504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8"/>
                <w:szCs w:val="18"/>
              </w:rPr>
              <w:t xml:space="preserve">Portal matches invoices by case-insensitive customer name; two same-named customers in one tenant could see each other's invoices.</w:t>
            </w:r>
          </w:p>
        </w:tc>
        <w:tc>
          <w:tcPr>
            <w:tcW w:type="dxa" w:w="22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color w:val="555555"/>
                <w:sz w:val="16"/>
                <w:szCs w:val="16"/>
              </w:rPr>
              <w:t xml:space="preserve">portal.public.routes.ts:99-101</w:t>
            </w:r>
          </w:p>
        </w:tc>
      </w:tr>
    </w:tbl>
    <w:p>
      <w:pPr>
        <w:spacing w:after="130"/>
      </w:pPr>
      <w:r>
        <w:t xml:space="preserve"/>
      </w:r>
    </w:p>
    <w:p>
      <w:pPr>
        <w:pStyle w:val="Heading2"/>
      </w:pPr>
      <w:r>
        <w:t xml:space="preserve">2.1  What is already done well (security)</w:t>
      </w:r>
    </w:p>
    <w:p>
      <w:pPr>
        <w:pStyle w:val="ListParagraph"/>
        <w:numPr>
          <w:ilvl w:val="0"/>
          <w:numId w:val="2"/>
        </w:numPr>
        <w:spacing w:after="70"/>
      </w:pPr>
      <w:r>
        <w:rPr>
          <w:b/>
          <w:bCs/>
        </w:rPr>
        <w:t xml:space="preserve">Identity: </w:t>
      </w:r>
      <w:r>
        <w:t xml:space="preserve">JWT is verified then the user is always re-fetched from the DB (claims are never trusted); jti denylist with refresh-token rotation; constant-time login to prevent email enumeration; SHA-256 single-use 1-hour reset tokens; bcrypt; httpOnly + Secure + __Host- cookies in production.</w:t>
      </w:r>
    </w:p>
    <w:p>
      <w:pPr>
        <w:pStyle w:val="ListParagraph"/>
        <w:numPr>
          <w:ilvl w:val="0"/>
          <w:numId w:val="2"/>
        </w:numPr>
        <w:spacing w:after="70"/>
      </w:pPr>
      <w:r>
        <w:rPr>
          <w:b/>
          <w:bCs/>
        </w:rPr>
        <w:t xml:space="preserve">Secrets: </w:t>
      </w:r>
      <w:r>
        <w:t xml:space="preserve">SESSION_SECRET / JWT_SECRET enforced at 32+ chars with a hard exit on failure and no default fallbacks; .env gitignored; no secrets in the client bundle.</w:t>
      </w:r>
    </w:p>
    <w:p>
      <w:pPr>
        <w:pStyle w:val="ListParagraph"/>
        <w:numPr>
          <w:ilvl w:val="0"/>
          <w:numId w:val="2"/>
        </w:numPr>
        <w:spacing w:after="70"/>
      </w:pPr>
      <w:r>
        <w:rPr>
          <w:b/>
          <w:bCs/>
        </w:rPr>
        <w:t xml:space="preserve">Isolation core: </w:t>
      </w:r>
      <w:r>
        <w:t xml:space="preserve">the dominant pattern resolves a resource then authorises against its own companyId, defeating the spoofed-body-companyId attack; hasCompanyAccess is correctly implemented and firm-admins are restricted to assigned clients.</w:t>
      </w:r>
    </w:p>
    <w:p>
      <w:pPr>
        <w:pStyle w:val="ListParagraph"/>
        <w:numPr>
          <w:ilvl w:val="0"/>
          <w:numId w:val="2"/>
        </w:numPr>
        <w:spacing w:after="70"/>
      </w:pPr>
      <w:r>
        <w:rPr>
          <w:b/>
          <w:bCs/>
        </w:rPr>
        <w:t xml:space="preserve">Injection: </w:t>
      </w:r>
      <w:r>
        <w:t xml:space="preserve">all Drizzle / SQL queries are parameterised; uploads are base64-in-JSON with path-traversal guards and are not statically served; strict production CSP with nonce.</w:t>
      </w:r>
    </w:p>
    <w:p>
      <w:r>
        <w:br w:type="page"/>
      </w:r>
    </w:p>
    <w:p>
      <w:pPr>
        <w:pStyle w:val="Heading1"/>
      </w:pPr>
      <w:r>
        <w:t xml:space="preserve">3.  Accounting-correctness findings</w:t>
      </w:r>
    </w:p>
    <w:p>
      <w:pPr>
        <w:pStyle w:val="Heading2"/>
      </w:pPr>
      <w:r>
        <w:t xml:space="preserve">3.1  The four issues from the first review — confirmed 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500"/>
        <w:gridCol w:w="5040"/>
        <w:gridCol w:w="2200"/>
      </w:tblGrid>
      <w:tr>
        <w:trPr>
          <w:tblHeader/>
        </w:trPr>
        <w:tc>
          <w:tcPr>
            <w:tcW w:type="dxa" w:w="62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8"/>
                <w:szCs w:val="18"/>
              </w:rPr>
              <w:t xml:space="preserve">ID</w:t>
            </w:r>
          </w:p>
        </w:tc>
        <w:tc>
          <w:tcPr>
            <w:tcW w:type="dxa" w:w="150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8"/>
                <w:szCs w:val="18"/>
              </w:rPr>
              <w:t xml:space="preserve">Severity</w:t>
            </w:r>
          </w:p>
        </w:tc>
        <w:tc>
          <w:tcPr>
            <w:tcW w:type="dxa" w:w="504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8"/>
                <w:szCs w:val="18"/>
              </w:rPr>
              <w:t xml:space="preserve">Finding &amp; risk</w:t>
            </w:r>
          </w:p>
        </w:tc>
        <w:tc>
          <w:tcPr>
            <w:tcW w:type="dxa" w:w="220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8"/>
                <w:szCs w:val="18"/>
              </w:rPr>
              <w:t xml:space="preserve">Location / fix</w:t>
            </w:r>
          </w:p>
        </w:tc>
      </w:tr>
      <w:tr>
        <w:tc>
          <w:tcPr>
            <w:tcW w:type="dxa" w:w="62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center"/>
            </w:pPr>
            <w:r>
              <w:rPr>
                <w:b/>
                <w:bCs/>
                <w:sz w:val="18"/>
                <w:szCs w:val="18"/>
              </w:rPr>
              <w:t xml:space="preserve">A-1</w:t>
            </w:r>
          </w:p>
        </w:tc>
        <w:tc>
          <w:tcPr>
            <w:tcW w:type="dxa" w:w="15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b/>
                <w:bCs/>
                <w:color w:val="555555"/>
                <w:sz w:val="18"/>
                <w:szCs w:val="18"/>
              </w:rPr>
              <w:t xml:space="preserve">Confirmed</w:t>
            </w:r>
          </w:p>
        </w:tc>
        <w:tc>
          <w:tcPr>
            <w:tcW w:type="dxa" w:w="504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8"/>
                <w:szCs w:val="18"/>
              </w:rPr>
              <w:t xml:space="preserve">Voiding a PAID invoice reverses revenue/VAT from header amounts but never reverses the cash-receipt JE — AR ends at minus the total, bank is overstated. The state machine explicitly allows paid -&gt; void with no guard.</w:t>
            </w:r>
          </w:p>
        </w:tc>
        <w:tc>
          <w:tcPr>
            <w:tcW w:type="dxa" w:w="22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color w:val="555555"/>
                <w:sz w:val="16"/>
                <w:szCs w:val="16"/>
              </w:rPr>
              <w:t xml:space="preserve">invoices.routes.ts:728-809; invoice-state-machine.ts:30</w:t>
            </w:r>
          </w:p>
        </w:tc>
      </w:tr>
      <w:tr>
        <w:tc>
          <w:tcPr>
            <w:tcW w:type="dxa" w:w="62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center"/>
            </w:pPr>
            <w:r>
              <w:rPr>
                <w:b/>
                <w:bCs/>
                <w:sz w:val="18"/>
                <w:szCs w:val="18"/>
              </w:rPr>
              <w:t xml:space="preserve">A-2</w:t>
            </w:r>
          </w:p>
        </w:tc>
        <w:tc>
          <w:tcPr>
            <w:tcW w:type="dxa" w:w="15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b/>
                <w:bCs/>
                <w:color w:val="555555"/>
                <w:sz w:val="18"/>
                <w:szCs w:val="18"/>
              </w:rPr>
              <w:t xml:space="preserve">Confirmed</w:t>
            </w:r>
          </w:p>
        </w:tc>
        <w:tc>
          <w:tcPr>
            <w:tcW w:type="dxa" w:w="504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8"/>
                <w:szCs w:val="18"/>
              </w:rPr>
              <w:t xml:space="preserve">Balance sheet buckets accounts purely by static account.type; an asset that nets to a credit is shown as a negative asset rather than reclassified to a liability.</w:t>
            </w:r>
          </w:p>
        </w:tc>
        <w:tc>
          <w:tcPr>
            <w:tcW w:type="dxa" w:w="22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color w:val="555555"/>
                <w:sz w:val="16"/>
                <w:szCs w:val="16"/>
              </w:rPr>
              <w:t xml:space="preserve">financial-statements.routes.ts:214-223</w:t>
            </w:r>
          </w:p>
        </w:tc>
      </w:tr>
      <w:tr>
        <w:tc>
          <w:tcPr>
            <w:tcW w:type="dxa" w:w="62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center"/>
            </w:pPr>
            <w:r>
              <w:rPr>
                <w:b/>
                <w:bCs/>
                <w:sz w:val="18"/>
                <w:szCs w:val="18"/>
              </w:rPr>
              <w:t xml:space="preserve">A-3</w:t>
            </w:r>
          </w:p>
        </w:tc>
        <w:tc>
          <w:tcPr>
            <w:tcW w:type="dxa" w:w="15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b/>
                <w:bCs/>
                <w:color w:val="555555"/>
                <w:sz w:val="18"/>
                <w:szCs w:val="18"/>
              </w:rPr>
              <w:t xml:space="preserve">Confirmed</w:t>
            </w:r>
          </w:p>
        </w:tc>
        <w:tc>
          <w:tcPr>
            <w:tcW w:type="dxa" w:w="504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8"/>
                <w:szCs w:val="18"/>
              </w:rPr>
              <w:t xml:space="preserve">Cash flow sums signed deltas of every account by type with no cash predicate; cash/bank (subType current_asset) falls into operating, so Net Cash Change does not tie to the bank movement. A correct implementation already exists elsewhere.</w:t>
            </w:r>
          </w:p>
        </w:tc>
        <w:tc>
          <w:tcPr>
            <w:tcW w:type="dxa" w:w="22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color w:val="555555"/>
                <w:sz w:val="16"/>
                <w:szCs w:val="16"/>
              </w:rPr>
              <w:t xml:space="preserve">financial-statements.routes.ts:352-420 (correct: reports.routes.ts:96-252)</w:t>
            </w:r>
          </w:p>
        </w:tc>
      </w:tr>
      <w:tr>
        <w:tc>
          <w:tcPr>
            <w:tcW w:type="dxa" w:w="62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center"/>
            </w:pPr>
            <w:r>
              <w:rPr>
                <w:b/>
                <w:bCs/>
                <w:sz w:val="18"/>
                <w:szCs w:val="18"/>
              </w:rPr>
              <w:t xml:space="preserve">A-4</w:t>
            </w:r>
          </w:p>
        </w:tc>
        <w:tc>
          <w:tcPr>
            <w:tcW w:type="dxa" w:w="15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b/>
                <w:bCs/>
                <w:color w:val="555555"/>
                <w:sz w:val="18"/>
                <w:szCs w:val="18"/>
              </w:rPr>
              <w:t xml:space="preserve">Confirmed</w:t>
            </w:r>
          </w:p>
        </w:tc>
        <w:tc>
          <w:tcPr>
            <w:tcW w:type="dxa" w:w="504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8"/>
                <w:szCs w:val="18"/>
              </w:rPr>
              <w:t xml:space="preserve">No future-date check anywhere — a JE dated 2030 posts fine. (The period-lock mechanism itself IS enforced across posting paths; the future-date ceiling is the gap.)</w:t>
            </w:r>
          </w:p>
        </w:tc>
        <w:tc>
          <w:tcPr>
            <w:tcW w:type="dxa" w:w="22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color w:val="555555"/>
                <w:sz w:val="16"/>
                <w:szCs w:val="16"/>
              </w:rPr>
              <w:t xml:space="preserve">journal.routes.ts:78-206</w:t>
            </w:r>
          </w:p>
        </w:tc>
      </w:tr>
    </w:tbl>
    <w:p>
      <w:pPr>
        <w:spacing w:after="130"/>
      </w:pPr>
      <w:r>
        <w:t xml:space="preserve"/>
      </w:r>
    </w:p>
    <w:p>
      <w:pPr>
        <w:pStyle w:val="Heading2"/>
      </w:pPr>
      <w:r>
        <w:t xml:space="preserve">3.2  Additional accounting defects found in code</w:t>
      </w:r>
    </w:p>
    <w:p>
      <w:pPr>
        <w:spacing w:after="130"/>
      </w:pPr>
      <w:r>
        <w:t xml:space="preserve">Five further </w:t>
      </w:r>
      <w:r>
        <w:rPr>
          <w:b/>
          <w:bCs/>
        </w:rPr>
        <w:t xml:space="preserve">critical</w:t>
      </w:r>
      <w:r>
        <w:t xml:space="preserve"> issues and a series of high/medium ones were found. The FX and corporate-tax issues are the most financially material after the void/credit-note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500"/>
        <w:gridCol w:w="5040"/>
        <w:gridCol w:w="2200"/>
      </w:tblGrid>
      <w:tr>
        <w:trPr>
          <w:tblHeader/>
        </w:trPr>
        <w:tc>
          <w:tcPr>
            <w:tcW w:type="dxa" w:w="62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8"/>
                <w:szCs w:val="18"/>
              </w:rPr>
              <w:t xml:space="preserve">ID</w:t>
            </w:r>
          </w:p>
        </w:tc>
        <w:tc>
          <w:tcPr>
            <w:tcW w:type="dxa" w:w="150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8"/>
                <w:szCs w:val="18"/>
              </w:rPr>
              <w:t xml:space="preserve">Severity</w:t>
            </w:r>
          </w:p>
        </w:tc>
        <w:tc>
          <w:tcPr>
            <w:tcW w:type="dxa" w:w="504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8"/>
                <w:szCs w:val="18"/>
              </w:rPr>
              <w:t xml:space="preserve">Finding &amp; risk</w:t>
            </w:r>
          </w:p>
        </w:tc>
        <w:tc>
          <w:tcPr>
            <w:tcW w:type="dxa" w:w="220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8"/>
                <w:szCs w:val="18"/>
              </w:rPr>
              <w:t xml:space="preserve">Location / fix</w:t>
            </w:r>
          </w:p>
        </w:tc>
      </w:tr>
      <w:tr>
        <w:tc>
          <w:tcPr>
            <w:tcW w:type="dxa" w:w="62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center"/>
            </w:pPr>
            <w:r>
              <w:rPr>
                <w:b/>
                <w:bCs/>
                <w:sz w:val="18"/>
                <w:szCs w:val="18"/>
              </w:rPr>
              <w:t xml:space="preserve">A-B1</w:t>
            </w:r>
          </w:p>
        </w:tc>
        <w:tc>
          <w:tcPr>
            <w:tcW w:type="dxa" w:w="15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b/>
                <w:bCs/>
                <w:color w:val="B3261E"/>
                <w:sz w:val="18"/>
                <w:szCs w:val="18"/>
              </w:rPr>
              <w:t xml:space="preserve">Critical</w:t>
            </w:r>
          </w:p>
        </w:tc>
        <w:tc>
          <w:tcPr>
            <w:tcW w:type="dxa" w:w="504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8"/>
                <w:szCs w:val="18"/>
              </w:rPr>
              <w:t xml:space="preserve">Stripe invoice-payment path marks status=paid with a plain column write and NO journal entry (no Dr Bank / Cr AR, no payment row). It is also dead, unwired code — there is currently no working online invoice-payment path.</w:t>
            </w:r>
          </w:p>
        </w:tc>
        <w:tc>
          <w:tcPr>
            <w:tcW w:type="dxa" w:w="22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color w:val="555555"/>
                <w:sz w:val="16"/>
                <w:szCs w:val="16"/>
              </w:rPr>
              <w:t xml:space="preserve">invoice-payment.service.ts:90-95</w:t>
            </w:r>
          </w:p>
        </w:tc>
      </w:tr>
      <w:tr>
        <w:tc>
          <w:tcPr>
            <w:tcW w:type="dxa" w:w="62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center"/>
            </w:pPr>
            <w:r>
              <w:rPr>
                <w:b/>
                <w:bCs/>
                <w:sz w:val="18"/>
                <w:szCs w:val="18"/>
              </w:rPr>
              <w:t xml:space="preserve">A-B2</w:t>
            </w:r>
          </w:p>
        </w:tc>
        <w:tc>
          <w:tcPr>
            <w:tcW w:type="dxa" w:w="15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b/>
                <w:bCs/>
                <w:color w:val="B3261E"/>
                <w:sz w:val="18"/>
                <w:szCs w:val="18"/>
              </w:rPr>
              <w:t xml:space="preserve">Critical</w:t>
            </w:r>
          </w:p>
        </w:tc>
        <w:tc>
          <w:tcPr>
            <w:tcW w:type="dxa" w:w="504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8"/>
                <w:szCs w:val="18"/>
              </w:rPr>
              <w:t xml:space="preserve">Unbalanced JE when a VAT-output account is missing on a standard-rated doc: void and credit-note add the VAT leg only if the account exists, otherwise posting is out of balance and 500s instead of failing cleanly.</w:t>
            </w:r>
          </w:p>
        </w:tc>
        <w:tc>
          <w:tcPr>
            <w:tcW w:type="dxa" w:w="22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color w:val="555555"/>
                <w:sz w:val="16"/>
                <w:szCs w:val="16"/>
              </w:rPr>
              <w:t xml:space="preserve">invoices.routes.ts:771,1344</w:t>
            </w:r>
          </w:p>
        </w:tc>
      </w:tr>
      <w:tr>
        <w:tc>
          <w:tcPr>
            <w:tcW w:type="dxa" w:w="62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center"/>
            </w:pPr>
            <w:r>
              <w:rPr>
                <w:b/>
                <w:bCs/>
                <w:sz w:val="18"/>
                <w:szCs w:val="18"/>
              </w:rPr>
              <w:t xml:space="preserve">A-B3</w:t>
            </w:r>
          </w:p>
        </w:tc>
        <w:tc>
          <w:tcPr>
            <w:tcW w:type="dxa" w:w="15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b/>
                <w:bCs/>
                <w:color w:val="B3261E"/>
                <w:sz w:val="18"/>
                <w:szCs w:val="18"/>
              </w:rPr>
              <w:t xml:space="preserve">Critical</w:t>
            </w:r>
          </w:p>
        </w:tc>
        <w:tc>
          <w:tcPr>
            <w:tcW w:type="dxa" w:w="504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8"/>
                <w:szCs w:val="18"/>
              </w:rPr>
              <w:t xml:space="preserve">Credit notes have no dedup, no cap, and no paid-cash handling: issue twice and AR is double-reversed (goes negative); issue against a paid invoice and cash is orphaned; no partial credits.</w:t>
            </w:r>
          </w:p>
        </w:tc>
        <w:tc>
          <w:tcPr>
            <w:tcW w:type="dxa" w:w="22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color w:val="555555"/>
                <w:sz w:val="16"/>
                <w:szCs w:val="16"/>
              </w:rPr>
              <w:t xml:space="preserve">invoices.routes.ts:1242-1395</w:t>
            </w:r>
          </w:p>
        </w:tc>
      </w:tr>
      <w:tr>
        <w:tc>
          <w:tcPr>
            <w:tcW w:type="dxa" w:w="62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center"/>
            </w:pPr>
            <w:r>
              <w:rPr>
                <w:b/>
                <w:bCs/>
                <w:sz w:val="18"/>
                <w:szCs w:val="18"/>
              </w:rPr>
              <w:t xml:space="preserve">A-B4</w:t>
            </w:r>
          </w:p>
        </w:tc>
        <w:tc>
          <w:tcPr>
            <w:tcW w:type="dxa" w:w="15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b/>
                <w:bCs/>
                <w:color w:val="B3261E"/>
                <w:sz w:val="18"/>
                <w:szCs w:val="18"/>
              </w:rPr>
              <w:t xml:space="preserve">Critical</w:t>
            </w:r>
          </w:p>
        </w:tc>
        <w:tc>
          <w:tcPr>
            <w:tcW w:type="dxa" w:w="504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8"/>
                <w:szCs w:val="18"/>
              </w:rPr>
              <w:t xml:space="preserve">FX rate convention is self-contradictory: invoicing and VAT autopilot MULTIPLY by exchangeRate (AED-per-foreign) while the FX report DIVIDES (foreign-per-AED). One column, two meanings — reported book values/gains are wrong for the mismatched module.</w:t>
            </w:r>
          </w:p>
        </w:tc>
        <w:tc>
          <w:tcPr>
            <w:tcW w:type="dxa" w:w="22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color w:val="555555"/>
                <w:sz w:val="16"/>
                <w:szCs w:val="16"/>
              </w:rPr>
              <w:t xml:space="preserve">invoices.routes.ts:283-294 vs exchange-rates.routes.ts:457-499</w:t>
            </w:r>
          </w:p>
        </w:tc>
      </w:tr>
      <w:tr>
        <w:tc>
          <w:tcPr>
            <w:tcW w:type="dxa" w:w="62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center"/>
            </w:pPr>
            <w:r>
              <w:rPr>
                <w:b/>
                <w:bCs/>
                <w:sz w:val="18"/>
                <w:szCs w:val="18"/>
              </w:rPr>
              <w:t xml:space="preserve">A-B5</w:t>
            </w:r>
          </w:p>
        </w:tc>
        <w:tc>
          <w:tcPr>
            <w:tcW w:type="dxa" w:w="15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b/>
                <w:bCs/>
                <w:color w:val="B3261E"/>
                <w:sz w:val="18"/>
                <w:szCs w:val="18"/>
              </w:rPr>
              <w:t xml:space="preserve">Critical</w:t>
            </w:r>
          </w:p>
        </w:tc>
        <w:tc>
          <w:tcPr>
            <w:tcW w:type="dxa" w:w="504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8"/>
                <w:szCs w:val="18"/>
              </w:rPr>
              <w:t xml:space="preserve">No realised FX gain/loss on settlement: AR is cleared at the invoice rate, not the payment-date rate, so realised FX is never recognised; and a guard actually blocks settling a foreign invoice into an AED bank.</w:t>
            </w:r>
          </w:p>
        </w:tc>
        <w:tc>
          <w:tcPr>
            <w:tcW w:type="dxa" w:w="22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color w:val="555555"/>
                <w:sz w:val="16"/>
                <w:szCs w:val="16"/>
              </w:rPr>
              <w:t xml:space="preserve">storage.ts:4700,4767-4789</w:t>
            </w:r>
          </w:p>
        </w:tc>
      </w:tr>
      <w:tr>
        <w:tc>
          <w:tcPr>
            <w:tcW w:type="dxa" w:w="62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center"/>
            </w:pPr>
            <w:r>
              <w:rPr>
                <w:b/>
                <w:bCs/>
                <w:sz w:val="18"/>
                <w:szCs w:val="18"/>
              </w:rPr>
              <w:t xml:space="preserve">A-B6</w:t>
            </w:r>
          </w:p>
        </w:tc>
        <w:tc>
          <w:tcPr>
            <w:tcW w:type="dxa" w:w="15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b/>
                <w:bCs/>
                <w:color w:val="C0531B"/>
                <w:sz w:val="18"/>
                <w:szCs w:val="18"/>
              </w:rPr>
              <w:t xml:space="preserve">High</w:t>
            </w:r>
          </w:p>
        </w:tc>
        <w:tc>
          <w:tcPr>
            <w:tcW w:type="dxa" w:w="504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8"/>
                <w:szCs w:val="18"/>
              </w:rPr>
              <w:t xml:space="preserve">Import VAT (Box 6) is taxed as output but never recovered as input in the firm workpaper, overstating net VAT payable by the full import VAT for importers. (The autopilot handles RCM/imports correctly.)</w:t>
            </w:r>
          </w:p>
        </w:tc>
        <w:tc>
          <w:tcPr>
            <w:tcW w:type="dxa" w:w="22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color w:val="555555"/>
                <w:sz w:val="16"/>
                <w:szCs w:val="16"/>
              </w:rPr>
              <w:t xml:space="preserve">firm-vat-workspace.service.ts</w:t>
            </w:r>
          </w:p>
        </w:tc>
      </w:tr>
      <w:tr>
        <w:tc>
          <w:tcPr>
            <w:tcW w:type="dxa" w:w="62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center"/>
            </w:pPr>
            <w:r>
              <w:rPr>
                <w:b/>
                <w:bCs/>
                <w:sz w:val="18"/>
                <w:szCs w:val="18"/>
              </w:rPr>
              <w:t xml:space="preserve">A-B7</w:t>
            </w:r>
          </w:p>
        </w:tc>
        <w:tc>
          <w:tcPr>
            <w:tcW w:type="dxa" w:w="15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b/>
                <w:bCs/>
                <w:color w:val="C0531B"/>
                <w:sz w:val="18"/>
                <w:szCs w:val="18"/>
              </w:rPr>
              <w:t xml:space="preserve">High</w:t>
            </w:r>
          </w:p>
        </w:tc>
        <w:tc>
          <w:tcPr>
            <w:tcW w:type="dxa" w:w="504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8"/>
                <w:szCs w:val="18"/>
              </w:rPr>
              <w:t xml:space="preserve">Three different Corporate Tax calculators give different answers: the full computation (add-backs, SBR, loss cap, bands) runs only on one route; xlsx-import and live-preview use simpler calcs and can file a wrong return.</w:t>
            </w:r>
          </w:p>
        </w:tc>
        <w:tc>
          <w:tcPr>
            <w:tcW w:type="dxa" w:w="22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color w:val="555555"/>
                <w:sz w:val="16"/>
                <w:szCs w:val="16"/>
              </w:rPr>
              <w:t xml:space="preserve">corporate-tax.routes.ts:491-507 + ct-workpaper.ts</w:t>
            </w:r>
          </w:p>
        </w:tc>
      </w:tr>
      <w:tr>
        <w:tc>
          <w:tcPr>
            <w:tcW w:type="dxa" w:w="62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center"/>
            </w:pPr>
            <w:r>
              <w:rPr>
                <w:b/>
                <w:bCs/>
                <w:sz w:val="18"/>
                <w:szCs w:val="18"/>
              </w:rPr>
              <w:t xml:space="preserve">A-B8</w:t>
            </w:r>
          </w:p>
        </w:tc>
        <w:tc>
          <w:tcPr>
            <w:tcW w:type="dxa" w:w="15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b/>
                <w:bCs/>
                <w:color w:val="C0531B"/>
                <w:sz w:val="18"/>
                <w:szCs w:val="18"/>
              </w:rPr>
              <w:t xml:space="preserve">High</w:t>
            </w:r>
          </w:p>
        </w:tc>
        <w:tc>
          <w:tcPr>
            <w:tcW w:type="dxa" w:w="504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8"/>
                <w:szCs w:val="18"/>
              </w:rPr>
              <w:t xml:space="preserve">No unrealised FX revaluation is posted — open foreign AR/AP stay at historical rates on the balance sheet; only a read-only report exists.</w:t>
            </w:r>
          </w:p>
        </w:tc>
        <w:tc>
          <w:tcPr>
            <w:tcW w:type="dxa" w:w="22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color w:val="555555"/>
                <w:sz w:val="16"/>
                <w:szCs w:val="16"/>
              </w:rPr>
              <w:t xml:space="preserve">exchange-rates.routes.ts:428-538</w:t>
            </w:r>
          </w:p>
        </w:tc>
      </w:tr>
      <w:tr>
        <w:tc>
          <w:tcPr>
            <w:tcW w:type="dxa" w:w="62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center"/>
            </w:pPr>
            <w:r>
              <w:rPr>
                <w:b/>
                <w:bCs/>
                <w:sz w:val="18"/>
                <w:szCs w:val="18"/>
              </w:rPr>
              <w:t xml:space="preserve">A-B9</w:t>
            </w:r>
          </w:p>
        </w:tc>
        <w:tc>
          <w:tcPr>
            <w:tcW w:type="dxa" w:w="15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b/>
                <w:bCs/>
                <w:color w:val="C0531B"/>
                <w:sz w:val="18"/>
                <w:szCs w:val="18"/>
              </w:rPr>
              <w:t xml:space="preserve">High</w:t>
            </w:r>
          </w:p>
        </w:tc>
        <w:tc>
          <w:tcPr>
            <w:tcW w:type="dxa" w:w="504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8"/>
                <w:szCs w:val="18"/>
              </w:rPr>
              <w:t xml:space="preserve">Firm VAT workpaper does not auto-mirror reverse charge: the output and input legs are independent manual rows, so entering only one silently over/under-declares VAT.</w:t>
            </w:r>
          </w:p>
        </w:tc>
        <w:tc>
          <w:tcPr>
            <w:tcW w:type="dxa" w:w="22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color w:val="555555"/>
                <w:sz w:val="16"/>
                <w:szCs w:val="16"/>
              </w:rPr>
              <w:t xml:space="preserve">firm-vat-workspace.service.ts</w:t>
            </w:r>
          </w:p>
        </w:tc>
      </w:tr>
      <w:tr>
        <w:tc>
          <w:tcPr>
            <w:tcW w:type="dxa" w:w="62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center"/>
            </w:pPr>
            <w:r>
              <w:rPr>
                <w:b/>
                <w:bCs/>
                <w:sz w:val="18"/>
                <w:szCs w:val="18"/>
              </w:rPr>
              <w:t xml:space="preserve">A-B10</w:t>
            </w:r>
          </w:p>
        </w:tc>
        <w:tc>
          <w:tcPr>
            <w:tcW w:type="dxa" w:w="15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b/>
                <w:bCs/>
                <w:color w:val="C0531B"/>
                <w:sz w:val="18"/>
                <w:szCs w:val="18"/>
              </w:rPr>
              <w:t xml:space="preserve">High</w:t>
            </w:r>
          </w:p>
        </w:tc>
        <w:tc>
          <w:tcPr>
            <w:tcW w:type="dxa" w:w="504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8"/>
                <w:szCs w:val="18"/>
              </w:rPr>
              <w:t xml:space="preserve">Retained earnings is lifetime accumulated earnings but labelled 'current period', and there is no closing entry rolling P&amp;L into an equity account; a manual close would then double-count.</w:t>
            </w:r>
          </w:p>
        </w:tc>
        <w:tc>
          <w:tcPr>
            <w:tcW w:type="dxa" w:w="22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color w:val="555555"/>
                <w:sz w:val="16"/>
                <w:szCs w:val="16"/>
              </w:rPr>
              <w:t xml:space="preserve">financial-statements.routes.ts:168-170,257</w:t>
            </w:r>
          </w:p>
        </w:tc>
      </w:tr>
      <w:tr>
        <w:tc>
          <w:tcPr>
            <w:tcW w:type="dxa" w:w="62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center"/>
            </w:pPr>
            <w:r>
              <w:rPr>
                <w:b/>
                <w:bCs/>
                <w:sz w:val="18"/>
                <w:szCs w:val="18"/>
              </w:rPr>
              <w:t xml:space="preserve">A-B11</w:t>
            </w:r>
          </w:p>
        </w:tc>
        <w:tc>
          <w:tcPr>
            <w:tcW w:type="dxa" w:w="15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b/>
                <w:bCs/>
                <w:color w:val="B5780B"/>
                <w:sz w:val="18"/>
                <w:szCs w:val="18"/>
              </w:rPr>
              <w:t xml:space="preserve">Medium</w:t>
            </w:r>
          </w:p>
        </w:tc>
        <w:tc>
          <w:tcPr>
            <w:tcW w:type="dxa" w:w="504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8"/>
                <w:szCs w:val="18"/>
              </w:rPr>
              <w:t xml:space="preserve">Two divergent credit-note systems (invoice-embedded vs standalone) with different lifecycles and account lookups; the standalone one isn't linked to any invoice.</w:t>
            </w:r>
          </w:p>
        </w:tc>
        <w:tc>
          <w:tcPr>
            <w:tcW w:type="dxa" w:w="22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color w:val="555555"/>
                <w:sz w:val="16"/>
                <w:szCs w:val="16"/>
              </w:rPr>
              <w:t xml:space="preserve">credit-notes.routes.ts</w:t>
            </w:r>
          </w:p>
        </w:tc>
      </w:tr>
      <w:tr>
        <w:tc>
          <w:tcPr>
            <w:tcW w:type="dxa" w:w="62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center"/>
            </w:pPr>
            <w:r>
              <w:rPr>
                <w:b/>
                <w:bCs/>
                <w:sz w:val="18"/>
                <w:szCs w:val="18"/>
              </w:rPr>
              <w:t xml:space="preserve">A-B12</w:t>
            </w:r>
          </w:p>
        </w:tc>
        <w:tc>
          <w:tcPr>
            <w:tcW w:type="dxa" w:w="15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b/>
                <w:bCs/>
                <w:color w:val="B5780B"/>
                <w:sz w:val="18"/>
                <w:szCs w:val="18"/>
              </w:rPr>
              <w:t xml:space="preserve">Medium</w:t>
            </w:r>
          </w:p>
        </w:tc>
        <w:tc>
          <w:tcPr>
            <w:tcW w:type="dxa" w:w="504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8"/>
                <w:szCs w:val="18"/>
              </w:rPr>
              <w:t xml:space="preserve">No overpayment / customer-credit handling — overpayments are simply rejected rather than parked as a liability.</w:t>
            </w:r>
          </w:p>
        </w:tc>
        <w:tc>
          <w:tcPr>
            <w:tcW w:type="dxa" w:w="22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color w:val="555555"/>
                <w:sz w:val="16"/>
                <w:szCs w:val="16"/>
              </w:rPr>
              <w:t xml:space="preserve">storage.ts:4721</w:t>
            </w:r>
          </w:p>
        </w:tc>
      </w:tr>
      <w:tr>
        <w:tc>
          <w:tcPr>
            <w:tcW w:type="dxa" w:w="62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center"/>
            </w:pPr>
            <w:r>
              <w:rPr>
                <w:b/>
                <w:bCs/>
                <w:sz w:val="18"/>
                <w:szCs w:val="18"/>
              </w:rPr>
              <w:t xml:space="preserve">A-B13</w:t>
            </w:r>
          </w:p>
        </w:tc>
        <w:tc>
          <w:tcPr>
            <w:tcW w:type="dxa" w:w="15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b/>
                <w:bCs/>
                <w:color w:val="B5780B"/>
                <w:sz w:val="18"/>
                <w:szCs w:val="18"/>
              </w:rPr>
              <w:t xml:space="preserve">Medium</w:t>
            </w:r>
          </w:p>
        </w:tc>
        <w:tc>
          <w:tcPr>
            <w:tcW w:type="dxa" w:w="504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8"/>
                <w:szCs w:val="18"/>
              </w:rPr>
              <w:t xml:space="preserve">VAT is rounded per-invoice only, never per-line; defensible but can trip the autopilot's 0.01 reconciliation on multi-line/foreign docs.</w:t>
            </w:r>
          </w:p>
        </w:tc>
        <w:tc>
          <w:tcPr>
            <w:tcW w:type="dxa" w:w="22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color w:val="555555"/>
                <w:sz w:val="16"/>
                <w:szCs w:val="16"/>
              </w:rPr>
              <w:t xml:space="preserve">document-totals.service.ts:32-42</w:t>
            </w:r>
          </w:p>
        </w:tc>
      </w:tr>
      <w:tr>
        <w:tc>
          <w:tcPr>
            <w:tcW w:type="dxa" w:w="62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center"/>
            </w:pPr>
            <w:r>
              <w:rPr>
                <w:b/>
                <w:bCs/>
                <w:sz w:val="18"/>
                <w:szCs w:val="18"/>
              </w:rPr>
              <w:t xml:space="preserve">A-B14</w:t>
            </w:r>
          </w:p>
        </w:tc>
        <w:tc>
          <w:tcPr>
            <w:tcW w:type="dxa" w:w="15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b/>
                <w:bCs/>
                <w:color w:val="B5780B"/>
                <w:sz w:val="18"/>
                <w:szCs w:val="18"/>
              </w:rPr>
              <w:t xml:space="preserve">Medium</w:t>
            </w:r>
          </w:p>
        </w:tc>
        <w:tc>
          <w:tcPr>
            <w:tcW w:type="dxa" w:w="504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8"/>
                <w:szCs w:val="18"/>
              </w:rPr>
              <w:t xml:space="preserve">A NULL line VAT rate defaults to 5% standard in the autopilot, so a zero-rated line missing its supply type is silently taxed.</w:t>
            </w:r>
          </w:p>
        </w:tc>
        <w:tc>
          <w:tcPr>
            <w:tcW w:type="dxa" w:w="22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color w:val="555555"/>
                <w:sz w:val="16"/>
                <w:szCs w:val="16"/>
              </w:rPr>
              <w:t xml:space="preserve">vat-autopilot.service.ts:305</w:t>
            </w:r>
          </w:p>
        </w:tc>
      </w:tr>
      <w:tr>
        <w:tc>
          <w:tcPr>
            <w:tcW w:type="dxa" w:w="62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center"/>
            </w:pPr>
            <w:r>
              <w:rPr>
                <w:b/>
                <w:bCs/>
                <w:sz w:val="18"/>
                <w:szCs w:val="18"/>
              </w:rPr>
              <w:t xml:space="preserve">A-B15</w:t>
            </w:r>
          </w:p>
        </w:tc>
        <w:tc>
          <w:tcPr>
            <w:tcW w:type="dxa" w:w="15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b/>
                <w:bCs/>
                <w:color w:val="B5780B"/>
                <w:sz w:val="18"/>
                <w:szCs w:val="18"/>
              </w:rPr>
              <w:t xml:space="preserve">Medium</w:t>
            </w:r>
          </w:p>
        </w:tc>
        <w:tc>
          <w:tcPr>
            <w:tcW w:type="dxa" w:w="504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8"/>
                <w:szCs w:val="18"/>
              </w:rPr>
              <w:t xml:space="preserve">Foreign-currency credit notes subtract raw unit price with no exchange-rate factor in the VAT return calc, while invoices apply it — foreign CNs reduce VAT boxes by the wrong amount.</w:t>
            </w:r>
          </w:p>
        </w:tc>
        <w:tc>
          <w:tcPr>
            <w:tcW w:type="dxa" w:w="22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color w:val="555555"/>
                <w:sz w:val="16"/>
                <w:szCs w:val="16"/>
              </w:rPr>
              <w:t xml:space="preserve">vat-autopilot.service.ts:680-699</w:t>
            </w:r>
          </w:p>
        </w:tc>
      </w:tr>
      <w:tr>
        <w:tc>
          <w:tcPr>
            <w:tcW w:type="dxa" w:w="62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center"/>
            </w:pPr>
            <w:r>
              <w:rPr>
                <w:b/>
                <w:bCs/>
                <w:sz w:val="18"/>
                <w:szCs w:val="18"/>
              </w:rPr>
              <w:t xml:space="preserve">A-B16</w:t>
            </w:r>
          </w:p>
        </w:tc>
        <w:tc>
          <w:tcPr>
            <w:tcW w:type="dxa" w:w="15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b/>
                <w:bCs/>
                <w:color w:val="B5780B"/>
                <w:sz w:val="18"/>
                <w:szCs w:val="18"/>
              </w:rPr>
              <w:t xml:space="preserve">Medium</w:t>
            </w:r>
          </w:p>
        </w:tc>
        <w:tc>
          <w:tcPr>
            <w:tcW w:type="dxa" w:w="504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8"/>
                <w:szCs w:val="18"/>
              </w:rPr>
              <w:t xml:space="preserve">Small Business Relief eligibility tests revenue against the AED 3M cap with no prior-period check.</w:t>
            </w:r>
          </w:p>
        </w:tc>
        <w:tc>
          <w:tcPr>
            <w:tcW w:type="dxa" w:w="22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color w:val="555555"/>
                <w:sz w:val="16"/>
                <w:szCs w:val="16"/>
              </w:rPr>
              <w:t xml:space="preserve">ct-workpaper.ts:318</w:t>
            </w:r>
          </w:p>
        </w:tc>
      </w:tr>
      <w:tr>
        <w:tc>
          <w:tcPr>
            <w:tcW w:type="dxa" w:w="62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center"/>
            </w:pPr>
            <w:r>
              <w:rPr>
                <w:b/>
                <w:bCs/>
                <w:sz w:val="18"/>
                <w:szCs w:val="18"/>
              </w:rPr>
              <w:t xml:space="preserve">A-B17</w:t>
            </w:r>
          </w:p>
        </w:tc>
        <w:tc>
          <w:tcPr>
            <w:tcW w:type="dxa" w:w="15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b/>
                <w:bCs/>
                <w:color w:val="B5780B"/>
                <w:sz w:val="18"/>
                <w:szCs w:val="18"/>
              </w:rPr>
              <w:t xml:space="preserve">Medium</w:t>
            </w:r>
          </w:p>
        </w:tc>
        <w:tc>
          <w:tcPr>
            <w:tcW w:type="dxa" w:w="504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8"/>
                <w:szCs w:val="18"/>
              </w:rPr>
              <w:t xml:space="preserve">Money is stored correctly as numeric(15,2) but the money type returns a JS float and reports/trial-balance accumulate with += then round once — sub-cent drift papered over by 0.01 tolerances. Write paths use decimal.js; read paths don't.</w:t>
            </w:r>
          </w:p>
        </w:tc>
        <w:tc>
          <w:tcPr>
            <w:tcW w:type="dxa" w:w="22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color w:val="555555"/>
                <w:sz w:val="16"/>
                <w:szCs w:val="16"/>
              </w:rPr>
              <w:t xml:space="preserve">schema.ts:22-32; financial-statements/month-end/cost-centers</w:t>
            </w:r>
          </w:p>
        </w:tc>
      </w:tr>
    </w:tbl>
    <w:p>
      <w:pPr>
        <w:spacing w:after="130"/>
      </w:pPr>
      <w:r>
        <w:t xml:space="preserve"/>
      </w:r>
    </w:p>
    <w:p>
      <w:pPr>
        <w:pStyle w:val="Heading2"/>
      </w:pPr>
      <w:r>
        <w:t xml:space="preserve">3.3  Verified as correct (not defects)</w:t>
      </w:r>
    </w:p>
    <w:p>
      <w:pPr>
        <w:spacing w:after="130"/>
      </w:pPr>
      <w:r>
        <w:t xml:space="preserve">For balance: partial payments reduce AR correctly; deleting a posted invoice is blocked; re-issuing an invoice is idempotent; zero-rated and exempt supplies are correctly separated in both VAT engines; the autopilot books both reverse-charge legs; the VAT due date (period-end + 28 days) is correct; and AR is derived from the credit legs so invoices always balance.</w:t>
      </w:r>
    </w:p>
    <w:p>
      <w:r>
        <w:br w:type="page"/>
      </w:r>
    </w:p>
    <w:p>
      <w:pPr>
        <w:pStyle w:val="Heading1"/>
      </w:pPr>
      <w:r>
        <w:t xml:space="preserve">4.  Code quality, architecture &amp; testing</w:t>
      </w:r>
    </w:p>
    <w:p>
      <w:pPr>
        <w:pStyle w:val="Heading2"/>
      </w:pPr>
      <w:r>
        <w:t xml:space="preserve">4.1  Strengths</w:t>
      </w:r>
    </w:p>
    <w:p>
      <w:pPr>
        <w:spacing w:after="130"/>
      </w:pPr>
      <w:r>
        <w:t xml:space="preserve">The journal engine (createJournalEntry) is the best-engineered part of the system: balanced-entry assertion, a single DB transaction for atomicity, and concurrency-safe gap-free numbering via advisory locks with retry. Posted entries are immutable (reversal-only), retention is enforced on deletes, there is a full audit trail on the core paths, decimal.js is used on document totals, and CI hygiene scripts (API-contract, route-registration, bundle-hygiene, no-secrets) plus 87 ordered migrations show real discipline.</w:t>
      </w:r>
    </w:p>
    <w:p>
      <w:pPr>
        <w:pStyle w:val="Heading2"/>
      </w:pPr>
      <w:r>
        <w:t xml:space="preserve">4.2  Weaknesses</w:t>
      </w:r>
    </w:p>
    <w:p>
      <w:pPr>
        <w:pStyle w:val="ListParagraph"/>
        <w:numPr>
          <w:ilvl w:val="0"/>
          <w:numId w:val="2"/>
        </w:numPr>
        <w:spacing w:after="70"/>
      </w:pPr>
      <w:r>
        <w:rPr>
          <w:b/>
          <w:bCs/>
        </w:rPr>
        <w:t xml:space="preserve">Testing is the biggest single risk. </w:t>
      </w:r>
      <w:r>
        <w:t xml:space="preserve">Of ~56 unit tests, the accounting engine is essentially untested — no tests for journal balancing, financial statements, trial balance, void, payment application, credit notes or FX. Every defect in section 3 would be caught by a basic golden-ledger test.</w:t>
      </w:r>
    </w:p>
    <w:p>
      <w:pPr>
        <w:pStyle w:val="ListParagraph"/>
        <w:numPr>
          <w:ilvl w:val="0"/>
          <w:numId w:val="2"/>
        </w:numPr>
        <w:spacing w:after="70"/>
      </w:pPr>
      <w:r>
        <w:rPr>
          <w:b/>
          <w:bCs/>
        </w:rPr>
        <w:t xml:space="preserve">Type safety is disabled where it matters most. </w:t>
      </w:r>
      <w:r>
        <w:t xml:space="preserve">no-explicit-any is turned off with ~872 any / as any occurrences; createJournalEntry is even called with entryData as any, bypassing the schema's guarantees at the money boundary.</w:t>
      </w:r>
    </w:p>
    <w:p>
      <w:pPr>
        <w:pStyle w:val="ListParagraph"/>
        <w:numPr>
          <w:ilvl w:val="0"/>
          <w:numId w:val="2"/>
        </w:numPr>
        <w:spacing w:after="70"/>
      </w:pPr>
      <w:r>
        <w:rPr>
          <w:b/>
          <w:bCs/>
        </w:rPr>
        <w:t xml:space="preserve">Duplicated, divergent logic. </w:t>
      </w:r>
      <w:r>
        <w:t xml:space="preserve">Two cash-flow implementations (one correct, one broken), two credit-note systems, three corporate-tax calculators, two VAT engines, and an inconsistent cash-account predicate. This duplication is the direct cause of several findings — and the broken variants are the ones in production.</w:t>
      </w:r>
    </w:p>
    <w:p>
      <w:pPr>
        <w:pStyle w:val="ListParagraph"/>
        <w:numPr>
          <w:ilvl w:val="0"/>
          <w:numId w:val="2"/>
        </w:numPr>
        <w:spacing w:after="70"/>
      </w:pPr>
      <w:r>
        <w:rPr>
          <w:b/>
          <w:bCs/>
        </w:rPr>
        <w:t xml:space="preserve">God-object files. </w:t>
      </w:r>
      <w:r>
        <w:t xml:space="preserve">storage.ts is ~5,096 lines and shared/schema.ts ~4,657 — concentrating risk and merge conflicts.</w:t>
      </w:r>
    </w:p>
    <w:p>
      <w:pPr>
        <w:pStyle w:val="ListParagraph"/>
        <w:numPr>
          <w:ilvl w:val="0"/>
          <w:numId w:val="2"/>
        </w:numPr>
        <w:spacing w:after="70"/>
      </w:pPr>
      <w:r>
        <w:rPr>
          <w:b/>
          <w:bCs/>
        </w:rPr>
        <w:t xml:space="preserve">Performance. </w:t>
      </w:r>
      <w:r>
        <w:t xml:space="preserve">N+1 queries in the P&amp;L / balance-sheet endpoints where a batched version already exists elsewhere.</w:t>
      </w:r>
    </w:p>
    <w:p>
      <w:pPr>
        <w:pStyle w:val="ListParagraph"/>
        <w:numPr>
          <w:ilvl w:val="0"/>
          <w:numId w:val="2"/>
        </w:numPr>
        <w:spacing w:after="70"/>
      </w:pPr>
      <w:r>
        <w:rPr>
          <w:b/>
          <w:bCs/>
        </w:rPr>
        <w:t xml:space="preserve">Dead code. </w:t>
      </w:r>
      <w:r>
        <w:t xml:space="preserve">The entire Stripe invoice-payment path is unwired; remove it or wire it through the real posting service.</w:t>
      </w:r>
    </w:p>
    <w:p>
      <w:r>
        <w:br w:type="page"/>
      </w:r>
    </w:p>
    <w:p>
      <w:pPr>
        <w:pStyle w:val="Heading1"/>
      </w:pPr>
      <w:r>
        <w:t xml:space="preserve">5.  Competitive landscape</w:t>
      </w:r>
    </w:p>
    <w:p>
      <w:pPr>
        <w:spacing w:after="130"/>
      </w:pPr>
      <w:r>
        <w:t xml:space="preserve">Benchmarked against the four named rivals. The market is consolidating around two things: </w:t>
      </w:r>
      <w:r>
        <w:rPr>
          <w:b/>
          <w:bCs/>
        </w:rPr>
        <w:t xml:space="preserve">FTA e-invoicing accreditation</w:t>
      </w:r>
      <w:r>
        <w:t xml:space="preserve"> and </w:t>
      </w:r>
      <w:r>
        <w:rPr>
          <w:b/>
          <w:bCs/>
        </w:rPr>
        <w:t xml:space="preserve">tight UAE tax automation</w:t>
      </w:r>
      <w:r>
        <w:t xml:space="preserve"> — and increasingly,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2000"/>
        <w:gridCol w:w="1700"/>
        <w:gridCol w:w="2050"/>
        <w:gridCol w:w="2060"/>
      </w:tblGrid>
      <w:tr>
        <w:trPr>
          <w:tblHeader/>
        </w:trPr>
        <w:tc>
          <w:tcPr>
            <w:tcW w:type="dxa" w:w="155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val="false"/>
                <w:bCs w:val="false"/>
              </w:rPr>
              <w:t xml:space="preserve"/>
            </w:r>
          </w:p>
        </w:tc>
        <w:tc>
          <w:tcPr>
            <w:tcW w:type="dxa" w:w="200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8"/>
                <w:szCs w:val="18"/>
              </w:rPr>
              <w:t xml:space="preserve">Wafeq</w:t>
            </w:r>
          </w:p>
        </w:tc>
        <w:tc>
          <w:tcPr>
            <w:tcW w:type="dxa" w:w="170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8"/>
                <w:szCs w:val="18"/>
              </w:rPr>
              <w:t xml:space="preserve">Mazeed</w:t>
            </w:r>
          </w:p>
        </w:tc>
        <w:tc>
          <w:tcPr>
            <w:tcW w:type="dxa" w:w="205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8"/>
                <w:szCs w:val="18"/>
              </w:rPr>
              <w:t xml:space="preserve">Zoho Books</w:t>
            </w:r>
          </w:p>
        </w:tc>
        <w:tc>
          <w:tcPr>
            <w:tcW w:type="dxa" w:w="206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8"/>
                <w:szCs w:val="18"/>
              </w:rPr>
              <w:t xml:space="preserve">QuickBooks</w:t>
            </w:r>
          </w:p>
        </w:tc>
      </w:tr>
      <w:tr>
        <w:tc>
          <w:tcPr>
            <w:tcW w:type="dxa" w:w="155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b/>
                <w:bCs/>
                <w:sz w:val="18"/>
                <w:szCs w:val="18"/>
              </w:rPr>
              <w:t xml:space="preserve">Local focus</w:t>
            </w:r>
          </w:p>
        </w:tc>
        <w:tc>
          <w:tcPr>
            <w:tcW w:type="dxa" w:w="20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7"/>
                <w:szCs w:val="17"/>
              </w:rPr>
              <w:t xml:space="preserve">UAE + KSA, GCC-built</w:t>
            </w:r>
          </w:p>
        </w:tc>
        <w:tc>
          <w:tcPr>
            <w:tcW w:type="dxa" w:w="17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7"/>
                <w:szCs w:val="17"/>
              </w:rPr>
              <w:t xml:space="preserve">UAE + KSA (AI + human experts)</w:t>
            </w:r>
          </w:p>
        </w:tc>
        <w:tc>
          <w:tcPr>
            <w:tcW w:type="dxa" w:w="205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7"/>
                <w:szCs w:val="17"/>
              </w:rPr>
              <w:t xml:space="preserve">UAE + global suite</w:t>
            </w:r>
          </w:p>
        </w:tc>
        <w:tc>
          <w:tcPr>
            <w:tcW w:type="dxa" w:w="206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7"/>
                <w:szCs w:val="17"/>
              </w:rPr>
              <w:t xml:space="preserve">Global incumbent; UAE-localized</w:t>
            </w:r>
          </w:p>
        </w:tc>
      </w:tr>
      <w:tr>
        <w:tc>
          <w:tcPr>
            <w:tcW w:type="dxa" w:w="155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b/>
                <w:bCs/>
                <w:sz w:val="18"/>
                <w:szCs w:val="18"/>
              </w:rPr>
              <w:t xml:space="preserve">FTA e-invoicing</w:t>
            </w:r>
          </w:p>
        </w:tc>
        <w:tc>
          <w:tcPr>
            <w:tcW w:type="dxa" w:w="20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7"/>
                <w:szCs w:val="17"/>
              </w:rPr>
              <w:t xml:space="preserve">Accredited; Peppol BIS 3.0 ready</w:t>
            </w:r>
          </w:p>
        </w:tc>
        <w:tc>
          <w:tcPr>
            <w:tcW w:type="dxa" w:w="17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7"/>
                <w:szCs w:val="17"/>
              </w:rPr>
              <w:t xml:space="preserve">FTA-compliant; e-invoicing ready</w:t>
            </w:r>
          </w:p>
        </w:tc>
        <w:tc>
          <w:tcPr>
            <w:tcW w:type="dxa" w:w="205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7"/>
                <w:szCs w:val="17"/>
              </w:rPr>
              <w:t xml:space="preserve">Digital Tax Integrator (EmaraTax)</w:t>
            </w:r>
          </w:p>
        </w:tc>
        <w:tc>
          <w:tcPr>
            <w:tcW w:type="dxa" w:w="206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7"/>
                <w:szCs w:val="17"/>
              </w:rPr>
              <w:t xml:space="preserve">VAT yes; weaker on UAE Peppol</w:t>
            </w:r>
          </w:p>
        </w:tc>
      </w:tr>
      <w:tr>
        <w:tc>
          <w:tcPr>
            <w:tcW w:type="dxa" w:w="155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b/>
                <w:bCs/>
                <w:sz w:val="18"/>
                <w:szCs w:val="18"/>
              </w:rPr>
              <w:t xml:space="preserve">VAT + Corp Tax</w:t>
            </w:r>
          </w:p>
        </w:tc>
        <w:tc>
          <w:tcPr>
            <w:tcW w:type="dxa" w:w="20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7"/>
                <w:szCs w:val="17"/>
              </w:rPr>
              <w:t xml:space="preserve">Both automated</w:t>
            </w:r>
          </w:p>
        </w:tc>
        <w:tc>
          <w:tcPr>
            <w:tcW w:type="dxa" w:w="17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7"/>
                <w:szCs w:val="17"/>
              </w:rPr>
              <w:t xml:space="preserve">Both, IFRS-aligned</w:t>
            </w:r>
          </w:p>
        </w:tc>
        <w:tc>
          <w:tcPr>
            <w:tcW w:type="dxa" w:w="205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7"/>
                <w:szCs w:val="17"/>
              </w:rPr>
              <w:t xml:space="preserve">Both, real-time checks</w:t>
            </w:r>
          </w:p>
        </w:tc>
        <w:tc>
          <w:tcPr>
            <w:tcW w:type="dxa" w:w="206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7"/>
                <w:szCs w:val="17"/>
              </w:rPr>
              <w:t xml:space="preserve">VAT strong; CT add-ons</w:t>
            </w:r>
          </w:p>
        </w:tc>
      </w:tr>
      <w:tr>
        <w:tc>
          <w:tcPr>
            <w:tcW w:type="dxa" w:w="155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b/>
                <w:bCs/>
                <w:sz w:val="18"/>
                <w:szCs w:val="18"/>
              </w:rPr>
              <w:t xml:space="preserve">Bilingual AR/EN</w:t>
            </w:r>
          </w:p>
        </w:tc>
        <w:tc>
          <w:tcPr>
            <w:tcW w:type="dxa" w:w="20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7"/>
                <w:szCs w:val="17"/>
              </w:rPr>
              <w:t xml:space="preserve">Yes (RTL)</w:t>
            </w:r>
          </w:p>
        </w:tc>
        <w:tc>
          <w:tcPr>
            <w:tcW w:type="dxa" w:w="17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7"/>
                <w:szCs w:val="17"/>
              </w:rPr>
              <w:t xml:space="preserve">Yes</w:t>
            </w:r>
          </w:p>
        </w:tc>
        <w:tc>
          <w:tcPr>
            <w:tcW w:type="dxa" w:w="205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7"/>
                <w:szCs w:val="17"/>
              </w:rPr>
              <w:t xml:space="preserve">Yes</w:t>
            </w:r>
          </w:p>
        </w:tc>
        <w:tc>
          <w:tcPr>
            <w:tcW w:type="dxa" w:w="206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7"/>
                <w:szCs w:val="17"/>
              </w:rPr>
              <w:t xml:space="preserve">Partial</w:t>
            </w:r>
          </w:p>
        </w:tc>
      </w:tr>
      <w:tr>
        <w:tc>
          <w:tcPr>
            <w:tcW w:type="dxa" w:w="155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b/>
                <w:bCs/>
                <w:sz w:val="18"/>
                <w:szCs w:val="18"/>
              </w:rPr>
              <w:t xml:space="preserve">Pricing (/mo)</w:t>
            </w:r>
          </w:p>
        </w:tc>
        <w:tc>
          <w:tcPr>
            <w:tcW w:type="dxa" w:w="20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7"/>
                <w:szCs w:val="17"/>
              </w:rPr>
              <w:t xml:space="preserve">AED 53 / 125 / 291, unlimited users</w:t>
            </w:r>
          </w:p>
        </w:tc>
        <w:tc>
          <w:tcPr>
            <w:tcW w:type="dxa" w:w="17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7"/>
                <w:szCs w:val="17"/>
              </w:rPr>
              <w:t xml:space="preserve">Free Starter, paid tiers</w:t>
            </w:r>
          </w:p>
        </w:tc>
        <w:tc>
          <w:tcPr>
            <w:tcW w:type="dxa" w:w="205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7"/>
                <w:szCs w:val="17"/>
              </w:rPr>
              <w:t xml:space="preserve">~ from $15 (3 users), 5 tiers</w:t>
            </w:r>
          </w:p>
        </w:tc>
        <w:tc>
          <w:tcPr>
            <w:tcW w:type="dxa" w:w="206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7"/>
                <w:szCs w:val="17"/>
              </w:rPr>
              <w:t xml:space="preserve">Mid/high, per-tier</w:t>
            </w:r>
          </w:p>
        </w:tc>
      </w:tr>
      <w:tr>
        <w:tc>
          <w:tcPr>
            <w:tcW w:type="dxa" w:w="155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b/>
                <w:bCs/>
                <w:sz w:val="18"/>
                <w:szCs w:val="18"/>
              </w:rPr>
              <w:t xml:space="preserve">Ecosystem</w:t>
            </w:r>
          </w:p>
        </w:tc>
        <w:tc>
          <w:tcPr>
            <w:tcW w:type="dxa" w:w="20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7"/>
                <w:szCs w:val="17"/>
              </w:rPr>
              <w:t xml:space="preserve">Focused suite</w:t>
            </w:r>
          </w:p>
        </w:tc>
        <w:tc>
          <w:tcPr>
            <w:tcW w:type="dxa" w:w="17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7"/>
                <w:szCs w:val="17"/>
              </w:rPr>
              <w:t xml:space="preserve">AI + advisory services</w:t>
            </w:r>
          </w:p>
        </w:tc>
        <w:tc>
          <w:tcPr>
            <w:tcW w:type="dxa" w:w="205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7"/>
                <w:szCs w:val="17"/>
              </w:rPr>
              <w:t xml:space="preserve">Very large (Zoho One)</w:t>
            </w:r>
          </w:p>
        </w:tc>
        <w:tc>
          <w:tcPr>
            <w:tcW w:type="dxa" w:w="206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7"/>
                <w:szCs w:val="17"/>
              </w:rPr>
              <w:t xml:space="preserve">Large 3rd-party app store</w:t>
            </w:r>
          </w:p>
        </w:tc>
      </w:tr>
      <w:tr>
        <w:tc>
          <w:tcPr>
            <w:tcW w:type="dxa" w:w="155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b/>
                <w:bCs/>
                <w:sz w:val="18"/>
                <w:szCs w:val="18"/>
              </w:rPr>
              <w:t xml:space="preserve">AI / automation</w:t>
            </w:r>
          </w:p>
        </w:tc>
        <w:tc>
          <w:tcPr>
            <w:tcW w:type="dxa" w:w="20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7"/>
                <w:szCs w:val="17"/>
              </w:rPr>
              <w:t xml:space="preserve">Limited</w:t>
            </w:r>
          </w:p>
        </w:tc>
        <w:tc>
          <w:tcPr>
            <w:tcW w:type="dxa" w:w="17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7"/>
                <w:szCs w:val="17"/>
              </w:rPr>
              <w:t xml:space="preserve">AI-native positioning</w:t>
            </w:r>
          </w:p>
        </w:tc>
        <w:tc>
          <w:tcPr>
            <w:tcW w:type="dxa" w:w="205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7"/>
                <w:szCs w:val="17"/>
              </w:rPr>
              <w:t xml:space="preserve">Growing</w:t>
            </w:r>
          </w:p>
        </w:tc>
        <w:tc>
          <w:tcPr>
            <w:tcW w:type="dxa" w:w="206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7"/>
                <w:szCs w:val="17"/>
              </w:rPr>
              <w:t xml:space="preserve">Growing</w:t>
            </w:r>
          </w:p>
        </w:tc>
      </w:tr>
    </w:tbl>
    <w:p>
      <w:pPr>
        <w:spacing w:after="130"/>
      </w:pPr>
      <w:r>
        <w:t xml:space="preserve"/>
      </w:r>
    </w:p>
    <w:p>
      <w:pPr>
        <w:pStyle w:val="Heading2"/>
      </w:pPr>
      <w:r>
        <w:t xml:space="preserve">5.1  The e-invoicing mandate (the deciding factor)</w:t>
      </w:r>
    </w:p>
    <w:p>
      <w:pPr>
        <w:spacing w:after="130"/>
      </w:pPr>
      <w:r>
        <w:t xml:space="preserve">The UAE has adopted a Peppol-based, 5-corner continuous-transaction-control model. Invoices must be issued as structured XML (UBL / PINT-AE), transmitted through an </w:t>
      </w:r>
      <w:r>
        <w:rPr>
          <w:b/>
          <w:bCs/>
        </w:rPr>
        <w:t xml:space="preserve">Accredited Service Provider (ASP)</w:t>
      </w:r>
      <w:r>
        <w:t xml:space="preserve"> with a Peppol identifier, and reported to the FTA — PDFs and scans are invalid. Timeline: pilot from July 2026; mandatory from </w:t>
      </w:r>
      <w:r>
        <w:rPr>
          <w:b/>
          <w:bCs/>
        </w:rPr>
        <w:t xml:space="preserve">1 January 2027</w:t>
      </w:r>
      <w:r>
        <w:t xml:space="preserve"> for businesses over AED 50M, </w:t>
      </w:r>
      <w:r>
        <w:rPr>
          <w:b/>
          <w:bCs/>
        </w:rPr>
        <w:t xml:space="preserve">1 July 2027</w:t>
      </w:r>
      <w:r>
        <w:t xml:space="preserve"> for SMEs, and October 2027 for government. Penalties run up to AED 5,000/month. Wafeq is an accredited ASP today and Zoho is an FTA Digital Tax Integrator; this is the table-stakes investment to remain sellable in 2027.</w:t>
      </w:r>
    </w:p>
    <w:p>
      <w:pPr>
        <w:pStyle w:val="Heading2"/>
      </w:pPr>
      <w:r>
        <w:t xml:space="preserve">5.2  Where you can win</w:t>
      </w:r>
    </w:p>
    <w:p>
      <w:pPr>
        <w:pStyle w:val="ListParagraph"/>
        <w:numPr>
          <w:ilvl w:val="0"/>
          <w:numId w:val="2"/>
        </w:numPr>
        <w:spacing w:after="70"/>
      </w:pPr>
      <w:r>
        <w:rPr>
          <w:b/>
          <w:bCs/>
        </w:rPr>
        <w:t xml:space="preserve">AI-native bookkeeping. </w:t>
      </w:r>
      <w:r>
        <w:t xml:space="preserve">Only Mazeed positions as AI-native locally; QuickBooks/Zoho/Wafeq are bolting AI on. The existing AI-CFO / agentic surfaces are a real wedge if the underlying books are correct.</w:t>
      </w:r>
    </w:p>
    <w:p>
      <w:pPr>
        <w:pStyle w:val="ListParagraph"/>
        <w:numPr>
          <w:ilvl w:val="0"/>
          <w:numId w:val="2"/>
        </w:numPr>
        <w:spacing w:after="70"/>
      </w:pPr>
      <w:r>
        <w:rPr>
          <w:b/>
          <w:bCs/>
        </w:rPr>
        <w:t xml:space="preserve">Accountant/firm cockpit. </w:t>
      </w:r>
      <w:r>
        <w:t xml:space="preserve">The firm command-centre, client-portfolio and document-chasing modules are a credible play for the bookkeeping-firm channel that resells to SMEs.</w:t>
      </w:r>
    </w:p>
    <w:p>
      <w:pPr>
        <w:pStyle w:val="ListParagraph"/>
        <w:numPr>
          <w:ilvl w:val="0"/>
          <w:numId w:val="2"/>
        </w:numPr>
        <w:spacing w:after="70"/>
      </w:pPr>
      <w:r>
        <w:rPr>
          <w:b/>
          <w:bCs/>
        </w:rPr>
        <w:t xml:space="preserve">Price + unlimited users. </w:t>
      </w:r>
      <w:r>
        <w:t xml:space="preserve">Wafeq's unlimited-users model is popular; matching it while undercutting Zoho's per-user creep is viable for SMEs.</w:t>
      </w:r>
    </w:p>
    <w:p>
      <w:r>
        <w:br w:type="page"/>
      </w:r>
    </w:p>
    <w:p>
      <w:pPr>
        <w:pStyle w:val="Heading1"/>
      </w:pPr>
      <w:r>
        <w:t xml:space="preserve">6.  Prioritised roadmap to compete</w:t>
      </w:r>
    </w:p>
    <w:p>
      <w:pPr>
        <w:spacing w:after="130"/>
      </w:pPr>
      <w:r>
        <w:t xml:space="preserve">Four phases, sequenced so that </w:t>
      </w:r>
      <w:r>
        <w:rPr>
          <w:b/>
          <w:bCs/>
        </w:rPr>
        <w:t xml:space="preserve">correctness and trust come before features</w:t>
      </w:r>
      <w:r>
        <w:t xml:space="preserve"> — you cannot win a market on AI if the balance sheet is wrong. Each phase has a clear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600"/>
        <w:gridCol w:w="3500"/>
        <w:gridCol w:w="2110"/>
      </w:tblGrid>
      <w:tr>
        <w:trPr>
          <w:tblHeader/>
        </w:trPr>
        <w:tc>
          <w:tcPr>
            <w:tcW w:type="dxa" w:w="115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8"/>
                <w:szCs w:val="18"/>
              </w:rPr>
              <w:t xml:space="preserve">Phase</w:t>
            </w:r>
          </w:p>
        </w:tc>
        <w:tc>
          <w:tcPr>
            <w:tcW w:type="dxa" w:w="260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8"/>
                <w:szCs w:val="18"/>
              </w:rPr>
              <w:t xml:space="preserve">Window</w:t>
            </w:r>
          </w:p>
        </w:tc>
        <w:tc>
          <w:tcPr>
            <w:tcW w:type="dxa" w:w="350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8"/>
                <w:szCs w:val="18"/>
              </w:rPr>
              <w:t xml:space="preserve">Theme &amp; key work</w:t>
            </w:r>
          </w:p>
        </w:tc>
        <w:tc>
          <w:tcPr>
            <w:tcW w:type="dxa" w:w="2110"/>
            <w:tcBorders>
              <w:top w:val="single" w:color="C9D3DD" w:sz="1"/>
              <w:left w:val="single" w:color="C9D3DD" w:sz="1"/>
              <w:bottom w:val="single" w:color="C9D3DD" w:sz="1"/>
              <w:right w:val="single" w:color="C9D3DD" w:sz="1"/>
            </w:tcBorders>
            <w:shd w:fill="1F3A5F" w:val="clear"/>
            <w:tcMar>
              <w:top w:type="dxa" w:w="70"/>
              <w:left w:type="dxa" w:w="110"/>
              <w:bottom w:type="dxa" w:w="70"/>
              <w:right w:type="dxa" w:w="110"/>
            </w:tcMar>
          </w:tcPr>
          <w:p>
            <w:pPr>
              <w:jc w:val="left"/>
            </w:pPr>
            <w:r>
              <w:rPr>
                <w:b/>
                <w:bCs/>
                <w:color w:val="FFFFFF"/>
                <w:sz w:val="18"/>
                <w:szCs w:val="18"/>
              </w:rPr>
              <w:t xml:space="preserve">Outcome</w:t>
            </w:r>
          </w:p>
        </w:tc>
      </w:tr>
      <w:tr>
        <w:tc>
          <w:tcPr>
            <w:tcW w:type="dxa" w:w="115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b/>
                <w:bCs/>
                <w:color w:val="1F7A6D"/>
                <w:sz w:val="19"/>
                <w:szCs w:val="19"/>
              </w:rPr>
              <w:t xml:space="preserve">P0</w:t>
            </w:r>
          </w:p>
        </w:tc>
        <w:tc>
          <w:tcPr>
            <w:tcW w:type="dxa" w:w="26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8"/>
                <w:szCs w:val="18"/>
              </w:rPr>
              <w:t xml:space="preserve">Weeks 0-6</w:t>
            </w:r>
          </w:p>
        </w:tc>
        <w:tc>
          <w:tcPr>
            <w:tcW w:type="dxa" w:w="35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7"/>
                <w:szCs w:val="17"/>
              </w:rPr>
              <w:t xml:space="preserve">Stop the bleeding: correctness &amp; security</w:t>
            </w:r>
          </w:p>
        </w:tc>
        <w:tc>
          <w:tcPr>
            <w:tcW w:type="dxa" w:w="211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color w:val="555555"/>
                <w:sz w:val="17"/>
                <w:szCs w:val="17"/>
              </w:rPr>
              <w:t xml:space="preserve">Fix void-of-paid-invoice (block + credit-note path); balance-sheet sign reclassification; rebuild cash flow on the correct engine; future-date guard; fix portal IDOR (S-H1); atomic transactions for bill-pay / bank-reconcile / payroll / void; remove backdoor &amp; personal-admin migrations + rotate JWT secret; ship a golden-ledger test suite.</w:t>
            </w:r>
          </w:p>
        </w:tc>
      </w:tr>
      <w:tr>
        <w:tc>
          <w:tcPr>
            <w:tcW w:type="dxa" w:w="115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b/>
                <w:bCs/>
                <w:color w:val="1F7A6D"/>
                <w:sz w:val="19"/>
                <w:szCs w:val="19"/>
              </w:rPr>
              <w:t xml:space="preserve">P1</w:t>
            </w:r>
          </w:p>
        </w:tc>
        <w:tc>
          <w:tcPr>
            <w:tcW w:type="dxa" w:w="26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8"/>
                <w:szCs w:val="18"/>
              </w:rPr>
              <w:t xml:space="preserve">Months 1-3</w:t>
            </w:r>
          </w:p>
        </w:tc>
        <w:tc>
          <w:tcPr>
            <w:tcW w:type="dxa" w:w="35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7"/>
                <w:szCs w:val="17"/>
              </w:rPr>
              <w:t xml:space="preserve">Compliance moat</w:t>
            </w:r>
          </w:p>
        </w:tc>
        <w:tc>
          <w:tcPr>
            <w:tcW w:type="dxa" w:w="211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color w:val="555555"/>
                <w:sz w:val="17"/>
                <w:szCs w:val="17"/>
              </w:rPr>
              <w:t xml:space="preserve">Begin FTA Accredited Service Provider (ASP) / Peppol path + PINT-AE XML; direct EmaraTax VAT-201 filing; audit logging on every money/export action; retention + soft-delete on all financial documents; consolidate the duplicates (one CT calc, one credit-note system, one cash-flow, one VAT engine); fix import-VAT recovery &amp; RCM auto-mirror; decimal-ize report aggregation.</w:t>
            </w:r>
          </w:p>
        </w:tc>
      </w:tr>
      <w:tr>
        <w:tc>
          <w:tcPr>
            <w:tcW w:type="dxa" w:w="115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b/>
                <w:bCs/>
                <w:color w:val="1F7A6D"/>
                <w:sz w:val="19"/>
                <w:szCs w:val="19"/>
              </w:rPr>
              <w:t xml:space="preserve">P2</w:t>
            </w:r>
          </w:p>
        </w:tc>
        <w:tc>
          <w:tcPr>
            <w:tcW w:type="dxa" w:w="26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8"/>
                <w:szCs w:val="18"/>
              </w:rPr>
              <w:t xml:space="preserve">Months 3-6</w:t>
            </w:r>
          </w:p>
        </w:tc>
        <w:tc>
          <w:tcPr>
            <w:tcW w:type="dxa" w:w="350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sz w:val="17"/>
                <w:szCs w:val="17"/>
              </w:rPr>
              <w:t xml:space="preserve">Competitive parity</w:t>
            </w:r>
          </w:p>
        </w:tc>
        <w:tc>
          <w:tcPr>
            <w:tcW w:type="dxa" w:w="2110"/>
            <w:tcBorders>
              <w:top w:val="single" w:color="C9D3DD" w:sz="1"/>
              <w:left w:val="single" w:color="C9D3DD" w:sz="1"/>
              <w:bottom w:val="single" w:color="C9D3DD" w:sz="1"/>
              <w:right w:val="single" w:color="C9D3DD" w:sz="1"/>
            </w:tcBorders>
            <w:tcMar>
              <w:top w:type="dxa" w:w="70"/>
              <w:left w:type="dxa" w:w="110"/>
              <w:bottom w:type="dxa" w:w="70"/>
              <w:right w:type="dxa" w:w="110"/>
            </w:tcMar>
          </w:tcPr>
          <w:p>
            <w:pPr>
              <w:jc w:val="left"/>
            </w:pPr>
            <w:r>
              <w:rPr>
                <w:color w:val="555555"/>
                <w:sz w:val="17"/>
                <w:szCs w:val="17"/>
              </w:rPr>
              <w:t xml:space="preserve">Bank feeds / open banking (Lean, Tarabut) for auto-reconciliation; correct multi-currency + realised/unrealised FX; inventory with COGS; payroll + WPS/SIF end-to-end; 30+ report parity; period close + retained-earnings roll-forward; Arabic/RTL polish.</w:t>
            </w:r>
          </w:p>
        </w:tc>
      </w:tr>
      <w:tr>
        <w:tc>
          <w:tcPr>
            <w:tcW w:type="dxa" w:w="115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b/>
                <w:bCs/>
                <w:color w:val="1F7A6D"/>
                <w:sz w:val="19"/>
                <w:szCs w:val="19"/>
              </w:rPr>
              <w:t xml:space="preserve">P3</w:t>
            </w:r>
          </w:p>
        </w:tc>
        <w:tc>
          <w:tcPr>
            <w:tcW w:type="dxa" w:w="26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8"/>
                <w:szCs w:val="18"/>
              </w:rPr>
              <w:t xml:space="preserve">Months 6-12</w:t>
            </w:r>
          </w:p>
        </w:tc>
        <w:tc>
          <w:tcPr>
            <w:tcW w:type="dxa" w:w="350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sz w:val="17"/>
                <w:szCs w:val="17"/>
              </w:rPr>
              <w:t xml:space="preserve">Differentiate on AI</w:t>
            </w:r>
          </w:p>
        </w:tc>
        <w:tc>
          <w:tcPr>
            <w:tcW w:type="dxa" w:w="2110"/>
            <w:tcBorders>
              <w:top w:val="single" w:color="C9D3DD" w:sz="1"/>
              <w:left w:val="single" w:color="C9D3DD" w:sz="1"/>
              <w:bottom w:val="single" w:color="C9D3DD" w:sz="1"/>
              <w:right w:val="single" w:color="C9D3DD" w:sz="1"/>
            </w:tcBorders>
            <w:shd w:fill="F5F7F9" w:val="clear"/>
            <w:tcMar>
              <w:top w:type="dxa" w:w="70"/>
              <w:left w:type="dxa" w:w="110"/>
              <w:bottom w:type="dxa" w:w="70"/>
              <w:right w:type="dxa" w:w="110"/>
            </w:tcMar>
          </w:tcPr>
          <w:p>
            <w:pPr>
              <w:jc w:val="left"/>
            </w:pPr>
            <w:r>
              <w:rPr>
                <w:color w:val="555555"/>
                <w:sz w:val="17"/>
                <w:szCs w:val="17"/>
              </w:rPr>
              <w:t xml:space="preserve">Lean into the AI-CFO / agentic bookkeeping edge (only Mazeed is AI-native locally): anomaly detection, auto-categorisation, document chasing, natural-language reporting; accountant/firm multi-client cockpit; client portal.</w:t>
            </w:r>
          </w:p>
        </w:tc>
      </w:tr>
    </w:tbl>
    <w:p>
      <w:pPr>
        <w:spacing w:after="130"/>
      </w:pPr>
      <w:r>
        <w:t xml:space="preserve"/>
      </w:r>
    </w:p>
    <w:p>
      <w:pPr>
        <w:pStyle w:val="Heading2"/>
      </w:pPr>
      <w:r>
        <w:t xml:space="preserve">6.1  Top-10 do-first list</w:t>
      </w:r>
    </w:p>
    <w:p>
      <w:pPr>
        <w:pStyle w:val="ListParagraph"/>
        <w:numPr>
          <w:ilvl w:val="0"/>
          <w:numId w:val="3"/>
        </w:numPr>
        <w:spacing w:after="70"/>
      </w:pPr>
      <w:r>
        <w:rPr>
          <w:b/>
          <w:bCs/>
        </w:rPr>
        <w:t xml:space="preserve">Block (or fully reverse cash on) voiding a paid invoice </w:t>
      </w:r>
      <w:r>
        <w:t xml:space="preserve">— A-1, A-B1, A-B3 share the orphaned-cash root cause; highest correctness risk.</w:t>
      </w:r>
    </w:p>
    <w:p>
      <w:pPr>
        <w:pStyle w:val="ListParagraph"/>
        <w:numPr>
          <w:ilvl w:val="0"/>
          <w:numId w:val="3"/>
        </w:numPr>
        <w:spacing w:after="70"/>
      </w:pPr>
      <w:r>
        <w:rPr>
          <w:b/>
          <w:bCs/>
        </w:rPr>
        <w:t xml:space="preserve">Fix the portal-token cross-tenant IDOR (S-H1) </w:t>
      </w:r>
      <w:r>
        <w:t xml:space="preserve">— the only live data-exposure bug; one access check.</w:t>
      </w:r>
    </w:p>
    <w:p>
      <w:pPr>
        <w:pStyle w:val="ListParagraph"/>
        <w:numPr>
          <w:ilvl w:val="0"/>
          <w:numId w:val="3"/>
        </w:numPr>
        <w:spacing w:after="70"/>
      </w:pPr>
      <w:r>
        <w:rPr>
          <w:b/>
          <w:bCs/>
        </w:rPr>
        <w:t xml:space="preserve">Ship a golden-ledger test suite </w:t>
      </w:r>
      <w:r>
        <w:t xml:space="preserve">— post -&gt; pay -&gt; void -&gt; credit-note; trial balance ties; BS balances; cash flow ties to bank delta. Cheapest insurance against regressions.</w:t>
      </w:r>
    </w:p>
    <w:p>
      <w:pPr>
        <w:pStyle w:val="ListParagraph"/>
        <w:numPr>
          <w:ilvl w:val="0"/>
          <w:numId w:val="3"/>
        </w:numPr>
        <w:spacing w:after="70"/>
      </w:pPr>
      <w:r>
        <w:rPr>
          <w:b/>
          <w:bCs/>
        </w:rPr>
        <w:t xml:space="preserve">Wrap money writes in transactions </w:t>
      </w:r>
      <w:r>
        <w:t xml:space="preserve">— bill-pay (S-C1), bank-reconcile (S-C2), payroll, invoice void; add the missing GL postings for expense claims and online payments.</w:t>
      </w:r>
    </w:p>
    <w:p>
      <w:pPr>
        <w:pStyle w:val="ListParagraph"/>
        <w:numPr>
          <w:ilvl w:val="0"/>
          <w:numId w:val="3"/>
        </w:numPr>
        <w:spacing w:after="70"/>
      </w:pPr>
      <w:r>
        <w:rPr>
          <w:b/>
          <w:bCs/>
        </w:rPr>
        <w:t xml:space="preserve">Rebuild the cash-flow endpoint </w:t>
      </w:r>
      <w:r>
        <w:t xml:space="preserve">on the correct existing engine and delete the broken duplicate (A-3).</w:t>
      </w:r>
    </w:p>
    <w:p>
      <w:pPr>
        <w:pStyle w:val="ListParagraph"/>
        <w:numPr>
          <w:ilvl w:val="0"/>
          <w:numId w:val="3"/>
        </w:numPr>
        <w:spacing w:after="70"/>
      </w:pPr>
      <w:r>
        <w:rPr>
          <w:b/>
          <w:bCs/>
        </w:rPr>
        <w:t xml:space="preserve">Balance-sheet sign reclassification </w:t>
      </w:r>
      <w:r>
        <w:t xml:space="preserve">for net-credit AR / net-debit AP (A-2).</w:t>
      </w:r>
    </w:p>
    <w:p>
      <w:pPr>
        <w:pStyle w:val="ListParagraph"/>
        <w:numPr>
          <w:ilvl w:val="0"/>
          <w:numId w:val="3"/>
        </w:numPr>
        <w:spacing w:after="70"/>
      </w:pPr>
      <w:r>
        <w:rPr>
          <w:b/>
          <w:bCs/>
        </w:rPr>
        <w:t xml:space="preserve">Future-date guard </w:t>
      </w:r>
      <w:r>
        <w:t xml:space="preserve">on journal and document posting (A-4).</w:t>
      </w:r>
    </w:p>
    <w:p>
      <w:pPr>
        <w:pStyle w:val="ListParagraph"/>
        <w:numPr>
          <w:ilvl w:val="0"/>
          <w:numId w:val="3"/>
        </w:numPr>
        <w:spacing w:after="70"/>
      </w:pPr>
      <w:r>
        <w:rPr>
          <w:b/>
          <w:bCs/>
        </w:rPr>
        <w:t xml:space="preserve">Remove the backdoor &amp; personal-admin migrations </w:t>
      </w:r>
      <w:r>
        <w:t xml:space="preserve">(S-H2, S-H3), confirm the revoke ran in production, and rotate JWT_SECRET.</w:t>
      </w:r>
    </w:p>
    <w:p>
      <w:pPr>
        <w:pStyle w:val="ListParagraph"/>
        <w:numPr>
          <w:ilvl w:val="0"/>
          <w:numId w:val="3"/>
        </w:numPr>
        <w:spacing w:after="70"/>
      </w:pPr>
      <w:r>
        <w:rPr>
          <w:b/>
          <w:bCs/>
        </w:rPr>
        <w:t xml:space="preserve">Start the FTA e-invoicing / Peppol ASP path </w:t>
      </w:r>
      <w:r>
        <w:t xml:space="preserve">(PINT-AE XML + EmaraTax filing) — long lead time; begin now.</w:t>
      </w:r>
    </w:p>
    <w:p>
      <w:pPr>
        <w:pStyle w:val="ListParagraph"/>
        <w:numPr>
          <w:ilvl w:val="0"/>
          <w:numId w:val="3"/>
        </w:numPr>
        <w:spacing w:after="70"/>
      </w:pPr>
      <w:r>
        <w:rPr>
          <w:b/>
          <w:bCs/>
        </w:rPr>
        <w:t xml:space="preserve">Consolidate duplicates and settle the FX convention </w:t>
      </w:r>
      <w:r>
        <w:t xml:space="preserve">— one corporate-tax calculator, one credit-note system, one VAT engine; fix realised/unrealised FX (A-B4, A-B5, A-B7).</w:t>
      </w:r>
    </w:p>
    <w:p>
      <w:pPr>
        <w:spacing w:after="130"/>
      </w:pPr>
      <w:r>
        <w:t xml:space="preserve"/>
      </w:r>
    </w:p>
    <w:p>
      <w:pPr>
        <w:pStyle w:val="Heading2"/>
      </w:pPr>
      <w:r>
        <w:t xml:space="preserve">6.2  Closing note</w:t>
      </w:r>
    </w:p>
    <w:p>
      <w:pPr>
        <w:spacing w:after="130"/>
      </w:pPr>
      <w:r>
        <w:t xml:space="preserve">The foundation here is better than the defect list might suggest — the hard, easy-to-get-wrong parts (atomic posting, immutability, retention, UAE chart of accounts and VAT mechanics) are largely right. The work ahead is to make the </w:t>
      </w:r>
      <w:r>
        <w:rPr>
          <w:b/>
          <w:bCs/>
        </w:rPr>
        <w:t xml:space="preserve">edges</w:t>
      </w:r>
      <w:r>
        <w:t xml:space="preserve"> as trustworthy as the core, lock in the e-invoicing compliance moat before the 2027 deadline forces every SME to choose a provider, and then lean hard into AI-native bookkeeping where the incumbents are weakest. Sequence it correctly and there is a real, winnable opening.</w:t>
      </w:r>
    </w:p>
    <w:p>
      <w:pPr>
        <w:spacing w:after="130"/>
      </w:pPr>
      <w:r>
        <w:rPr>
          <w:i/>
          <w:iCs/>
          <w:color w:val="555555"/>
          <w:sz w:val="17"/>
          <w:szCs w:val="17"/>
        </w:rPr>
        <w:t xml:space="preserve">This document is an independent technical and strategic review based on a point-in-time read of the application, codebase and public competitor information. It is not an audit opinion or regulated tax/legal advice. Compliance timelines should be confirmed against current FTA guidance before planning.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Confidential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right" w:pos="9026"/>
      </w:tabs>
    </w:pPr>
    <w:r>
      <w:rPr>
        <w:color w:val="555555"/>
        <w:sz w:val="16"/>
        <w:szCs w:val="16"/>
      </w:rPr>
      <w:t xml:space="preserve">Technical Audit &amp; Competitive Roadmap</w:t>
    </w:r>
    <w:r>
      <w:rPr>
        <w:color w:val="555555"/>
        <w:sz w:val="16"/>
        <w:szCs w:val="16"/>
      </w:rPr>
      <w:t xml:space="preserve">	Muhasib.ai / Netmara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10" w:before="240"/>
      <w:outlineLvl w:val="1"/>
    </w:pPr>
    <w:rPr>
      <w:rFonts w:ascii="Arial" w:cs="Arial" w:eastAsia="Arial" w:hAnsi="Arial"/>
      <w:b/>
      <w:bCs/>
      <w:color w:val="1F7A6D"/>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F3A5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Muhasib.ai / Netmara - Audit &amp; Competitive Roadmap</dc:title>
  <dc:creator>Independent Technical &amp; Strategic Review</dc:creator>
  <cp:lastModifiedBy>Un-named</cp:lastModifiedBy>
  <cp:revision>1</cp:revision>
  <dcterms:created xsi:type="dcterms:W3CDTF">2026-06-21T16:57:22.468Z</dcterms:created>
  <dcterms:modified xsi:type="dcterms:W3CDTF">2026-06-21T16:57:22.468Z</dcterms:modified>
</cp:coreProperties>
</file>

<file path=docProps/custom.xml><?xml version="1.0" encoding="utf-8"?>
<Properties xmlns="http://schemas.openxmlformats.org/officeDocument/2006/custom-properties" xmlns:vt="http://schemas.openxmlformats.org/officeDocument/2006/docPropsVTypes"/>
</file>