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A3C6E"/>
          <w:sz w:val="56"/>
          <w:szCs w:val="56"/>
        </w:rPr>
        <w:t xml:space="preserve">INDIAN BANK</w:t>
      </w:r>
    </w:p>
    <w:p>
      <w:pPr>
        <w:spacing w:before="0" w:after="40"/>
        <w:jc w:val="center"/>
      </w:pPr>
      <w:r>
        <w:rPr>
          <w:rFonts w:ascii="Arial" w:cs="Arial" w:eastAsia="Arial" w:hAnsi="Arial"/>
          <w:color w:val="2E5FA3"/>
          <w:sz w:val="24"/>
          <w:szCs w:val="24"/>
        </w:rPr>
        <w:t xml:space="preserve">Corporate Banking Group — Large Corporate Division</w:t>
      </w:r>
    </w:p>
    <w:p>
      <w:pPr>
        <w:spacing w:before="0" w:after="360"/>
        <w:jc w:val="center"/>
      </w:pPr>
      <w:r>
        <w:rPr>
          <w:rFonts w:ascii="Arial" w:cs="Arial" w:eastAsia="Arial" w:hAnsi="Arial"/>
          <w:color w:val="666666"/>
          <w:sz w:val="22"/>
          <w:szCs w:val="22"/>
        </w:rPr>
        <w:t xml:space="preserve">Chennai Circle | Nungambakkam Branch, Chennai</w:t>
      </w:r>
    </w:p>
    <w:p>
      <w:pPr>
        <w:spacing w:before="0" w:after="0"/>
      </w:pPr>
      <w:r>
        <w:rPr>
          <w:sz w:val="22"/>
          <w:szCs w:val="22"/>
        </w:rPr>
        <w:t xml:space="preserve"/>
      </w:r>
    </w:p>
    <w:p>
      <w:pPr>
        <w:pBdr>
          <w:top w:val="double" w:color="2E5FA3" w:sz="6"/>
          <w:bottom w:val="double" w:color="2E5FA3" w:sz="6"/>
        </w:pBdr>
        <w:spacing w:before="0" w:after="40"/>
        <w:jc w:val="center"/>
      </w:pPr>
      <w:r>
        <w:rPr>
          <w:rFonts w:ascii="Arial" w:cs="Arial" w:eastAsia="Arial" w:hAnsi="Arial"/>
          <w:b/>
          <w:bCs/>
          <w:color w:val="1A3C6E"/>
          <w:sz w:val="44"/>
          <w:szCs w:val="44"/>
        </w:rPr>
        <w:t xml:space="preserve">CREDIT APPRAISAL MEMORANDUM (CAM)</w:t>
      </w:r>
    </w:p>
    <w:p>
      <w:pPr>
        <w:spacing w:before="0" w:after="0"/>
      </w:pPr>
      <w:r>
        <w:rPr>
          <w:sz w:val="22"/>
          <w:szCs w:val="22"/>
        </w:rPr>
        <w:t xml:space="preserve"/>
      </w:r>
    </w:p>
    <w:p>
      <w:pPr>
        <w:spacing w:before="320" w:after="40"/>
        <w:jc w:val="center"/>
      </w:pPr>
      <w:r>
        <w:rPr>
          <w:rFonts w:ascii="Arial" w:cs="Arial" w:eastAsia="Arial" w:hAnsi="Arial"/>
          <w:b/>
          <w:bCs/>
          <w:color w:val="1A3C6E"/>
          <w:sz w:val="56"/>
          <w:szCs w:val="56"/>
        </w:rPr>
        <w:t xml:space="preserve">INFOSYS LIMITED</w:t>
      </w:r>
    </w:p>
    <w:p>
      <w:pPr>
        <w:spacing w:before="0" w:after="280"/>
        <w:jc w:val="center"/>
      </w:pPr>
      <w:r>
        <w:rPr>
          <w:rFonts w:ascii="Arial" w:cs="Arial" w:eastAsia="Arial" w:hAnsi="Arial"/>
          <w:color w:val="555555"/>
          <w:sz w:val="20"/>
          <w:szCs w:val="20"/>
        </w:rPr>
        <w:t xml:space="preserve">CIN: L85110KA1981PLC013115  |  BSE: 500209  |  NSE: INFY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Proposal type</w:t>
            </w:r>
          </w:p>
        </w:tc>
        <w:tc>
          <w:tcPr>
            <w:tcW w:type="dxa" w:w="23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exposure</w:t>
            </w:r>
          </w:p>
        </w:tc>
        <w:tc>
          <w:tcPr>
            <w:tcW w:type="dxa" w:w="23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Internal rating</w:t>
            </w:r>
          </w:p>
        </w:tc>
        <w:tc>
          <w:tcPr>
            <w:tcW w:type="dxa" w:w="23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Date of proposal</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Renewal &amp; Enhancement — WC + TL + NFB</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INR 2,500 Crore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IB-1 (Equivalent: AAA)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 March 2025</w:t>
            </w:r>
          </w:p>
        </w:tc>
      </w:tr>
      <w:tr>
        <w:tc>
          <w:tcPr>
            <w:tcW w:type="dxa" w:w="23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Relationship manager</w:t>
            </w:r>
          </w:p>
        </w:tc>
        <w:tc>
          <w:tcPr>
            <w:tcW w:type="dxa" w:w="23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Circle / Branch</w:t>
            </w:r>
          </w:p>
        </w:tc>
        <w:tc>
          <w:tcPr>
            <w:tcW w:type="dxa" w:w="23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Asset classification</w:t>
            </w:r>
          </w:p>
        </w:tc>
        <w:tc>
          <w:tcPr>
            <w:tcW w:type="dxa" w:w="23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Next review due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Shri A. Kumar (AGM)</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Chennai Circle CBG</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Standard | SMA: Nil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March 2026</w:t>
            </w:r>
          </w:p>
        </w:tc>
      </w:tr>
    </w:tbl>
    <w:p>
      <w:pPr>
        <w:spacing w:before="280" w:after="120"/>
        <w:jc w:val="center"/>
      </w:pPr>
      <w:r>
        <w:rPr>
          <w:rFonts w:ascii="Arial" w:cs="Arial" w:eastAsia="Arial" w:hAnsi="Arial"/>
          <w:b/>
          <w:bCs/>
          <w:color w:val="C0392B"/>
          <w:sz w:val="22"/>
          <w:szCs w:val="22"/>
        </w:rPr>
        <w:t xml:space="preserve">STRICTLY CONFIDENTIAL</w:t>
      </w:r>
      <w:r>
        <w:rPr>
          <w:rFonts w:ascii="Arial" w:cs="Arial" w:eastAsia="Arial" w:hAnsi="Arial"/>
          <w:color w:val="555555"/>
          <w:sz w:val="20"/>
          <w:szCs w:val="20"/>
        </w:rPr>
        <w:t xml:space="preserve">   |   For Internal Use Only   |   Credit Committee Circulation</w:t>
      </w:r>
    </w:p>
    <w:p>
      <w:r>
        <w:br w:type="page"/>
      </w:r>
    </w:p>
    <w:p>
      <w:pPr>
        <w:pStyle w:val="Heading1"/>
        <w:spacing w:before="400" w:after="120"/>
      </w:pPr>
      <w:r>
        <w:rPr>
          <w:rFonts w:ascii="Arial" w:cs="Arial" w:eastAsia="Arial" w:hAnsi="Arial"/>
          <w:b/>
          <w:bCs/>
          <w:color w:val="1A3C6E"/>
          <w:sz w:val="36"/>
          <w:szCs w:val="36"/>
        </w:rPr>
        <w:t xml:space="preserve">1. Executive Summary</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This Credit Appraisal Memorandum is prepared for the consideration of the Credit Committee (CC) of Indian Bank, Corporate Banking Group, Chennai Circle, for renewal and enhancement of credit facilities to Infosys Limited. The proposal has been evaluated by the Relationship Manager and independently reviewed by the Credit Risk Unit.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67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Details</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Borrower</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Infosys Limited — India's second-largest IT services company by revenue, headquartered in Bengaluru. Listed BSE, NSE, NYSE.</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Constitution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Public Limited Company incorporated under Companies Act, 1956. ROC: Karnataka. CIN: L85110KA1981PLC013115.</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Industry / Sector</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Information Technology Services &amp; Consulting | NIC Code: 6201</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Existing credit limit</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1,800 Crore (Fund-based: INR 1,200 Cr | Non-fund-based: INR 600 Cr) — Sanctioned 18 March 2023</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Proposed credit limit</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2,500 Crore (Fund-based: INR 1,800 Cr | Non-fund-based: INR 700 Cr) — Enhancement: INR 700 Cr</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Purpose / end-use</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CC/WCDL: Fund operational working capital. TL: Campus expansion at Electronic City, Bengaluru (INR 950 Cr project). BG/LC: Client SLA guarantees and trade finance.</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Tenor</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Working Capital: 12 months (renewable). Term Loan: 5 years with 6-month moratorium. BG: Up to 3 years.</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Rate of interest</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MCLR (1-year) + 0.10% p.a. = 8.75% p.a. effective (March 2025). TL: MCLR flat = 8.65%.</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Security</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Primary: Pari-passu first charge on current assets. Collateral: First charge on movable fixed assets + equitable mortgage on Jaipur campus (INR 1,200 Cr). Guarantee: Infosys BPM Ltd.</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IB-LCM credit rating</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IB-1 | Score: 92/100 | Rating date: 10 February 2025 | Valid to: 09 February 2026</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External rating</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CRISIL AAA / Stable | ICRA AAA / Stable | India Ratings AAA / Stable</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FY2024 financials (SA)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Revenue: INR 87,246 Cr | EBIT: INR 22,750 Cr | PAT: INR 19,697 Cr | Net cash &amp; investments: INR 37,190 Cr</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IRAC / SMA status</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Standard throughout. SMA-0/1/2: Nil. No overdue in 10 years. Vintage with Indian Bank: 20 years (est. 2005).</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Fee income (FY2024)</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18.4 Crore — BG commission INR 8.2 Cr | LC commission INR 3.1 Cr | Forex fees INR 5.6 Cr | Others INR 1.5 Cr</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Recommendation</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APPROVAL RECOMMENDED. IB-1 rated. Net cash position of INR 37,190 Cr far exceeds proposed exposure. Zero NPA/SMA history. Strategic relationship with strong fee income and deposit reciprocity.</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Note: All financial figures are on standalone India GAAP / Ind AS basis unless stated. Consolidated financials referenced where relevant. USD 1 = INR 83.25 (March 2025).</w:t>
      </w:r>
    </w:p>
    <w:p>
      <w:r>
        <w:br w:type="page"/>
      </w:r>
    </w:p>
    <w:p>
      <w:pPr>
        <w:pStyle w:val="Heading1"/>
        <w:spacing w:before="400" w:after="120"/>
      </w:pPr>
      <w:r>
        <w:rPr>
          <w:rFonts w:ascii="Arial" w:cs="Arial" w:eastAsia="Arial" w:hAnsi="Arial"/>
          <w:b/>
          <w:bCs/>
          <w:color w:val="1A3C6E"/>
          <w:sz w:val="36"/>
          <w:szCs w:val="36"/>
        </w:rPr>
        <w:t xml:space="preserve">2. Borrower Profile</w:t>
      </w:r>
    </w:p>
    <w:p>
      <w:pPr>
        <w:pBdr>
          <w:bottom w:val="single" w:color="2E5FA3" w:sz="6"/>
        </w:pBdr>
        <w:spacing w:before="80" w:after="80"/>
      </w:pPr>
      <w:r>
        <w:t xml:space="preserve"/>
      </w:r>
    </w:p>
    <w:p>
      <w:pPr>
        <w:pStyle w:val="Heading2"/>
        <w:spacing w:before="280" w:after="80"/>
      </w:pPr>
      <w:r>
        <w:rPr>
          <w:rFonts w:ascii="Arial" w:cs="Arial" w:eastAsia="Arial" w:hAnsi="Arial"/>
          <w:b/>
          <w:bCs/>
          <w:color w:val="2E5FA3"/>
          <w:sz w:val="28"/>
          <w:szCs w:val="28"/>
        </w:rPr>
        <w:t xml:space="preserve">2.1 Corporate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34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c>
          <w:tcPr>
            <w:tcW w:type="dxa" w:w="3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Source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Full legal name</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Infosys Limited</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MCA21 / Annual Report</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CIN</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L85110KA1981PLC013115</w:t>
            </w:r>
          </w:p>
        </w:tc>
        <w:tc>
          <w:tcPr>
            <w:tcW w:type="dxa" w:w="3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MCA21</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Date of incorporation</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02 July 1981</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Certificate of Incorporation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Registered office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Electronics City, Hosur Road, Bengaluru — 560 100, Karnataka</w:t>
            </w:r>
          </w:p>
        </w:tc>
        <w:tc>
          <w:tcPr>
            <w:tcW w:type="dxa" w:w="3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ROC Records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PAN</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AAACI7406E</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Income Tax</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GST (HO)</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29AAACI7406E1ZB</w:t>
            </w:r>
          </w:p>
        </w:tc>
        <w:tc>
          <w:tcPr>
            <w:tcW w:type="dxa" w:w="3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GSTIN Portal</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Statutory auditor</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Deloitte Haskins &amp; Sells LLP</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Annual Report FY2024</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Listed exchanges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BSE (500209) | NSE (INFY) | NYSE (INFY)</w:t>
            </w:r>
          </w:p>
        </w:tc>
        <w:tc>
          <w:tcPr>
            <w:tcW w:type="dxa" w:w="3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Exchange records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Market capitalisation</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6,12,000 Crore (approx. USD 73.5 Bn) as of 31 March 2025</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BSE/NSE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Employees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3,17,240 (as of December 2024)</w:t>
            </w:r>
          </w:p>
        </w:tc>
        <w:tc>
          <w:tcPr>
            <w:tcW w:type="dxa" w:w="3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Company MIS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Countries of operation</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56 countries across Americas, Europe, APAC, India</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Annual Report</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FY2024 revenue (consol.)</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USD 18.6 Billion (INR 1,54,670 Crore approximately)</w:t>
            </w:r>
          </w:p>
        </w:tc>
        <w:tc>
          <w:tcPr>
            <w:tcW w:type="dxa" w:w="3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Annual Report FY2024</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Auditor remark</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Unqualified opinion. No material weaknesses. Going concern: confirmed.</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20"/>
                <w:szCs w:val="20"/>
              </w:rPr>
              <w:t xml:space="preserve">Deloitte Audit Report FY2024</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2.2 Business Overview</w:t>
      </w:r>
    </w:p>
    <w:p>
      <w:pPr>
        <w:spacing w:before="60" w:after="60"/>
        <w:jc w:val="both"/>
      </w:pPr>
      <w:r>
        <w:rPr>
          <w:rFonts w:ascii="Arial" w:cs="Arial" w:eastAsia="Arial" w:hAnsi="Arial"/>
          <w:b w:val="false"/>
          <w:bCs w:val="false"/>
          <w:i w:val="false"/>
          <w:iCs w:val="false"/>
          <w:color w:val="000000"/>
          <w:sz w:val="22"/>
          <w:szCs w:val="22"/>
        </w:rPr>
        <w:t xml:space="preserve">Infosys Limited is a global leader in next-generation digital services and consulting. Founded in 1981 by N.R. Narayana Murthy and six co-founders with a seed capital of USD 250, Infosys has grown into a USD 18.6 billion enterprise with over 3,17,000 employees across 56 countries. The company operates across five verticals: Financial Services, Retail &amp; Consumer Business, Communication, Energy/Utilities, and Manufacturing.</w:t>
      </w:r>
    </w:p>
    <w:p>
      <w:pPr>
        <w:spacing w:before="60" w:after="60"/>
        <w:jc w:val="both"/>
      </w:pPr>
      <w:r>
        <w:rPr>
          <w:rFonts w:ascii="Arial" w:cs="Arial" w:eastAsia="Arial" w:hAnsi="Arial"/>
          <w:b w:val="false"/>
          <w:bCs w:val="false"/>
          <w:i w:val="false"/>
          <w:iCs w:val="false"/>
          <w:color w:val="000000"/>
          <w:sz w:val="22"/>
          <w:szCs w:val="22"/>
        </w:rPr>
        <w:t xml:space="preserve">Infosys offers services spanning IT consulting, application development &amp; maintenance (ADM), business process management (BPM), cloud &amp; infrastructure, data analytics, and ERP. Key proprietary platforms include Finacle (installed in 100+ banks across 50+ countries), Infosys Equinox (commerce), EdgeVerve (AI workflows), and Infosys Cobalt (cloud transformation). The company is investing heavily in its Infosys Topaz generative AI platform to reposition for the next wave of enterprise AI spend.</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2.3 Senior Management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200"/>
        <w:gridCol w:w="3160"/>
      </w:tblGrid>
      <w:tr>
        <w:tc>
          <w:tcPr>
            <w:tcW w:type="dxa" w:w="2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Name</w:t>
            </w:r>
          </w:p>
        </w:tc>
        <w:tc>
          <w:tcPr>
            <w:tcW w:type="dxa" w:w="2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Designation</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Experience</w:t>
            </w:r>
          </w:p>
        </w:tc>
        <w:tc>
          <w:tcPr>
            <w:tcW w:type="dxa" w:w="31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2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Nandan M. Nilekani</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Non-Executive Chairman</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43 yrs</w:t>
            </w:r>
          </w:p>
        </w:tc>
        <w:tc>
          <w:tcPr>
            <w:tcW w:type="dxa" w:w="3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Co-founder; former UIDAI Chairman</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Salil S. Parekh</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CEO &amp; Managing Director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 yrs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Appointed Jan 2018; re-appointed 2022</w:t>
            </w:r>
          </w:p>
        </w:tc>
      </w:tr>
      <w:tr>
        <w:tc>
          <w:tcPr>
            <w:tcW w:type="dxa" w:w="2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Nilanjan Roy</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Financial Officer</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 yrs</w:t>
            </w:r>
          </w:p>
        </w:tc>
        <w:tc>
          <w:tcPr>
            <w:tcW w:type="dxa" w:w="3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Joined Infosys 2019; ex-Bharti Airtel</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Inderpreet Sawhney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Legal Officer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 yrs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Oversees global legal &amp; compliance</w:t>
            </w:r>
          </w:p>
        </w:tc>
      </w:tr>
      <w:tr>
        <w:tc>
          <w:tcPr>
            <w:tcW w:type="dxa" w:w="2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Mohit Joshi</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President — BFSI Vertical</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 yrs</w:t>
            </w:r>
          </w:p>
        </w:tc>
        <w:tc>
          <w:tcPr>
            <w:tcW w:type="dxa" w:w="3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Drives BFSI revenue globally</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 Sundaram</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Independent Director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 yrs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Ex-CFO HUL; Audit Committee Chair</w:t>
            </w:r>
          </w:p>
        </w:tc>
      </w:tr>
      <w:tr>
        <w:tc>
          <w:tcPr>
            <w:tcW w:type="dxa" w:w="2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Chitra Nayak</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Independent Director</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30 yrs</w:t>
            </w:r>
          </w:p>
        </w:tc>
        <w:tc>
          <w:tcPr>
            <w:tcW w:type="dxa" w:w="3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Former Cisco executive</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2.4 Shareholding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3080"/>
      </w:tblGrid>
      <w:tr>
        <w:tc>
          <w:tcPr>
            <w:tcW w:type="dxa" w:w="4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Shareholder category</w:t>
            </w:r>
          </w:p>
        </w:tc>
        <w:tc>
          <w:tcPr>
            <w:tcW w:type="dxa" w:w="2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holding (Sep 2024)</w:t>
            </w:r>
          </w:p>
        </w:tc>
        <w:tc>
          <w:tcPr>
            <w:tcW w:type="dxa" w:w="3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4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Promoters (Nilekani, Murthy &amp; families, others)</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14.89%</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No pledge of shares reported</w:t>
            </w:r>
          </w:p>
        </w:tc>
      </w:tr>
      <w:tr>
        <w:tc>
          <w:tcPr>
            <w:tcW w:type="dxa" w:w="4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Portfolio Investors (FPIs)</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32.61%</w:t>
            </w:r>
          </w:p>
        </w:tc>
        <w:tc>
          <w:tcPr>
            <w:tcW w:type="dxa" w:w="3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BlackRock, Vanguard, LIC among top holders</w:t>
            </w:r>
          </w:p>
        </w:tc>
      </w:tr>
      <w:tr>
        <w:tc>
          <w:tcPr>
            <w:tcW w:type="dxa" w:w="4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Domestic Institutional Investors (DIIs)</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19.22%</w:t>
            </w:r>
          </w:p>
        </w:tc>
        <w:tc>
          <w:tcPr>
            <w:tcW w:type="dxa" w:w="3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LIC: 6.1%; Mutual Funds: 13.1%</w:t>
            </w:r>
          </w:p>
        </w:tc>
      </w:tr>
      <w:tr>
        <w:tc>
          <w:tcPr>
            <w:tcW w:type="dxa" w:w="4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Public / Retail shareholders</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33.28%</w:t>
            </w:r>
          </w:p>
        </w:tc>
        <w:tc>
          <w:tcPr>
            <w:tcW w:type="dxa" w:w="3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Broad-based; no single dominant block</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The shareholding pattern reflects a professionally managed, widely-held company. Promoter holding at 14.89% is among the lowest for a Nifty-50 constituent, reflecting progressive dilution since the 1993 IPO. No promoter shares are pledged. Institutional ownership (FPIs + DIIs) at 51.8% provides strong governance oversight.</w:t>
      </w:r>
    </w:p>
    <w:p>
      <w:pPr>
        <w:pStyle w:val="Heading2"/>
        <w:spacing w:before="280" w:after="80"/>
      </w:pPr>
      <w:r>
        <w:rPr>
          <w:rFonts w:ascii="Arial" w:cs="Arial" w:eastAsia="Arial" w:hAnsi="Arial"/>
          <w:b/>
          <w:bCs/>
          <w:color w:val="2E5FA3"/>
          <w:sz w:val="28"/>
          <w:szCs w:val="28"/>
        </w:rPr>
        <w:t xml:space="preserve">2.5 Group Structure &amp; Subsidiaries</w:t>
      </w:r>
    </w:p>
    <w:p>
      <w:pPr>
        <w:spacing w:before="60" w:after="60"/>
        <w:jc w:val="left"/>
      </w:pPr>
      <w:r>
        <w:rPr>
          <w:rFonts w:ascii="Arial" w:cs="Arial" w:eastAsia="Arial" w:hAnsi="Arial"/>
          <w:b w:val="false"/>
          <w:bCs w:val="false"/>
          <w:i w:val="false"/>
          <w:iCs w:val="false"/>
          <w:color w:val="000000"/>
          <w:sz w:val="22"/>
          <w:szCs w:val="22"/>
        </w:rPr>
        <w:t xml:space="preserve">Infosys operates through a lean structure. Key subsidiaries:</w:t>
      </w:r>
    </w:p>
    <w:p>
      <w:pPr>
        <w:pStyle w:val="ListParagraph"/>
        <w:numPr>
          <w:ilvl w:val="0"/>
          <w:numId w:val="2"/>
        </w:numPr>
        <w:spacing w:before="40" w:after="40"/>
      </w:pPr>
      <w:r>
        <w:rPr>
          <w:rFonts w:ascii="Arial" w:cs="Arial" w:eastAsia="Arial" w:hAnsi="Arial"/>
          <w:sz w:val="22"/>
          <w:szCs w:val="22"/>
        </w:rPr>
        <w:t xml:space="preserve">Infosys BPM Limited — Wholly-owned; BPM services globally; net worth INR 8,400 Cr; corporate guarantor for this facility.</w:t>
      </w:r>
    </w:p>
    <w:p>
      <w:pPr>
        <w:pStyle w:val="ListParagraph"/>
        <w:numPr>
          <w:ilvl w:val="0"/>
          <w:numId w:val="2"/>
        </w:numPr>
        <w:spacing w:before="40" w:after="40"/>
      </w:pPr>
      <w:r>
        <w:rPr>
          <w:rFonts w:ascii="Arial" w:cs="Arial" w:eastAsia="Arial" w:hAnsi="Arial"/>
          <w:sz w:val="22"/>
          <w:szCs w:val="22"/>
        </w:rPr>
        <w:t xml:space="preserve">EdgeVerve Systems Limited — Wholly-owned; AI/workflow products (Finacle, AssistEdge).</w:t>
      </w:r>
    </w:p>
    <w:p>
      <w:pPr>
        <w:pStyle w:val="ListParagraph"/>
        <w:numPr>
          <w:ilvl w:val="0"/>
          <w:numId w:val="2"/>
        </w:numPr>
        <w:spacing w:before="40" w:after="40"/>
      </w:pPr>
      <w:r>
        <w:rPr>
          <w:rFonts w:ascii="Arial" w:cs="Arial" w:eastAsia="Arial" w:hAnsi="Arial"/>
          <w:sz w:val="22"/>
          <w:szCs w:val="22"/>
        </w:rPr>
        <w:t xml:space="preserve">Infosys Compaz Pte. Ltd. — Wholly-owned; Singapore; APAC IT services.</w:t>
      </w:r>
    </w:p>
    <w:p>
      <w:pPr>
        <w:pStyle w:val="ListParagraph"/>
        <w:numPr>
          <w:ilvl w:val="0"/>
          <w:numId w:val="2"/>
        </w:numPr>
        <w:spacing w:before="40" w:after="40"/>
      </w:pPr>
      <w:r>
        <w:rPr>
          <w:rFonts w:ascii="Arial" w:cs="Arial" w:eastAsia="Arial" w:hAnsi="Arial"/>
          <w:sz w:val="22"/>
          <w:szCs w:val="22"/>
        </w:rPr>
        <w:t xml:space="preserve">Infosys Public Services Inc. — Wholly-owned; USA; public sector contracts.</w:t>
      </w:r>
    </w:p>
    <w:p>
      <w:pPr>
        <w:pStyle w:val="ListParagraph"/>
        <w:numPr>
          <w:ilvl w:val="0"/>
          <w:numId w:val="2"/>
        </w:numPr>
        <w:spacing w:before="40" w:after="40"/>
      </w:pPr>
      <w:r>
        <w:rPr>
          <w:rFonts w:ascii="Arial" w:cs="Arial" w:eastAsia="Arial" w:hAnsi="Arial"/>
          <w:sz w:val="22"/>
          <w:szCs w:val="22"/>
        </w:rPr>
        <w:t xml:space="preserve">Infosys Fluido GmbH &amp; Co. KG — Wholly-owned; Germany; Salesforce consulting.</w:t>
      </w:r>
    </w:p>
    <w:p>
      <w:r>
        <w:br w:type="page"/>
      </w:r>
    </w:p>
    <w:p>
      <w:pPr>
        <w:pStyle w:val="Heading1"/>
        <w:spacing w:before="400" w:after="120"/>
      </w:pPr>
      <w:r>
        <w:rPr>
          <w:rFonts w:ascii="Arial" w:cs="Arial" w:eastAsia="Arial" w:hAnsi="Arial"/>
          <w:b/>
          <w:bCs/>
          <w:color w:val="1A3C6E"/>
          <w:sz w:val="36"/>
          <w:szCs w:val="36"/>
        </w:rPr>
        <w:t xml:space="preserve">3. Industry &amp; Business Analysis</w:t>
      </w:r>
    </w:p>
    <w:p>
      <w:pPr>
        <w:pBdr>
          <w:bottom w:val="single" w:color="2E5FA3" w:sz="6"/>
        </w:pBdr>
        <w:spacing w:before="80" w:after="80"/>
      </w:pPr>
      <w:r>
        <w:t xml:space="preserve"/>
      </w:r>
    </w:p>
    <w:p>
      <w:pPr>
        <w:pStyle w:val="Heading2"/>
        <w:spacing w:before="280" w:after="80"/>
      </w:pPr>
      <w:r>
        <w:rPr>
          <w:rFonts w:ascii="Arial" w:cs="Arial" w:eastAsia="Arial" w:hAnsi="Arial"/>
          <w:b/>
          <w:bCs/>
          <w:color w:val="2E5FA3"/>
          <w:sz w:val="28"/>
          <w:szCs w:val="28"/>
        </w:rPr>
        <w:t xml:space="preserve">3.1 Indian IT Industry — Macro Context</w:t>
      </w:r>
    </w:p>
    <w:p>
      <w:pPr>
        <w:spacing w:before="60" w:after="60"/>
        <w:jc w:val="both"/>
      </w:pPr>
      <w:r>
        <w:rPr>
          <w:rFonts w:ascii="Arial" w:cs="Arial" w:eastAsia="Arial" w:hAnsi="Arial"/>
          <w:b w:val="false"/>
          <w:bCs w:val="false"/>
          <w:i w:val="false"/>
          <w:iCs w:val="false"/>
          <w:color w:val="000000"/>
          <w:sz w:val="22"/>
          <w:szCs w:val="22"/>
        </w:rPr>
        <w:t xml:space="preserve">The Indian IT-BPM sector remains one of the most resilient pillars of the Indian economy. NASSCOM estimates total industry revenues of USD 254 billion for FY2024 (exports: USD 199 billion), with India commanding a 55%+ share of global IT services sourcing. The sector employs approximately 5.4 million professionals directly and contributes ~9.5% to GDP. India has solidified its position as the world's largest technology services exporter, supported by an unmatched talent pipeline of 1.5 million STEM graduates annually.</w:t>
      </w:r>
    </w:p>
    <w:p>
      <w:pPr>
        <w:spacing w:before="60" w:after="60"/>
        <w:jc w:val="both"/>
      </w:pPr>
      <w:r>
        <w:rPr>
          <w:rFonts w:ascii="Arial" w:cs="Arial" w:eastAsia="Arial" w:hAnsi="Arial"/>
          <w:b w:val="false"/>
          <w:bCs w:val="false"/>
          <w:i w:val="false"/>
          <w:iCs w:val="false"/>
          <w:color w:val="000000"/>
          <w:sz w:val="22"/>
          <w:szCs w:val="22"/>
        </w:rPr>
        <w:t xml:space="preserve">Demand drivers for the next 3–5 years include: (a) generative AI integration across enterprise workflows — the single largest IT spend catalyst since cloud; (b) accelerating cloud migration to hyperscalers (AWS, Azure, Google); (c) cybersecurity modernisation driven by regulatory requirements (RBI cybersecurity framework, DORA in Europe, SEC rules in US); (d) core banking and insurance core system replacements; and (e) digital transformation in manufacturing (Industry 4.0) and energy (grid modernisation, EV ecosystem).</w:t>
      </w:r>
    </w:p>
    <w:p>
      <w:pPr>
        <w:spacing w:before="60" w:after="60"/>
        <w:jc w:val="both"/>
      </w:pPr>
      <w:r>
        <w:rPr>
          <w:rFonts w:ascii="Arial" w:cs="Arial" w:eastAsia="Arial" w:hAnsi="Arial"/>
          <w:b w:val="false"/>
          <w:bCs w:val="false"/>
          <w:i w:val="false"/>
          <w:iCs w:val="false"/>
          <w:color w:val="000000"/>
          <w:sz w:val="22"/>
          <w:szCs w:val="22"/>
        </w:rPr>
        <w:t xml:space="preserve">Near-term headwinds include: macroeconomic uncertainty in North America and Europe (60%+ of Indian IT revenue), US H-1B visa constraints raising onshore delivery costs, and AI-driven automation beginning to reduce headcount-intensive ADM work. However, the same AI wave is creating net-new demand for AI implementation, governance, and productisation services — which large-scale players like Infosys are best positioned to capture.</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3.2 Competitive Landscape</w:t>
      </w:r>
    </w:p>
    <w:p>
      <w:pPr>
        <w:spacing w:before="60" w:after="60"/>
        <w:jc w:val="both"/>
      </w:pPr>
      <w:r>
        <w:rPr>
          <w:rFonts w:ascii="Arial" w:cs="Arial" w:eastAsia="Arial" w:hAnsi="Arial"/>
          <w:b w:val="false"/>
          <w:bCs w:val="false"/>
          <w:i w:val="false"/>
          <w:iCs w:val="false"/>
          <w:color w:val="000000"/>
          <w:sz w:val="22"/>
          <w:szCs w:val="22"/>
        </w:rPr>
        <w:t xml:space="preserve">Infosys competes with TCS, Wipro, HCLTech, Tech Mahindra domestically and with Accenture, IBM Services, Cognizant, and Capgemini globally. Infosys holds the #2 position in India by IT services revenue (after TCS) and posted the fastest large-deal TCV growth among the Big-4 Indian IT firms in FY2024 (USD 4.2 Bn TCV). Key competitive differentiation: (a) Finacle's dominance in banking technology; (b) Infosys Cobalt as an integrated cloud transformation suite; (c) Infosys Topaz for generative AI; (d) best-in-class EBIT margins (26.1% in FY2024) sustaining investment capacity.</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3.3 Revenue Segmentation</w:t>
      </w:r>
    </w:p>
    <w:p>
      <w:pPr>
        <w:pStyle w:val="Heading3"/>
        <w:spacing w:before="200" w:after="60"/>
      </w:pPr>
      <w:r>
        <w:rPr>
          <w:rFonts w:ascii="Arial" w:cs="Arial" w:eastAsia="Arial" w:hAnsi="Arial"/>
          <w:b/>
          <w:bCs/>
          <w:color w:val="1A3C6E"/>
          <w:sz w:val="24"/>
          <w:szCs w:val="24"/>
        </w:rPr>
        <w:t xml:space="preserve">3.3.1 Vertical-wise revenue (FY2024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Vertical</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Revenue mix FY2024</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Growth YoY</w:t>
            </w:r>
          </w:p>
        </w:tc>
        <w:tc>
          <w:tcPr>
            <w:tcW w:type="dxa" w:w="33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driver / headwind</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Financial Services (BFSI)</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27.4%</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-1.2%</w:t>
            </w:r>
          </w:p>
        </w:tc>
        <w:tc>
          <w:tcPr>
            <w:tcW w:type="dxa" w:w="3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Global BFSI capex freeze; recovery expected FY2026</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Retail, Consumer &amp; Logistics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+3.1%</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E-commerce modernisation; supply chain digitalisation</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Communication</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11.8%</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-2.0%</w:t>
            </w:r>
          </w:p>
        </w:tc>
        <w:tc>
          <w:tcPr>
            <w:tcW w:type="dxa" w:w="3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Telecom capex cuts in US and Europe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Energy, Utilities &amp; Resources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+5.8%</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Energy transition; utilities digitalisation</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Manufacturing</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12.7%</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+7.2%</w:t>
            </w:r>
          </w:p>
        </w:tc>
        <w:tc>
          <w:tcPr>
            <w:tcW w:type="dxa" w:w="3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Industry 4.0; EV supply chain tech</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Hi-Tech</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+2.5%</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Semiconductor design; product engineering</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Others (Life Sciences, Healthcare)</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+4.0%</w:t>
            </w:r>
          </w:p>
        </w:tc>
        <w:tc>
          <w:tcPr>
            <w:tcW w:type="dxa" w:w="3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Regulatory compliance systems; digital health</w:t>
            </w:r>
          </w:p>
        </w:tc>
      </w:tr>
    </w:tbl>
    <w:p>
      <w:pPr>
        <w:spacing w:before="0" w:after="0"/>
      </w:pPr>
      <w:r>
        <w:rPr>
          <w:sz w:val="22"/>
          <w:szCs w:val="22"/>
        </w:rPr>
        <w:t xml:space="preserve"/>
      </w:r>
    </w:p>
    <w:p>
      <w:pPr>
        <w:pStyle w:val="Heading3"/>
        <w:spacing w:before="200" w:after="60"/>
      </w:pPr>
      <w:r>
        <w:rPr>
          <w:rFonts w:ascii="Arial" w:cs="Arial" w:eastAsia="Arial" w:hAnsi="Arial"/>
          <w:b/>
          <w:bCs/>
          <w:color w:val="1A3C6E"/>
          <w:sz w:val="24"/>
          <w:szCs w:val="24"/>
        </w:rPr>
        <w:t xml:space="preserve">3.3.2 Geography-wise revenue (FY2024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Geography</w:t>
            </w:r>
          </w:p>
        </w:tc>
        <w:tc>
          <w:tcPr>
            <w:tcW w:type="dxa" w:w="17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Revenue mix FY2024</w:t>
            </w:r>
          </w:p>
        </w:tc>
        <w:tc>
          <w:tcPr>
            <w:tcW w:type="dxa" w:w="4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Trend</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North America</w:t>
            </w:r>
          </w:p>
        </w:tc>
        <w:tc>
          <w:tcPr>
            <w:tcW w:type="dxa" w:w="1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60.2%</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Largest market; mild demand recovery expected H2 FY2025 on Fed rate cuts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Europe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26.5%</w:t>
            </w:r>
          </w:p>
        </w:tc>
        <w:tc>
          <w:tcPr>
            <w:tcW w:type="dxa" w:w="4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Steady; DACH and UK strong; regulatory compliance spend rising (DORA, AI Act)</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Rest of World (APAC, India, MEA)</w:t>
            </w:r>
          </w:p>
        </w:tc>
        <w:tc>
          <w:tcPr>
            <w:tcW w:type="dxa" w:w="1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13.3%</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Fastest-growing; India domestic IT and GCC build-out a tailwind</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3.4 SWOT Analysis</w:t>
      </w:r>
    </w:p>
    <w:p>
      <w:pPr>
        <w:pStyle w:val="Heading3"/>
        <w:spacing w:before="200" w:after="60"/>
      </w:pPr>
      <w:r>
        <w:rPr>
          <w:rFonts w:ascii="Arial" w:cs="Arial" w:eastAsia="Arial" w:hAnsi="Arial"/>
          <w:b/>
          <w:bCs/>
          <w:color w:val="1A3C6E"/>
          <w:sz w:val="24"/>
          <w:szCs w:val="24"/>
        </w:rPr>
        <w:t xml:space="preserve">Strengths</w:t>
      </w:r>
    </w:p>
    <w:p>
      <w:pPr>
        <w:pStyle w:val="ListParagraph"/>
        <w:numPr>
          <w:ilvl w:val="0"/>
          <w:numId w:val="2"/>
        </w:numPr>
        <w:spacing w:before="40" w:after="40"/>
      </w:pPr>
      <w:r>
        <w:rPr>
          <w:rFonts w:ascii="Arial" w:cs="Arial" w:eastAsia="Arial" w:hAnsi="Arial"/>
          <w:sz w:val="22"/>
          <w:szCs w:val="22"/>
        </w:rPr>
        <w:t xml:space="preserve">Strong brand and 40+ year delivery track record across 56 countries.</w:t>
      </w:r>
    </w:p>
    <w:p>
      <w:pPr>
        <w:pStyle w:val="ListParagraph"/>
        <w:numPr>
          <w:ilvl w:val="0"/>
          <w:numId w:val="2"/>
        </w:numPr>
        <w:spacing w:before="40" w:after="40"/>
      </w:pPr>
      <w:r>
        <w:rPr>
          <w:rFonts w:ascii="Arial" w:cs="Arial" w:eastAsia="Arial" w:hAnsi="Arial"/>
          <w:sz w:val="22"/>
          <w:szCs w:val="22"/>
        </w:rPr>
        <w:t xml:space="preserve">Best-in-class EBIT margins (26.1% FY2024) — highest among Wipro, HCLTech, Tech Mahindra.</w:t>
      </w:r>
    </w:p>
    <w:p>
      <w:pPr>
        <w:pStyle w:val="ListParagraph"/>
        <w:numPr>
          <w:ilvl w:val="0"/>
          <w:numId w:val="2"/>
        </w:numPr>
        <w:spacing w:before="40" w:after="40"/>
      </w:pPr>
      <w:r>
        <w:rPr>
          <w:rFonts w:ascii="Arial" w:cs="Arial" w:eastAsia="Arial" w:hAnsi="Arial"/>
          <w:sz w:val="22"/>
          <w:szCs w:val="22"/>
        </w:rPr>
        <w:t xml:space="preserve">USD 4.2 Bn large deal TCV in FY2024 — strong multi-year revenue visibility.</w:t>
      </w:r>
    </w:p>
    <w:p>
      <w:pPr>
        <w:pStyle w:val="ListParagraph"/>
        <w:numPr>
          <w:ilvl w:val="0"/>
          <w:numId w:val="2"/>
        </w:numPr>
        <w:spacing w:before="40" w:after="40"/>
      </w:pPr>
      <w:r>
        <w:rPr>
          <w:rFonts w:ascii="Arial" w:cs="Arial" w:eastAsia="Arial" w:hAnsi="Arial"/>
          <w:sz w:val="22"/>
          <w:szCs w:val="22"/>
        </w:rPr>
        <w:t xml:space="preserve">Finacle — market-leading core banking platform in 100+ banks across 50+ countries — high switching costs, recurring revenue.</w:t>
      </w:r>
    </w:p>
    <w:p>
      <w:pPr>
        <w:pStyle w:val="ListParagraph"/>
        <w:numPr>
          <w:ilvl w:val="0"/>
          <w:numId w:val="2"/>
        </w:numPr>
        <w:spacing w:before="40" w:after="40"/>
      </w:pPr>
      <w:r>
        <w:rPr>
          <w:rFonts w:ascii="Arial" w:cs="Arial" w:eastAsia="Arial" w:hAnsi="Arial"/>
          <w:sz w:val="22"/>
          <w:szCs w:val="22"/>
        </w:rPr>
        <w:t xml:space="preserve">Net cash company: INR 37,190 Cr net cash &amp; investments as of March 2024; zero long-term financial debt.</w:t>
      </w:r>
    </w:p>
    <w:p>
      <w:pPr>
        <w:pStyle w:val="ListParagraph"/>
        <w:numPr>
          <w:ilvl w:val="0"/>
          <w:numId w:val="2"/>
        </w:numPr>
        <w:spacing w:before="40" w:after="40"/>
      </w:pPr>
      <w:r>
        <w:rPr>
          <w:rFonts w:ascii="Arial" w:cs="Arial" w:eastAsia="Arial" w:hAnsi="Arial"/>
          <w:sz w:val="22"/>
          <w:szCs w:val="22"/>
        </w:rPr>
        <w:t xml:space="preserve">Strong ESG positioning: Carbon neutral since 2020; DJSI World Index; 50%+ renewable energy usage.</w:t>
      </w:r>
    </w:p>
    <w:p>
      <w:pPr>
        <w:pStyle w:val="ListParagraph"/>
        <w:numPr>
          <w:ilvl w:val="0"/>
          <w:numId w:val="2"/>
        </w:numPr>
        <w:spacing w:before="40" w:after="40"/>
      </w:pPr>
      <w:r>
        <w:rPr>
          <w:rFonts w:ascii="Arial" w:cs="Arial" w:eastAsia="Arial" w:hAnsi="Arial"/>
          <w:sz w:val="22"/>
          <w:szCs w:val="22"/>
        </w:rPr>
        <w:t xml:space="preserve">Infosys Topaz (GenAI platform) — first mover advantage among Indian IT peers in productised AI offerings.</w:t>
      </w:r>
    </w:p>
    <w:p>
      <w:pPr>
        <w:spacing w:before="0" w:after="0"/>
      </w:pPr>
      <w:r>
        <w:rPr>
          <w:sz w:val="22"/>
          <w:szCs w:val="22"/>
        </w:rPr>
        <w:t xml:space="preserve"/>
      </w:r>
    </w:p>
    <w:p>
      <w:pPr>
        <w:pStyle w:val="Heading3"/>
        <w:spacing w:before="200" w:after="60"/>
      </w:pPr>
      <w:r>
        <w:rPr>
          <w:rFonts w:ascii="Arial" w:cs="Arial" w:eastAsia="Arial" w:hAnsi="Arial"/>
          <w:b/>
          <w:bCs/>
          <w:color w:val="1A3C6E"/>
          <w:sz w:val="24"/>
          <w:szCs w:val="24"/>
        </w:rPr>
        <w:t xml:space="preserve">Weaknesses</w:t>
      </w:r>
    </w:p>
    <w:p>
      <w:pPr>
        <w:pStyle w:val="ListParagraph"/>
        <w:numPr>
          <w:ilvl w:val="0"/>
          <w:numId w:val="2"/>
        </w:numPr>
        <w:spacing w:before="40" w:after="40"/>
      </w:pPr>
      <w:r>
        <w:rPr>
          <w:rFonts w:ascii="Arial" w:cs="Arial" w:eastAsia="Arial" w:hAnsi="Arial"/>
          <w:sz w:val="22"/>
          <w:szCs w:val="22"/>
        </w:rPr>
        <w:t xml:space="preserve">Geographic concentration: 60.2% revenue from North America creates binary macro risk.</w:t>
      </w:r>
    </w:p>
    <w:p>
      <w:pPr>
        <w:pStyle w:val="ListParagraph"/>
        <w:numPr>
          <w:ilvl w:val="0"/>
          <w:numId w:val="2"/>
        </w:numPr>
        <w:spacing w:before="40" w:after="40"/>
      </w:pPr>
      <w:r>
        <w:rPr>
          <w:rFonts w:ascii="Arial" w:cs="Arial" w:eastAsia="Arial" w:hAnsi="Arial"/>
          <w:sz w:val="22"/>
          <w:szCs w:val="22"/>
        </w:rPr>
        <w:t xml:space="preserve">BFSI vertical (27%) exposed to prolonged global banking sector IT spend delays.</w:t>
      </w:r>
    </w:p>
    <w:p>
      <w:pPr>
        <w:pStyle w:val="ListParagraph"/>
        <w:numPr>
          <w:ilvl w:val="0"/>
          <w:numId w:val="2"/>
        </w:numPr>
        <w:spacing w:before="40" w:after="40"/>
      </w:pPr>
      <w:r>
        <w:rPr>
          <w:rFonts w:ascii="Arial" w:cs="Arial" w:eastAsia="Arial" w:hAnsi="Arial"/>
          <w:sz w:val="22"/>
          <w:szCs w:val="22"/>
        </w:rPr>
        <w:t xml:space="preserve">Services-led model (~95% of revenue): limited IP monetisation and pricing power versus product companies.</w:t>
      </w:r>
    </w:p>
    <w:p>
      <w:pPr>
        <w:pStyle w:val="ListParagraph"/>
        <w:numPr>
          <w:ilvl w:val="0"/>
          <w:numId w:val="2"/>
        </w:numPr>
        <w:spacing w:before="40" w:after="40"/>
      </w:pPr>
      <w:r>
        <w:rPr>
          <w:rFonts w:ascii="Arial" w:cs="Arial" w:eastAsia="Arial" w:hAnsi="Arial"/>
          <w:sz w:val="22"/>
          <w:szCs w:val="22"/>
        </w:rPr>
        <w:t xml:space="preserve">Mid-management attrition remains elevated at 12.7% LTM (FY2024), creating project continuity risk for clients.</w:t>
      </w:r>
    </w:p>
    <w:p>
      <w:pPr>
        <w:spacing w:before="0" w:after="0"/>
      </w:pPr>
      <w:r>
        <w:rPr>
          <w:sz w:val="22"/>
          <w:szCs w:val="22"/>
        </w:rPr>
        <w:t xml:space="preserve"/>
      </w:r>
    </w:p>
    <w:p>
      <w:pPr>
        <w:pStyle w:val="Heading3"/>
        <w:spacing w:before="200" w:after="60"/>
      </w:pPr>
      <w:r>
        <w:rPr>
          <w:rFonts w:ascii="Arial" w:cs="Arial" w:eastAsia="Arial" w:hAnsi="Arial"/>
          <w:b/>
          <w:bCs/>
          <w:color w:val="1A3C6E"/>
          <w:sz w:val="24"/>
          <w:szCs w:val="24"/>
        </w:rPr>
        <w:t xml:space="preserve">Opportunities</w:t>
      </w:r>
    </w:p>
    <w:p>
      <w:pPr>
        <w:pStyle w:val="ListParagraph"/>
        <w:numPr>
          <w:ilvl w:val="0"/>
          <w:numId w:val="2"/>
        </w:numPr>
        <w:spacing w:before="40" w:after="40"/>
      </w:pPr>
      <w:r>
        <w:rPr>
          <w:rFonts w:ascii="Arial" w:cs="Arial" w:eastAsia="Arial" w:hAnsi="Arial"/>
          <w:sz w:val="22"/>
          <w:szCs w:val="22"/>
        </w:rPr>
        <w:t xml:space="preserve">Generative AI implementation services — Infosys Topaz positions the company as a strategic AI partner for enterprises.</w:t>
      </w:r>
    </w:p>
    <w:p>
      <w:pPr>
        <w:pStyle w:val="ListParagraph"/>
        <w:numPr>
          <w:ilvl w:val="0"/>
          <w:numId w:val="2"/>
        </w:numPr>
        <w:spacing w:before="40" w:after="40"/>
      </w:pPr>
      <w:r>
        <w:rPr>
          <w:rFonts w:ascii="Arial" w:cs="Arial" w:eastAsia="Arial" w:hAnsi="Arial"/>
          <w:sz w:val="22"/>
          <w:szCs w:val="22"/>
        </w:rPr>
        <w:t xml:space="preserve">India domestic IT market — expected CAGR of 14% through FY2027; GCC (Global Capability Centre) buildout.</w:t>
      </w:r>
    </w:p>
    <w:p>
      <w:pPr>
        <w:pStyle w:val="ListParagraph"/>
        <w:numPr>
          <w:ilvl w:val="0"/>
          <w:numId w:val="2"/>
        </w:numPr>
        <w:spacing w:before="40" w:after="40"/>
      </w:pPr>
      <w:r>
        <w:rPr>
          <w:rFonts w:ascii="Arial" w:cs="Arial" w:eastAsia="Arial" w:hAnsi="Arial"/>
          <w:sz w:val="22"/>
          <w:szCs w:val="22"/>
        </w:rPr>
        <w:t xml:space="preserve">Core banking replacements in Europe and MENA — Finacle pipeline expanding as legacy systems approach end-of-life.</w:t>
      </w:r>
    </w:p>
    <w:p>
      <w:pPr>
        <w:pStyle w:val="ListParagraph"/>
        <w:numPr>
          <w:ilvl w:val="0"/>
          <w:numId w:val="2"/>
        </w:numPr>
        <w:spacing w:before="40" w:after="40"/>
      </w:pPr>
      <w:r>
        <w:rPr>
          <w:rFonts w:ascii="Arial" w:cs="Arial" w:eastAsia="Arial" w:hAnsi="Arial"/>
          <w:sz w:val="22"/>
          <w:szCs w:val="22"/>
        </w:rPr>
        <w:t xml:space="preserve">Regulatory compliance technology: DORA (EU), Basel IV, RBI IT governance frameworks driving specialised IT spend.</w:t>
      </w:r>
    </w:p>
    <w:p>
      <w:pPr>
        <w:pStyle w:val="ListParagraph"/>
        <w:numPr>
          <w:ilvl w:val="0"/>
          <w:numId w:val="2"/>
        </w:numPr>
        <w:spacing w:before="40" w:after="40"/>
      </w:pPr>
      <w:r>
        <w:rPr>
          <w:rFonts w:ascii="Arial" w:cs="Arial" w:eastAsia="Arial" w:hAnsi="Arial"/>
          <w:sz w:val="22"/>
          <w:szCs w:val="22"/>
        </w:rPr>
        <w:t xml:space="preserve">Selective acquisitions in niche capability areas — cybersecurity, data engineering, edge computing.</w:t>
      </w:r>
    </w:p>
    <w:p>
      <w:pPr>
        <w:spacing w:before="0" w:after="0"/>
      </w:pPr>
      <w:r>
        <w:rPr>
          <w:sz w:val="22"/>
          <w:szCs w:val="22"/>
        </w:rPr>
        <w:t xml:space="preserve"/>
      </w:r>
    </w:p>
    <w:p>
      <w:pPr>
        <w:pStyle w:val="Heading3"/>
        <w:spacing w:before="200" w:after="60"/>
      </w:pPr>
      <w:r>
        <w:rPr>
          <w:rFonts w:ascii="Arial" w:cs="Arial" w:eastAsia="Arial" w:hAnsi="Arial"/>
          <w:b/>
          <w:bCs/>
          <w:color w:val="1A3C6E"/>
          <w:sz w:val="24"/>
          <w:szCs w:val="24"/>
        </w:rPr>
        <w:t xml:space="preserve">Threats</w:t>
      </w:r>
    </w:p>
    <w:p>
      <w:pPr>
        <w:pStyle w:val="ListParagraph"/>
        <w:numPr>
          <w:ilvl w:val="0"/>
          <w:numId w:val="2"/>
        </w:numPr>
        <w:spacing w:before="40" w:after="40"/>
      </w:pPr>
      <w:r>
        <w:rPr>
          <w:rFonts w:ascii="Arial" w:cs="Arial" w:eastAsia="Arial" w:hAnsi="Arial"/>
          <w:sz w:val="22"/>
          <w:szCs w:val="22"/>
        </w:rPr>
        <w:t xml:space="preserve">Macroeconomic slowdown in US/Europe leading to IT budget deferrals — already visible in BFSI and communication verticals.</w:t>
      </w:r>
    </w:p>
    <w:p>
      <w:pPr>
        <w:pStyle w:val="ListParagraph"/>
        <w:numPr>
          <w:ilvl w:val="0"/>
          <w:numId w:val="2"/>
        </w:numPr>
        <w:spacing w:before="40" w:after="40"/>
      </w:pPr>
      <w:r>
        <w:rPr>
          <w:rFonts w:ascii="Arial" w:cs="Arial" w:eastAsia="Arial" w:hAnsi="Arial"/>
          <w:sz w:val="22"/>
          <w:szCs w:val="22"/>
        </w:rPr>
        <w:t xml:space="preserve">US immigration policy changes (H-1B) raising onshore delivery costs by 15–20% for US-centric projects.</w:t>
      </w:r>
    </w:p>
    <w:p>
      <w:pPr>
        <w:pStyle w:val="ListParagraph"/>
        <w:numPr>
          <w:ilvl w:val="0"/>
          <w:numId w:val="2"/>
        </w:numPr>
        <w:spacing w:before="40" w:after="40"/>
      </w:pPr>
      <w:r>
        <w:rPr>
          <w:rFonts w:ascii="Arial" w:cs="Arial" w:eastAsia="Arial" w:hAnsi="Arial"/>
          <w:sz w:val="22"/>
          <w:szCs w:val="22"/>
        </w:rPr>
        <w:t xml:space="preserve">AI-driven automation displacing headcount in ADM and testing — structural headwind for labour-arbitrage model.</w:t>
      </w:r>
    </w:p>
    <w:p>
      <w:pPr>
        <w:pStyle w:val="ListParagraph"/>
        <w:numPr>
          <w:ilvl w:val="0"/>
          <w:numId w:val="2"/>
        </w:numPr>
        <w:spacing w:before="40" w:after="40"/>
      </w:pPr>
      <w:r>
        <w:rPr>
          <w:rFonts w:ascii="Arial" w:cs="Arial" w:eastAsia="Arial" w:hAnsi="Arial"/>
          <w:sz w:val="22"/>
          <w:szCs w:val="22"/>
        </w:rPr>
        <w:t xml:space="preserve">Intensified competition from Accenture and Capgemini at the high end of transformation consulting mandates.</w:t>
      </w:r>
    </w:p>
    <w:p>
      <w:pPr>
        <w:pStyle w:val="ListParagraph"/>
        <w:numPr>
          <w:ilvl w:val="0"/>
          <w:numId w:val="2"/>
        </w:numPr>
        <w:spacing w:before="40" w:after="40"/>
      </w:pPr>
      <w:r>
        <w:rPr>
          <w:rFonts w:ascii="Arial" w:cs="Arial" w:eastAsia="Arial" w:hAnsi="Arial"/>
          <w:sz w:val="22"/>
          <w:szCs w:val="22"/>
        </w:rPr>
        <w:t xml:space="preserve">USD/INR appreciation risk: every 1% INR appreciation reduces USD revenue realisation by ~0.6% in INR terms.</w:t>
      </w:r>
    </w:p>
    <w:p>
      <w:r>
        <w:br w:type="page"/>
      </w:r>
    </w:p>
    <w:p>
      <w:pPr>
        <w:pStyle w:val="Heading1"/>
        <w:spacing w:before="400" w:after="120"/>
      </w:pPr>
      <w:r>
        <w:rPr>
          <w:rFonts w:ascii="Arial" w:cs="Arial" w:eastAsia="Arial" w:hAnsi="Arial"/>
          <w:b/>
          <w:bCs/>
          <w:color w:val="1A3C6E"/>
          <w:sz w:val="36"/>
          <w:szCs w:val="36"/>
        </w:rPr>
        <w:t xml:space="preserve">4. Financial Analysis</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All financial statements are based on standalone India GAAP / Ind AS audited accounts certified by Deloitte Haskins &amp; Sells LLP. All figures in INR Crore unless stated. Consolidated financials are referenced where relevant for context.</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4.1 Profit &amp; Loss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c>
          <w:tcPr>
            <w:tcW w:type="dxa" w:w="3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P&amp;L — Standalone (INR Crore)</w:t>
            </w:r>
          </w:p>
        </w:tc>
        <w:tc>
          <w:tcPr>
            <w:tcW w:type="dxa" w:w="149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 (A)</w:t>
            </w:r>
          </w:p>
        </w:tc>
        <w:tc>
          <w:tcPr>
            <w:tcW w:type="dxa" w:w="149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 (A)</w:t>
            </w:r>
          </w:p>
        </w:tc>
        <w:tc>
          <w:tcPr>
            <w:tcW w:type="dxa" w:w="149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 (A)</w:t>
            </w:r>
          </w:p>
        </w:tc>
        <w:tc>
          <w:tcPr>
            <w:tcW w:type="dxa" w:w="149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FY2025E</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Net Revenue (INR Cr)</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71,943</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80,619</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87,246</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95,200</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Revenue growth YoY (%)</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16.6%</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12.1%</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8.2%</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9.1%</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Cost of revenues</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47,390</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53,412</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57,892</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62,800</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Gross profit</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24,553</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27,207</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29,354</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32,400</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Gross margin (%)</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34.1%</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33.7%</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33.6%</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34.0%</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SG&amp;A expenses</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5,492</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6,120</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6,604</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7,100</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EBIT</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19,061</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21,087</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22,750</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25,300</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EBIT margin (%)</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26.5%</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26.2%</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26.1%</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26.6%</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Other income (net)</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2,843</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3,180</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3,512</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3,800</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Profit before tax</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21,904</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24,267</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26,262</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29,100</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Tax expense</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5,476</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6,067</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6,565</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7,275</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Profit after tax (PAT)</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16,428</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18,200</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19,697</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21,825</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PAT margin (%)</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22.8%</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22.6%</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22.6%</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22.9%</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EPS (INR)</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38.5</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44.0</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47.4</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52.8</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Dividend per share (INR)</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34.0</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38.0</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42.0</w:t>
            </w:r>
          </w:p>
        </w:tc>
        <w:tc>
          <w:tcPr>
            <w:tcW w:type="dxa" w:w="149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46.0</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Dividend payout (%)</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88%</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86%</w:t>
            </w:r>
          </w:p>
        </w:tc>
        <w:tc>
          <w:tcPr>
            <w:tcW w:type="dxa" w:w="149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89%</w:t>
            </w:r>
          </w:p>
        </w:tc>
        <w:tc>
          <w:tcPr>
            <w:tcW w:type="dxa" w:w="149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87%</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Revenue growth moderated from 16.6% in FY2022 to 8.2% in FY2024, consistent with sector-wide softness driven by macroeconomic headwinds in North America and Europe. Despite volume pressure, EBIT margins have been remarkably stable at 26.1–26.5%, reflecting: (a) favourable onsite-offshore revenue mix optimisation; (b) pyramid restructuring (higher proportion of fresher hiring); (c) reduced subcontracting costs; and (d) operating leverage on SG&amp;A. FY2025E projects a recovery to 9.1% growth, supported by the ramp-up of USD 4.2 Bn TCV in large deals won in FY2024.</w:t>
      </w:r>
    </w:p>
    <w:p>
      <w:pPr>
        <w:spacing w:before="60" w:after="60"/>
        <w:jc w:val="both"/>
      </w:pPr>
      <w:r>
        <w:rPr>
          <w:rFonts w:ascii="Arial" w:cs="Arial" w:eastAsia="Arial" w:hAnsi="Arial"/>
          <w:b w:val="false"/>
          <w:bCs w:val="false"/>
          <w:i w:val="false"/>
          <w:iCs w:val="false"/>
          <w:color w:val="000000"/>
          <w:sz w:val="22"/>
          <w:szCs w:val="22"/>
        </w:rPr>
        <w:t xml:space="preserve">The dividend payout ratio has consistently exceeded 85% — among the highest in the sector — demonstrating management's confidence in free cash flow sustainability and commitment to shareholder returns. This high payout ratio in conjunction with periodic buybacks (INR 9,300 Cr in FY2022, INR 9,500 Cr in FY2024) reflects a disciplined capital allocation framework.</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4.2 Balance Sheet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Balance Sheet — Standalone (INR Cr)</w:t>
            </w:r>
          </w:p>
        </w:tc>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w:t>
            </w:r>
          </w:p>
        </w:tc>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w:t>
            </w:r>
          </w:p>
        </w:tc>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w:t>
            </w:r>
          </w:p>
        </w:tc>
      </w:tr>
      <w:tr>
        <w:tc>
          <w:tcPr>
            <w:tcW w:type="dxa" w:w="39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ASSETS</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Fixed assets (net block)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14,320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15,480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16,200</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Right-of-use assets</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5,320</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5,080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4,860</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Long-term investments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21,600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23,400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25,800</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&amp; cash equivalents</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8,412</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9,780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10,840</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Trade receivables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16,480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17,930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19,200</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Unbilled revenues</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5,420</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5,980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6,410</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Other current assets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4,287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4,688</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5,114</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Total assets</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75,839</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82,338</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88,224</w:t>
            </w:r>
          </w:p>
        </w:tc>
      </w:tr>
      <w:tr>
        <w:tc>
          <w:tcPr>
            <w:tcW w:type="dxa" w:w="39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LIABILITIES &amp; EQUITY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Share capital</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208</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208</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208</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Reserves &amp; surplus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63,410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68,540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72,816</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Total shareholders equity</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63,618</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68,748</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73,024</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Long-term borrowings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NIL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NIL</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NIL</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Short-term borrowings (CC incl.)</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980</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1,200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1,450</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Trade payables &amp; other curr. liabilities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11,241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12,390</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13,750</w:t>
            </w:r>
          </w:p>
        </w:tc>
      </w:tr>
      <w:tr>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Total liabilities</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75,839</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82,338</w:t>
            </w:r>
          </w:p>
        </w:tc>
        <w:tc>
          <w:tcPr>
            <w:tcW w:type="dxa" w:w="18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88,224</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Infosys operates with virtually zero financial debt at the standalone level. Long-term borrowings are Nil; short-term borrowings (primarily working capital credit lines including the IB CC facility) stood at INR 1,450 Cr as of March 2024 — representing 0.04x net worth. The net cash and investment position of INR 37,190 Cr (comprising fixed deposits, liquid mutual funds, and government securities) far exceeds the proposed credit exposure of INR 2,500 Cr by a factor of approximately 14.9x.</w:t>
      </w:r>
    </w:p>
    <w:p>
      <w:pPr>
        <w:spacing w:before="60" w:after="60"/>
        <w:jc w:val="both"/>
      </w:pPr>
      <w:r>
        <w:rPr>
          <w:rFonts w:ascii="Arial" w:cs="Arial" w:eastAsia="Arial" w:hAnsi="Arial"/>
          <w:b w:val="false"/>
          <w:bCs w:val="false"/>
          <w:i w:val="false"/>
          <w:iCs w:val="false"/>
          <w:color w:val="000000"/>
          <w:sz w:val="22"/>
          <w:szCs w:val="22"/>
        </w:rPr>
        <w:t xml:space="preserve">Trade receivables of INR 19,200 Cr represent approximately 80 days of revenue — well within sector norms for global IT delivery contracts with 30–90 day payment terms. Unbilled revenues of INR 6,410 Cr represent work-in-progress on time-and-material contracts where billing has not yet occurred — a normal feature of large multi-year transformation engagements.</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4.3 Cash Flow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c>
          <w:tcPr>
            <w:tcW w:type="dxa" w:w="4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Cash Flow (INR Crore) — Standalone</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w:t>
            </w:r>
          </w:p>
        </w:tc>
      </w:tr>
      <w:tr>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flow from operations (CFO)</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17,900</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20,100</w:t>
            </w:r>
          </w:p>
        </w:tc>
        <w:tc>
          <w:tcPr>
            <w:tcW w:type="dxa" w:w="16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22,800</w:t>
            </w:r>
          </w:p>
        </w:tc>
      </w:tr>
      <w:tr>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flow from investing (CFI)</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(14,200)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(12,800)</w:t>
            </w:r>
          </w:p>
        </w:tc>
        <w:tc>
          <w:tcPr>
            <w:tcW w:type="dxa" w:w="16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(11,900)</w:t>
            </w:r>
          </w:p>
        </w:tc>
      </w:tr>
      <w:tr>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flow from financing (CFF)</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(4,400)</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(8,100)</w:t>
            </w:r>
          </w:p>
        </w:tc>
        <w:tc>
          <w:tcPr>
            <w:tcW w:type="dxa" w:w="16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(10,240)</w:t>
            </w:r>
          </w:p>
        </w:tc>
      </w:tr>
      <w:tr>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Net change in cash</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(700)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(800)</w:t>
            </w:r>
          </w:p>
        </w:tc>
        <w:tc>
          <w:tcPr>
            <w:tcW w:type="dxa" w:w="16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660</w:t>
            </w:r>
          </w:p>
        </w:tc>
      </w:tr>
      <w:tr>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Closing cash &amp; equivalents</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8,412</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9,780</w:t>
            </w:r>
          </w:p>
        </w:tc>
        <w:tc>
          <w:tcPr>
            <w:tcW w:type="dxa" w:w="16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10,840</w:t>
            </w:r>
          </w:p>
        </w:tc>
      </w:tr>
      <w:tr>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Capex (incl. ROU additions)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3,800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3,200</w:t>
            </w:r>
          </w:p>
        </w:tc>
        <w:tc>
          <w:tcPr>
            <w:tcW w:type="dxa" w:w="16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3,400</w:t>
            </w:r>
          </w:p>
        </w:tc>
      </w:tr>
      <w:tr>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Free cash flow (CFO minus Capex)</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14,100</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16,900</w:t>
            </w:r>
          </w:p>
        </w:tc>
        <w:tc>
          <w:tcPr>
            <w:tcW w:type="dxa" w:w="16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19,400</w:t>
            </w:r>
          </w:p>
        </w:tc>
      </w:tr>
      <w:tr>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FCF as % of PAT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85.8%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92.9%</w:t>
            </w:r>
          </w:p>
        </w:tc>
        <w:tc>
          <w:tcPr>
            <w:tcW w:type="dxa" w:w="16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98.5%</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Free cash flow (FCF) conversion has improved from 85.8% in FY2022 to 98.5% in FY2024, reflecting tighter working capital management (DSO improvement from 84 to 80 days) and controlled capex despite campus expansion. CFO of INR 22,800 Cr in FY2024 comfortably covers: (a) dividend payouts of INR 17,500 Cr; (b) buybacks of INR 9,500 Cr; and (c) net investments of INR 2,400 Cr — with residual cash retained to strengthen the balance sheet. The investing outflows represent net purchases of liquid investments (fixed deposits, mutual funds) rather than fixed asset acquisition.</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4.4 Key Financial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360"/>
        <w:gridCol w:w="1600"/>
        <w:gridCol w:w="120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Ratio</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w:t>
            </w:r>
          </w:p>
        </w:tc>
        <w:tc>
          <w:tcPr>
            <w:tcW w:type="dxa" w:w="13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IB Benchmark</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Debt-equity ratio (x)</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0.02</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0.02</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0.02</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&lt; 2.0x</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Current ratio (x)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2.38</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2.45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&gt; 1.33x</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Quick ratio (x)</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2.18</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2.14</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2.21</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&gt; 1.00x</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Interest coverage (EBIT/Interest)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92.4x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104.6x</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115.2x</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&gt; 3.0x</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Debtors turnover (days)</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84</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81</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80</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&lt; 120 days</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 on equity (%)</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26.5%</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27.0%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&gt; 15%</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 on capital employed (%)</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35.2%</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36.4%</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37.1%</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&gt; 20%</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Net cash position (INR Cr)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29,032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33,160</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37,190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&gt; 0</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Free cash flow (INR Cr)</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14,280</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16,500</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18,300</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&gt; 0</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outside liabilities / TNW (x)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0.19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0.20</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0.21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&lt; 2.0x</w:t>
            </w:r>
          </w:p>
        </w:tc>
        <w:tc>
          <w:tcPr>
            <w:tcW w:type="dxa" w:w="12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PASS</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All 10 ratios clear IB's internal benchmark thresholds by wide margins. Interest coverage of 115.2x reflects the negligible debt position. Debtors cycle of 80 days is within acceptable range for global IT delivery contracts.</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4.5 DuPont Decomposition — Return on Equity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360"/>
        <w:gridCol w:w="280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DuPont Parameter</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w:t>
            </w:r>
          </w:p>
        </w:tc>
        <w:tc>
          <w:tcPr>
            <w:tcW w:type="dxa" w:w="13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w:t>
            </w:r>
          </w:p>
        </w:tc>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Commentary</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Net profit margin (PAT/Revenue)</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22.8%</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22.6%</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22.6%</w:t>
            </w:r>
          </w:p>
        </w:tc>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cost discipline maintained</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Asset turnover (Revenue/Total assets)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0.95x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0.98x</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0.99x</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Improving; asset-light model</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Financial leverage (Assets/Equity)</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1.19x</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1.20x</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1.21x</w:t>
            </w:r>
          </w:p>
        </w:tc>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Near 1.0x; virtually no financial debt</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 on equity (RoE) = product of above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26.5%</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27.0%</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Consistently best-in-class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ROCE (EBIT / Capital employed)</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35.2%</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36.4%</w:t>
            </w:r>
          </w:p>
        </w:tc>
        <w:tc>
          <w:tcPr>
            <w:tcW w:type="dxa" w:w="13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37.1%</w:t>
            </w:r>
          </w:p>
        </w:tc>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Superior capital efficiency</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The DuPont analysis confirms that Infosys's superior RoE of 27.0% is driven almost entirely by operating efficiency (high net margin of 22.6%) and improving asset productivity, with minimal contribution from financial leverage. This is the hallmark of a financially strong, conservatively managed corporate — where returns are earned through business excellence rather than balance sheet engineering.</w:t>
      </w:r>
    </w:p>
    <w:p>
      <w:r>
        <w:br w:type="page"/>
      </w:r>
    </w:p>
    <w:p>
      <w:pPr>
        <w:pStyle w:val="Heading1"/>
        <w:spacing w:before="400" w:after="120"/>
      </w:pPr>
      <w:r>
        <w:rPr>
          <w:rFonts w:ascii="Arial" w:cs="Arial" w:eastAsia="Arial" w:hAnsi="Arial"/>
          <w:b/>
          <w:bCs/>
          <w:color w:val="1A3C6E"/>
          <w:sz w:val="36"/>
          <w:szCs w:val="36"/>
        </w:rPr>
        <w:t xml:space="preserve">5. Rationale for Credit — Product-wise Justification</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This section articulates the business rationale for each credit facility proposed, the appropriateness of the product structure, and the competitive positioning of pricing relative to the market. The Credit Committee is requested to consider this section alongside Section 9 (Credit Facility Details) for a complete picture of the facility structure.</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5.1 Facility-wise Business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Facility</w:t>
            </w:r>
          </w:p>
        </w:tc>
        <w:tc>
          <w:tcPr>
            <w:tcW w:type="dxa" w:w="38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Business rationale &amp; justification</w:t>
            </w:r>
          </w:p>
        </w:tc>
        <w:tc>
          <w:tcPr>
            <w:tcW w:type="dxa" w:w="34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Product choice rationale &amp; pricing</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Cash Credit (CC) — INR 800 Cr</w:t>
            </w:r>
          </w:p>
        </w:tc>
        <w:tc>
          <w:tcPr>
            <w:tcW w:type="dxa" w:w="3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Infosys's standalone payroll expense runs at approximately INR 4,800 Cr per month across its Indian entity. Vendor payments for hardware, software licences, and facility management add INR 600–800 Cr per month. The CC facility provides a revolving line to bridge the timing mismatch between cash outflows (payroll on 25th of each month; vendor payments on 30-day terms) and cash inflows (client payments on 60–90 day credit terms from invoice date). The enhancement from INR 600 Cr to INR 800 Cr is warranted by a 14% increase in Indian headcount over the sanction period and inflation-linked cost increases.</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CC is the appropriate instrument as inflows are regular and recurring, supporting a revolving rather than term structure. WCDL is preferred for discrete, larger quantum drawals with fixed maturity.</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WCDL — INR 600 Cr</w:t>
            </w:r>
          </w:p>
        </w:tc>
        <w:tc>
          <w:tcPr>
            <w:tcW w:type="dxa" w:w="3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Working Capital Demand Loans are used by Infosys for short-term liquidity management — specifically to fund advance payments on multi-year software licences (e.g., Microsoft, Oracle EA agreements typically billed annually in advance) and hardware procurement for large infrastructure projects. WCDL tenors of 90–180 days align with the asset monetisation cycle. Enhancement from INR 400 Cr reflects a 45% increase in enterprise software spend driven by cloud migration projects.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WCDL pricing at MCLR + 0.10% is appropriate. Fixed rate for tenor eliminates interest rate risk on the drawdown. More cost-effective than commercial paper for sub-180-day requirements given IB's competitive pricing.</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Term Loan — INR 400 Cr</w:t>
            </w:r>
          </w:p>
        </w:tc>
        <w:tc>
          <w:tcPr>
            <w:tcW w:type="dxa" w:w="3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The term loan funds Infosys's Tower-7 construction at Electronic City campus, Bengaluru (total project cost: INR 950 Cr; IB TL: INR 400 Cr; internal accruals: INR 550 Cr). Tower-7 will house 8,000 additional employees supporting domestic delivery operations. Project completion timeline: 36 months. The TL provides an annuity-style deployment of long-term funds appropriate for capital asset creation — avoiding drawdown of liquid investments at sub-optimal yields.</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TL at MCLR flat (8.65%) represents a 0.10% concession versus CC pricing, justified by: (a) asset-backed nature (charge on fixed assets); (b) milestone-linked disbursement reducing drawdown risk; (c) captive revenue from construction contracts to IB-empanelled vendors. DSCR of 8.2x in base case provides exceptional repayment comfort.</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Bank Guarantee (BG) — INR 500 Cr</w:t>
            </w:r>
          </w:p>
        </w:tc>
        <w:tc>
          <w:tcPr>
            <w:tcW w:type="dxa" w:w="3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Infosys's BG portfolio covers: (a) performance guarantees to government clients (BSNL INR 120 Cr, Railways IT project INR 85 Cr); (b) advance payment guarantees to overseas clients (EUR 18 Mn equivalent for a European telecom engagement); (c) bid bonds for public sector tenders (UIDAI, MeitY); (d) earnest money deposits for government project bids. Enhancement from INR 400 Cr to INR 500 Cr driven by increase in government sector business (from 8% to 12% of revenue over the sanction period).</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BGs are non-fund-based — zero cash outflow to IB unless devolvement. Historical devolvement rate: Nil over 20-year relationship. Commission income of INR 8.2 Cr p.a. is pure fee revenue with minimal capital consumption.</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Letter of Credit (LC) — INR 200 Cr (retained)</w:t>
            </w:r>
          </w:p>
        </w:tc>
        <w:tc>
          <w:tcPr>
            <w:tcW w:type="dxa" w:w="3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LCs fund imports of specialised hardware (servers, networking equipment, proprietary development kits) for large infrastructure projects. Sight and usance LCs (up to 180 days) are issued to overseas OEM vendors (Dell, HPE, Cisco). The limit is retained at INR 200 Cr — no enhancement required as hardware import volumes have stabilised with the shift to cloud-native architectures.</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LC commission at 0.20% per quarter is market-competitive. All LCs are backed by confirmed purchase orders; no speculative issuance.</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5.2 Pricing Benchmark vs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760"/>
        <w:gridCol w:w="2200"/>
      </w:tblGrid>
      <w:tr>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Facility</w:t>
            </w:r>
          </w:p>
        </w:tc>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IB pricing</w:t>
            </w:r>
          </w:p>
        </w:tc>
        <w:tc>
          <w:tcPr>
            <w:tcW w:type="dxa" w:w="37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Market / peer benchmark</w:t>
            </w:r>
          </w:p>
        </w:tc>
        <w:tc>
          <w:tcPr>
            <w:tcW w:type="dxa" w:w="2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1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CC / WCDL</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MCLR + 0.10% = 8.75%</w:t>
            </w:r>
          </w:p>
        </w:tc>
        <w:tc>
          <w:tcPr>
            <w:tcW w:type="dxa" w:w="3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TCS: MCLR flat | Wipro: MCLR + 0.15% | HCLTech: MCLR + 0.10%</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Competitive; reflects IB-1 rating and 20-yr relationship</w:t>
            </w:r>
          </w:p>
        </w:tc>
      </w:tr>
      <w:tr>
        <w:tc>
          <w:tcPr>
            <w:tcW w:type="dxa" w:w="1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Term Loan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MCLR flat = 8.65%</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Market range for AAA TL: MCLR flat to MCLR + 0.25%</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Below market; justified by asset-backed nature and captive income</w:t>
            </w:r>
          </w:p>
        </w:tc>
      </w:tr>
      <w:tr>
        <w:tc>
          <w:tcPr>
            <w:tcW w:type="dxa" w:w="1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BG commission</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0.25% p.a. (performance) / 0.40% (financial)</w:t>
            </w:r>
          </w:p>
        </w:tc>
        <w:tc>
          <w:tcPr>
            <w:tcW w:type="dxa" w:w="3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Market: 0.25–0.50% p.a.</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At lower end; reflects nil-devolvement history</w:t>
            </w:r>
          </w:p>
        </w:tc>
      </w:tr>
      <w:tr>
        <w:tc>
          <w:tcPr>
            <w:tcW w:type="dxa" w:w="1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LC commission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0.20% per quarter</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Market: 0.20–0.30% per quarter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Competitive</w:t>
            </w:r>
          </w:p>
        </w:tc>
      </w:tr>
      <w:tr>
        <w:tc>
          <w:tcPr>
            <w:tcW w:type="dxa" w:w="1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Processing fee</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INR 1.00 Cr (one-time)</w:t>
            </w:r>
          </w:p>
        </w:tc>
        <w:tc>
          <w:tcPr>
            <w:tcW w:type="dxa" w:w="3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Standard for &gt;INR 2,000 Cr exposure</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Non-refundable; payable at sanction</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The overall pricing structure is competitive with market rates and below the IB internal floor for IB-1 rated borrowers with &gt;10 years relationship tenure. The concession is commercially justified by the reciprocal business: INR 18.4 Cr annual fee income, INR 620 Cr average CASA balance, INR 520 Mn forex throughput, and 42,000 employee salary accounts. Effective yield-on-relationship (total income as % of average credit exposure) is estimated at 0.92% p.a. — significantly above IB's breakeven of 0.65%.</w:t>
      </w:r>
    </w:p>
    <w:p>
      <w:r>
        <w:br w:type="page"/>
      </w:r>
    </w:p>
    <w:p>
      <w:pPr>
        <w:pStyle w:val="Heading1"/>
        <w:spacing w:before="400" w:after="120"/>
      </w:pPr>
      <w:r>
        <w:rPr>
          <w:rFonts w:ascii="Arial" w:cs="Arial" w:eastAsia="Arial" w:hAnsi="Arial"/>
          <w:b/>
          <w:bCs/>
          <w:color w:val="1A3C6E"/>
          <w:sz w:val="36"/>
          <w:szCs w:val="36"/>
        </w:rPr>
        <w:t xml:space="preserve">6. End-Use Monitoring Framework</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The following framework governs monitoring and verification of end-use of each credit facility. Indian Bank's credit policy requires that all credit exposures above INR 100 Crore have a documented end-use monitoring framework reviewed annually. The mechanisms below are embedded as conditions precedent and ongoing covenants in the respective facility agreements.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60"/>
        <w:gridCol w:w="2200"/>
      </w:tblGrid>
      <w:tr>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Facility</w:t>
            </w:r>
          </w:p>
        </w:tc>
        <w:tc>
          <w:tcPr>
            <w:tcW w:type="dxa" w:w="2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Stated end-use</w:t>
            </w:r>
          </w:p>
        </w:tc>
        <w:tc>
          <w:tcPr>
            <w:tcW w:type="dxa" w:w="37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Monitoring mechanism</w:t>
            </w:r>
          </w:p>
        </w:tc>
        <w:tc>
          <w:tcPr>
            <w:tcW w:type="dxa" w:w="2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Red flags / escalation</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Cash Credit (CC)</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Working capital — payroll, vendor payments, operational expenses</w:t>
            </w:r>
          </w:p>
        </w:tc>
        <w:tc>
          <w:tcPr>
            <w:tcW w:type="dxa" w:w="3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1. Monthly stock and book debt statements in QIS-I &amp; QIS-II format by 15th of each month.
2. Drawing power calculated monthly = 75% of eligible debtors (&lt;90 days) + 60% of unbilled revenues (&lt;60 days).
3. Quarterly site visit / management call by RM to verify business activity.
4. Annual inspection of current assets by IB-empanelled CA firm.
5. Cross-verification of debtor realisation through bank account credits.</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Monthly QIS + RM quarterly call. Red flag if utilisation &gt; 95% for &gt;30 consecutive days without business justification.</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WCDL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Advance payments for enterprise software licences; hardware procurement</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1. End-use declaration by CFO / Company Secretary at time of each drawdown.
2. Invoice copies from vendors (Microsoft, Oracle, HPE, Cisco) to be submitted within 7 days of drawdown.
3. Drawdown amount not to exceed 110% of invoice value.
4. Repayment on maturity — no rollover without fresh declaration and approval.</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Invoice-based drawdown control. All documentation retained by branch. No drawdown without prior submission.</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Term Loan — INR 400 Cr</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Tower-7 campus construction at Electronic City, Bengaluru</w:t>
            </w:r>
          </w:p>
        </w:tc>
        <w:tc>
          <w:tcPr>
            <w:tcW w:type="dxa" w:w="3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1. Tranche-wise disbursement linked to construction milestones certified by IB-empanelled engineer (M/s RITES Ltd.):
   Tranche 1 (INR 80 Cr): On foundation completion + building plan approval by BBMP.
   Tranche 2 (INR 120 Cr): On structural completion up to 5th floor.
   Tranche 3 (INR 120 Cr): On structural completion (all floors) + MEP installation.
   Tranche 4 (INR 80 Cr): On completion certificate from BBMP / Occupancy Certificate.
2. All payments made directly to verified contractors — no cash payments.
3. Quarterly progress reports from Infosys Infrastructure team.
4. No diversion of TL funds to other purposes.</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Milestone-linked disbursement with mandatory engineer certification before each tranche. Zero fund diversion clause in loan agreement.</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Bank Guarantee (BG)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Client SLA guarantees; advance payment guarantees; bid bonds</w:t>
            </w:r>
          </w:p>
        </w:tc>
        <w:tc>
          <w:tcPr>
            <w:tcW w:type="dxa" w:w="3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1. Each BG issuance to be supported by: (a) client contract / RFP requiring BG; (b) beneficiary details; (c) guarantee text approved by IB legal.
2. BG register maintained at branch — maturity dates tracked monthly.
3. All BGs issued in standard IB format; non-standard text requires circle head approval.
4. Advance payment BGs: bank to receive copy of advance payment receipt from beneficiary within 15 days of BG issuance.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BG register review monthly. Devolvement notice procedures: immediate escalation to circle head + credit risk unit.</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Letter of Credit (LC)</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Import of specialised hardware from overseas OEM vendors</w:t>
            </w:r>
          </w:p>
        </w:tc>
        <w:tc>
          <w:tcPr>
            <w:tcW w:type="dxa" w:w="3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202C"/>
                <w:sz w:val="20"/>
                <w:szCs w:val="20"/>
              </w:rPr>
              <w:t xml:space="preserve">1. Each LC issuance backed by confirmed purchase order (PO) from client or approved procurement plan.
2. LC beneficiary: OEM vendor (Dell, HPE, Cisco, etc.) — pre-approved list maintained at branch.
3. Import licence / DGFT compliance confirmation for each drawdown.
4. Shipping documents (bill of lading, invoice, packing list) to be presented for LC retirement.
5. All LCs subject to UCPDC 600 compliance.</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PO-backed issuance only. DGFT compliance mandatory. Annual review of approved vendor list.</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6.1 Diversion Risk Assessment</w:t>
      </w:r>
    </w:p>
    <w:p>
      <w:pPr>
        <w:spacing w:before="60" w:after="60"/>
        <w:jc w:val="both"/>
      </w:pPr>
      <w:r>
        <w:rPr>
          <w:rFonts w:ascii="Arial" w:cs="Arial" w:eastAsia="Arial" w:hAnsi="Arial"/>
          <w:b w:val="false"/>
          <w:bCs w:val="false"/>
          <w:i w:val="false"/>
          <w:iCs w:val="false"/>
          <w:color w:val="000000"/>
          <w:sz w:val="22"/>
          <w:szCs w:val="22"/>
        </w:rPr>
        <w:t xml:space="preserve">Diversion risk for this account is assessed as LOW. Key mitigants: (a) Infosys is a listed company subject to SEBI LODR reporting requirements — any material fund diversion would be detected in quarterly financials and regulatory filings; (b) the company's net cash position of INR 37,190 Cr means it has no financial incentive to divert bank credit; (c) the RM has maintained active engagement with the CFO and treasury team over 20 years, providing early warning capability; (d) TL disbursements are milestone-linked, eliminating lump-sum diversion risk.</w:t>
      </w:r>
    </w:p>
    <w:p>
      <w:pPr>
        <w:pStyle w:val="Heading2"/>
        <w:spacing w:before="280" w:after="80"/>
      </w:pPr>
      <w:r>
        <w:rPr>
          <w:rFonts w:ascii="Arial" w:cs="Arial" w:eastAsia="Arial" w:hAnsi="Arial"/>
          <w:b/>
          <w:bCs/>
          <w:color w:val="2E5FA3"/>
          <w:sz w:val="28"/>
          <w:szCs w:val="28"/>
        </w:rPr>
        <w:t xml:space="preserve">6.2 Concurrent Audit</w:t>
      </w:r>
    </w:p>
    <w:p>
      <w:pPr>
        <w:spacing w:before="60" w:after="60"/>
        <w:jc w:val="both"/>
      </w:pPr>
      <w:r>
        <w:rPr>
          <w:rFonts w:ascii="Arial" w:cs="Arial" w:eastAsia="Arial" w:hAnsi="Arial"/>
          <w:b w:val="false"/>
          <w:bCs w:val="false"/>
          <w:i w:val="false"/>
          <w:iCs w:val="false"/>
          <w:color w:val="000000"/>
          <w:sz w:val="22"/>
          <w:szCs w:val="22"/>
        </w:rPr>
        <w:t xml:space="preserve">The CC and WCDL accounts are subject to concurrent audit by M/s K.S. Rao &amp; Associates, IB-empanelled concurrent auditors, on a quarterly basis. The concurrent audit covers: verification of drawing power calculations, cross-checking of book debt realisations, scrutiny of large debit entries, and review of KYC refresh. Concurrent audit reports are placed before the branch credit committee quarterly.</w:t>
      </w:r>
    </w:p>
    <w:p>
      <w:r>
        <w:br w:type="page"/>
      </w:r>
    </w:p>
    <w:p>
      <w:pPr>
        <w:pStyle w:val="Heading1"/>
        <w:spacing w:before="400" w:after="120"/>
      </w:pPr>
      <w:r>
        <w:rPr>
          <w:rFonts w:ascii="Arial" w:cs="Arial" w:eastAsia="Arial" w:hAnsi="Arial"/>
          <w:b/>
          <w:bCs/>
          <w:color w:val="1A3C6E"/>
          <w:sz w:val="36"/>
          <w:szCs w:val="36"/>
        </w:rPr>
        <w:t xml:space="preserve">7. Sensitivity &amp; Scenario Analysis</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This section stress-tests the credit proposal across four scenarios to assess the resilience of Infosys Limited's creditworthiness under adverse conditions. The analysis covers revenue, margin, interest rate, and currency stress, and evaluates the impact on key credit metrics including interest coverage, DSCR, drawing power adequacy, and IB account status.</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7.1 Scenario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Assumption</w:t>
            </w:r>
          </w:p>
        </w:tc>
        <w:tc>
          <w:tcPr>
            <w:tcW w:type="dxa" w:w="17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Base</w:t>
            </w:r>
          </w:p>
        </w:tc>
        <w:tc>
          <w:tcPr>
            <w:tcW w:type="dxa" w:w="17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Mild stress</w:t>
            </w:r>
          </w:p>
        </w:tc>
        <w:tc>
          <w:tcPr>
            <w:tcW w:type="dxa" w:w="17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Bear</w:t>
            </w:r>
          </w:p>
        </w:tc>
        <w:tc>
          <w:tcPr>
            <w:tcW w:type="dxa" w:w="17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Severe stress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Revenue growth (YoY)</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9.1% (FY2025E)</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 (flat)</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 YoY decline</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(25%) YoY decline</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EBIT margin</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26.6%</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24.0% (cost pressure)</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20.0% (severe compression)</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16.0% (crisis mode)</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PAT margin</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22.9%</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19.5%</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15.0%</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11.0%</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Interest rate (MCLR)</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8.65%</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9.15% (+50 bps)</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9.65% (+100 bps)</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10.15% (+150 bps)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INR/USD rate</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83.25</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86.00 (INR depreciation)</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89.00 (significant depreciation)</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92.00 (extreme)</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TL repayment (annual)</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88 Cr</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88 Cr</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88 Cr</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INR 88 Cr</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Scenario probability</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Base (60%)</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Mild stress (25%)</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Bear (12%)</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Severe stress (3%)</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7.2 Impact on Key Credit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Impact metric</w:t>
            </w:r>
          </w:p>
        </w:tc>
        <w:tc>
          <w:tcPr>
            <w:tcW w:type="dxa" w:w="17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Base</w:t>
            </w:r>
          </w:p>
        </w:tc>
        <w:tc>
          <w:tcPr>
            <w:tcW w:type="dxa" w:w="17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Mild stress</w:t>
            </w:r>
          </w:p>
        </w:tc>
        <w:tc>
          <w:tcPr>
            <w:tcW w:type="dxa" w:w="17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Bear</w:t>
            </w:r>
          </w:p>
        </w:tc>
        <w:tc>
          <w:tcPr>
            <w:tcW w:type="dxa" w:w="17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Severe stress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Revenue (INR Cr)</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95,200</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87,246 (flat)</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74,159</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65,435</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PAT (INR Cr)</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21,825</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17,013</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11,124</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7,198</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EBIT (INR Cr)</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25,303</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20,939</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14,832</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10,470</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Interest expense (CC+TL)</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220</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242</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266</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290</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Interest coverage (EBIT/Int.)</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115.0x</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86.5x</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55.8x</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36.1x</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DSCR (PAT+Depr) / (TL EMI+Int)</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8.2x</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6.4x</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4.2x</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2.8x</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Drawing power (75% of debtors)</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15,480</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14,246</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12,109</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10,679</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Drawing power vs CC limit (INR 800 Cr)</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19.3x cover</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17.8x cover</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15.1x cover</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13.3x cover</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Current ratio</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2.45x</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2.28x</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2.08x</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1.82x</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Net cash position (INR Cr)</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37,190</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31,200</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22,400</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15,600</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Debt-equity ratio (x)</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0.02x</w:t>
            </w:r>
          </w:p>
        </w:tc>
        <w:tc>
          <w:tcPr>
            <w:tcW w:type="dxa" w:w="17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0.03x</w:t>
            </w:r>
          </w:p>
        </w:tc>
        <w:tc>
          <w:tcPr>
            <w:tcW w:type="dxa" w:w="17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0.04x</w:t>
            </w:r>
          </w:p>
        </w:tc>
        <w:tc>
          <w:tcPr>
            <w:tcW w:type="dxa" w:w="174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0.06x</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IB account status (assessment)</w:t>
            </w:r>
          </w:p>
        </w:tc>
        <w:tc>
          <w:tcPr>
            <w:tcW w:type="dxa" w:w="17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Standard — no risk</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Standard — monitor</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Standard — heightened watch</w:t>
            </w:r>
          </w:p>
        </w:tc>
        <w:tc>
          <w:tcPr>
            <w:tcW w:type="dxa" w:w="17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C0392B"/>
                <w:sz w:val="20"/>
                <w:szCs w:val="20"/>
              </w:rPr>
              <w:t xml:space="preserve">Standard — special mention risk</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7.3 Stress Test Commentary</w:t>
      </w:r>
    </w:p>
    <w:p>
      <w:pPr>
        <w:pStyle w:val="Heading3"/>
        <w:spacing w:before="200" w:after="60"/>
      </w:pPr>
      <w:r>
        <w:rPr>
          <w:rFonts w:ascii="Arial" w:cs="Arial" w:eastAsia="Arial" w:hAnsi="Arial"/>
          <w:b/>
          <w:bCs/>
          <w:color w:val="1A3C6E"/>
          <w:sz w:val="24"/>
          <w:szCs w:val="24"/>
        </w:rPr>
        <w:t xml:space="preserve">Base scenario (probability: 60%)</w:t>
      </w:r>
    </w:p>
    <w:p>
      <w:pPr>
        <w:spacing w:before="60" w:after="60"/>
        <w:jc w:val="both"/>
      </w:pPr>
      <w:r>
        <w:rPr>
          <w:rFonts w:ascii="Arial" w:cs="Arial" w:eastAsia="Arial" w:hAnsi="Arial"/>
          <w:b w:val="false"/>
          <w:bCs w:val="false"/>
          <w:i w:val="false"/>
          <w:iCs w:val="false"/>
          <w:color w:val="000000"/>
          <w:sz w:val="22"/>
          <w:szCs w:val="22"/>
        </w:rPr>
        <w:t xml:space="preserve">Revenue grows 9.1% driven by large-deal ramp-ups and early GenAI implementation revenues. PAT margins expand 30 bps. All credit metrics remain strong. Interest coverage of 115x and DSCR of 8.2x provide exceptional headroom. Drawing power at 19.3x the CC limit confirms facility is not a binding constraint. No credit risk concerns.</w:t>
      </w:r>
    </w:p>
    <w:p>
      <w:pPr>
        <w:spacing w:before="0" w:after="0"/>
      </w:pPr>
      <w:r>
        <w:rPr>
          <w:sz w:val="22"/>
          <w:szCs w:val="22"/>
        </w:rPr>
        <w:t xml:space="preserve"/>
      </w:r>
    </w:p>
    <w:p>
      <w:pPr>
        <w:pStyle w:val="Heading3"/>
        <w:spacing w:before="200" w:after="60"/>
      </w:pPr>
      <w:r>
        <w:rPr>
          <w:rFonts w:ascii="Arial" w:cs="Arial" w:eastAsia="Arial" w:hAnsi="Arial"/>
          <w:b/>
          <w:bCs/>
          <w:color w:val="1A3C6E"/>
          <w:sz w:val="24"/>
          <w:szCs w:val="24"/>
        </w:rPr>
        <w:t xml:space="preserve">Mild stress scenario (probability: 25%)</w:t>
      </w:r>
    </w:p>
    <w:p>
      <w:pPr>
        <w:spacing w:before="60" w:after="60"/>
        <w:jc w:val="both"/>
      </w:pPr>
      <w:r>
        <w:rPr>
          <w:rFonts w:ascii="Arial" w:cs="Arial" w:eastAsia="Arial" w:hAnsi="Arial"/>
          <w:b w:val="false"/>
          <w:bCs w:val="false"/>
          <w:i w:val="false"/>
          <w:iCs w:val="false"/>
          <w:color w:val="000000"/>
          <w:sz w:val="22"/>
          <w:szCs w:val="22"/>
        </w:rPr>
        <w:t xml:space="preserve">Revenue is flat (0% growth) — simulating a sharp IT budget freeze in North America, comparable to H2 FY2023. EBIT margin compresses 260 bps to 24.0% due to fixed-cost deleverage and increased employee costs from revised compensation cycle. Interest coverage remains robust at 86.5x. DSCR of 6.4x is comfortably above the IB covenant threshold of 1.25x. Drawing power remains at 17.8x the CC limit. Account remains Standard throughout. No credit action required.</w:t>
      </w:r>
    </w:p>
    <w:p>
      <w:pPr>
        <w:spacing w:before="0" w:after="0"/>
      </w:pPr>
      <w:r>
        <w:rPr>
          <w:sz w:val="22"/>
          <w:szCs w:val="22"/>
        </w:rPr>
        <w:t xml:space="preserve"/>
      </w:r>
    </w:p>
    <w:p>
      <w:pPr>
        <w:pStyle w:val="Heading3"/>
        <w:spacing w:before="200" w:after="60"/>
      </w:pPr>
      <w:r>
        <w:rPr>
          <w:rFonts w:ascii="Arial" w:cs="Arial" w:eastAsia="Arial" w:hAnsi="Arial"/>
          <w:b/>
          <w:bCs/>
          <w:color w:val="1A3C6E"/>
          <w:sz w:val="24"/>
          <w:szCs w:val="24"/>
        </w:rPr>
        <w:t xml:space="preserve">Bear scenario (probability: 12%)</w:t>
      </w:r>
    </w:p>
    <w:p>
      <w:pPr>
        <w:spacing w:before="60" w:after="60"/>
        <w:jc w:val="both"/>
      </w:pPr>
      <w:r>
        <w:rPr>
          <w:rFonts w:ascii="Arial" w:cs="Arial" w:eastAsia="Arial" w:hAnsi="Arial"/>
          <w:b w:val="false"/>
          <w:bCs w:val="false"/>
          <w:i w:val="false"/>
          <w:iCs w:val="false"/>
          <w:color w:val="000000"/>
          <w:sz w:val="22"/>
          <w:szCs w:val="22"/>
        </w:rPr>
        <w:t xml:space="preserve">Revenue contracts 15% — simulating a US recession combined with significant BFSI client budget cuts (comparable to FY2001 or FY2009 IT downturns). EBIT margin falls to 20.0% as Infosys is unable to fully offset revenue declines with cost cuts (headcount restructuring is slow, real estate leases are fixed). Despite severe revenue pressure, interest coverage of 55.8x and DSCR of 4.2x remain well above covenants. Net cash position of INR 22,400 Cr still provides 8.96x cover on the entire credit exposure of INR 2,500 Cr. Account remains Standard but would be placed on heightened watch list for early warning monitoring.</w:t>
      </w:r>
    </w:p>
    <w:p>
      <w:pPr>
        <w:spacing w:before="0" w:after="0"/>
      </w:pPr>
      <w:r>
        <w:rPr>
          <w:sz w:val="22"/>
          <w:szCs w:val="22"/>
        </w:rPr>
        <w:t xml:space="preserve"/>
      </w:r>
    </w:p>
    <w:p>
      <w:pPr>
        <w:pStyle w:val="Heading3"/>
        <w:spacing w:before="200" w:after="60"/>
      </w:pPr>
      <w:r>
        <w:rPr>
          <w:rFonts w:ascii="Arial" w:cs="Arial" w:eastAsia="Arial" w:hAnsi="Arial"/>
          <w:b/>
          <w:bCs/>
          <w:color w:val="1A3C6E"/>
          <w:sz w:val="24"/>
          <w:szCs w:val="24"/>
        </w:rPr>
        <w:t xml:space="preserve">Severe stress scenario (probability: 3%)</w:t>
      </w:r>
    </w:p>
    <w:p>
      <w:pPr>
        <w:spacing w:before="60" w:after="60"/>
        <w:jc w:val="both"/>
      </w:pPr>
      <w:r>
        <w:rPr>
          <w:rFonts w:ascii="Arial" w:cs="Arial" w:eastAsia="Arial" w:hAnsi="Arial"/>
          <w:b w:val="false"/>
          <w:bCs w:val="false"/>
          <w:i w:val="false"/>
          <w:iCs w:val="false"/>
          <w:color w:val="000000"/>
          <w:sz w:val="22"/>
          <w:szCs w:val="22"/>
        </w:rPr>
        <w:t xml:space="preserve">A confluence of a US recession, INR appreciation to 92/USD, and a significant cyber incident creates the most adverse environment. Revenue contracts 25% — an event not seen in Infosys's 43-year history. EBIT margin compresses to 16% (still positive). Even under this extreme scenario, DSCR of 2.8x exceeds IB's minimum covenant of 1.25x, interest coverage of 36.1x remains high, and net cash of INR 15,600 Cr provides 6.2x cover on total exposure. The account would not become NPA even in this scenario.</w:t>
      </w:r>
    </w:p>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Conclusion: The sensitivity analysis demonstrates that Infosys Limited's credit quality is robust across all scenarios tested, including a historically unprecedented 25% revenue contraction. The primary credit risk is account conduct risk (utilisation management) rather than repayment risk. The Credit Committee can approve this proposal with confidence that the account will remain Standard even under severe stress conditions.</w:t>
      </w:r>
    </w:p>
    <w:p>
      <w:r>
        <w:br w:type="page"/>
      </w:r>
    </w:p>
    <w:p>
      <w:pPr>
        <w:pStyle w:val="Heading1"/>
        <w:spacing w:before="400" w:after="120"/>
      </w:pPr>
      <w:r>
        <w:rPr>
          <w:rFonts w:ascii="Arial" w:cs="Arial" w:eastAsia="Arial" w:hAnsi="Arial"/>
          <w:b/>
          <w:bCs/>
          <w:color w:val="1A3C6E"/>
          <w:sz w:val="36"/>
          <w:szCs w:val="36"/>
        </w:rPr>
        <w:t xml:space="preserve">8. Credit Facility Details</w:t>
      </w:r>
    </w:p>
    <w:p>
      <w:pPr>
        <w:pBdr>
          <w:bottom w:val="single" w:color="2E5FA3" w:sz="6"/>
        </w:pBdr>
        <w:spacing w:before="80" w:after="80"/>
      </w:pPr>
      <w:r>
        <w:t xml:space="preserve"/>
      </w:r>
    </w:p>
    <w:p>
      <w:pPr>
        <w:pStyle w:val="Heading2"/>
        <w:spacing w:before="280" w:after="80"/>
      </w:pPr>
      <w:r>
        <w:rPr>
          <w:rFonts w:ascii="Arial" w:cs="Arial" w:eastAsia="Arial" w:hAnsi="Arial"/>
          <w:b/>
          <w:bCs/>
          <w:color w:val="2E5FA3"/>
          <w:sz w:val="28"/>
          <w:szCs w:val="28"/>
        </w:rPr>
        <w:t xml:space="preserve">8.1 Facility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2280"/>
        <w:gridCol w:w="1500"/>
      </w:tblGrid>
      <w:tr>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Facility</w:t>
            </w:r>
          </w:p>
        </w:tc>
        <w:tc>
          <w:tcPr>
            <w:tcW w:type="dxa" w:w="12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Existing (INR Cr)</w:t>
            </w:r>
          </w:p>
        </w:tc>
        <w:tc>
          <w:tcPr>
            <w:tcW w:type="dxa" w:w="12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Proposed (INR Cr)</w:t>
            </w:r>
          </w:p>
        </w:tc>
        <w:tc>
          <w:tcPr>
            <w:tcW w:type="dxa" w:w="12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Change (INR Cr)</w:t>
            </w:r>
          </w:p>
        </w:tc>
        <w:tc>
          <w:tcPr>
            <w:tcW w:type="dxa" w:w="22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Tenor</w:t>
            </w:r>
          </w:p>
        </w:tc>
        <w:tc>
          <w:tcPr>
            <w:tcW w:type="dxa" w:w="15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Credit (CC)</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600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800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+200</w:t>
            </w:r>
          </w:p>
        </w:tc>
        <w:tc>
          <w:tcPr>
            <w:tcW w:type="dxa" w:w="2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 months (revolving)</w:t>
            </w:r>
          </w:p>
        </w:tc>
        <w:tc>
          <w:tcPr>
            <w:tcW w:type="dxa" w:w="15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Working capital — payroll, vendor, ops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WCDL</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600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+200</w:t>
            </w:r>
          </w:p>
        </w:tc>
        <w:tc>
          <w:tcPr>
            <w:tcW w:type="dxa" w:w="2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Up to 180 days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Software licences, hardware procurement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Term Loan</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400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+200</w:t>
            </w:r>
          </w:p>
        </w:tc>
        <w:tc>
          <w:tcPr>
            <w:tcW w:type="dxa" w:w="2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 yrs (6-mth moratorium)</w:t>
            </w:r>
          </w:p>
        </w:tc>
        <w:tc>
          <w:tcPr>
            <w:tcW w:type="dxa" w:w="15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Campus expansion — Electronic City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Bank Guarantee (BG)</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500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+100</w:t>
            </w:r>
          </w:p>
        </w:tc>
        <w:tc>
          <w:tcPr>
            <w:tcW w:type="dxa" w:w="2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Up to 3 years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Client SLA / performance / bid bonds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Letter of Credit (LC)</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200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NIL</w:t>
            </w:r>
          </w:p>
        </w:tc>
        <w:tc>
          <w:tcPr>
            <w:tcW w:type="dxa" w:w="2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Up to 360 days</w:t>
            </w:r>
          </w:p>
        </w:tc>
        <w:tc>
          <w:tcPr>
            <w:tcW w:type="dxa" w:w="15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Import of OEM hardware</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w:t>
            </w:r>
          </w:p>
        </w:tc>
        <w:tc>
          <w:tcPr>
            <w:tcW w:type="dxa" w:w="12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1,800</w:t>
            </w:r>
          </w:p>
        </w:tc>
        <w:tc>
          <w:tcPr>
            <w:tcW w:type="dxa" w:w="12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2,500</w:t>
            </w:r>
          </w:p>
        </w:tc>
        <w:tc>
          <w:tcPr>
            <w:tcW w:type="dxa" w:w="12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+700</w:t>
            </w:r>
          </w:p>
        </w:tc>
        <w:tc>
          <w:tcPr>
            <w:tcW w:type="dxa" w:w="22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5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8.2 Pricing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Pricing parameter</w:t>
            </w:r>
          </w:p>
        </w:tc>
        <w:tc>
          <w:tcPr>
            <w:tcW w:type="dxa" w:w="61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Terms</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Benchmark rate</w:t>
            </w:r>
          </w:p>
        </w:tc>
        <w:tc>
          <w:tcPr>
            <w:tcW w:type="dxa" w:w="6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MCLR (1-year) — 8.65% (March 2025)</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CC / WCDL spread</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MCLR + 0.10% p.a.</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Effective ROI (CC/WCDL)</w:t>
            </w:r>
          </w:p>
        </w:tc>
        <w:tc>
          <w:tcPr>
            <w:tcW w:type="dxa" w:w="6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8.75% p.a. (subject to MCLR reset on each reset date)</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Term Loan ROI</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MCLR flat = 8.65% p.a. (concessional — strategic relationship)</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BG commission — performance</w:t>
            </w:r>
          </w:p>
        </w:tc>
        <w:tc>
          <w:tcPr>
            <w:tcW w:type="dxa" w:w="6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0.25% p.a. on BG value</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BG commission — financial</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0.40% p.a. on BG value</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LC commission</w:t>
            </w:r>
          </w:p>
        </w:tc>
        <w:tc>
          <w:tcPr>
            <w:tcW w:type="dxa" w:w="6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0.20% per quarter on LC value</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Processing fee</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1.00 Crore (non-refundable; payable at sanction)</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Prepayment penalty (TL)</w:t>
            </w:r>
          </w:p>
        </w:tc>
        <w:tc>
          <w:tcPr>
            <w:tcW w:type="dxa" w:w="6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 IB policy for IB-1 rated borrowers</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8.3 Drawing Power Computation (Cash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2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 (INR Cr)</w:t>
            </w:r>
          </w:p>
        </w:tc>
        <w:tc>
          <w:tcPr>
            <w:tcW w:type="dxa" w:w="4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Basis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Sundry debtors (&lt; 90 days)</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19,200</w:t>
            </w:r>
          </w:p>
        </w:tc>
        <w:tc>
          <w:tcPr>
            <w:tcW w:type="dxa" w:w="4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75% of book value per latest provisional BS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Unbilled revenues (&lt; 60 days)</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4,500</w:t>
            </w:r>
          </w:p>
        </w:tc>
        <w:tc>
          <w:tcPr>
            <w:tcW w:type="dxa" w:w="4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60% of value (eligible portion only)</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eligible current assets (A)</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23,700</w:t>
            </w:r>
          </w:p>
        </w:tc>
        <w:tc>
          <w:tcPr>
            <w:tcW w:type="dxa" w:w="4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Sum of eligible components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Less: Current liabilities (B)</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13,750</w:t>
            </w:r>
          </w:p>
        </w:tc>
        <w:tc>
          <w:tcPr>
            <w:tcW w:type="dxa" w:w="4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Per audited balance sheet March 2024</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Net working capital (A minus B)</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9,950</w:t>
            </w:r>
          </w:p>
        </w:tc>
        <w:tc>
          <w:tcPr>
            <w:tcW w:type="dxa" w:w="4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Exceeds CC limit comfortably</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Drawing power (CC) — 75% of debtors</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14,400</w:t>
            </w:r>
          </w:p>
        </w:tc>
        <w:tc>
          <w:tcPr>
            <w:tcW w:type="dxa" w:w="4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Binding constraint is sanctioned limit of INR 800 Cr</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Drawing power is computed monthly based on QIS-I (stock and debtors statement). Current drawing power of INR 14,400 Cr against the CC limit of INR 800 Cr represents 18x cover — the sanctioned limit is the binding constraint, not the drawing power.</w:t>
      </w:r>
    </w:p>
    <w:p>
      <w:r>
        <w:br w:type="page"/>
      </w:r>
    </w:p>
    <w:p>
      <w:pPr>
        <w:pStyle w:val="Heading1"/>
        <w:spacing w:before="400" w:after="120"/>
      </w:pPr>
      <w:r>
        <w:rPr>
          <w:rFonts w:ascii="Arial" w:cs="Arial" w:eastAsia="Arial" w:hAnsi="Arial"/>
          <w:b/>
          <w:bCs/>
          <w:color w:val="1A3C6E"/>
          <w:sz w:val="36"/>
          <w:szCs w:val="36"/>
        </w:rPr>
        <w:t xml:space="preserve">9. Security &amp; Collateral</w:t>
      </w:r>
    </w:p>
    <w:p>
      <w:pPr>
        <w:pBdr>
          <w:bottom w:val="single" w:color="2E5FA3" w:sz="6"/>
        </w:pBdr>
        <w:spacing w:before="80" w:after="80"/>
      </w:pPr>
      <w:r>
        <w:t xml:space="preserve"/>
      </w:r>
    </w:p>
    <w:p>
      <w:pPr>
        <w:pStyle w:val="Heading2"/>
        <w:spacing w:before="280" w:after="80"/>
      </w:pPr>
      <w:r>
        <w:rPr>
          <w:rFonts w:ascii="Arial" w:cs="Arial" w:eastAsia="Arial" w:hAnsi="Arial"/>
          <w:b/>
          <w:bCs/>
          <w:color w:val="2E5FA3"/>
          <w:sz w:val="28"/>
          <w:szCs w:val="28"/>
        </w:rPr>
        <w:t xml:space="preserve">9.1 Security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60"/>
        <w:gridCol w:w="1400"/>
        <w:gridCol w:w="1800"/>
      </w:tblGrid>
      <w:tr>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c>
          <w:tcPr>
            <w:tcW w:type="dxa" w:w="2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Asset details</w:t>
            </w:r>
          </w:p>
        </w:tc>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 (INR Cr)</w:t>
            </w:r>
          </w:p>
        </w:tc>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Security cover</w:t>
            </w:r>
          </w:p>
        </w:tc>
      </w:tr>
      <w:tr>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Primary</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Pari-passu first charge on current assets</w:t>
            </w:r>
          </w:p>
        </w:tc>
        <w:tc>
          <w:tcPr>
            <w:tcW w:type="dxa" w:w="2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Debtors INR 19,200 Cr + Unbilled INR 6,410 Cr</w:t>
            </w:r>
          </w:p>
        </w:tc>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23,700 Cr</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9.48x on CC limit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Primary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First charge on movable fixed assets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Plant, machinery, computers — Electronic City campus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2,800 Cr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7.0x on TL</w:t>
            </w:r>
          </w:p>
        </w:tc>
      </w:tr>
      <w:tr>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Collateral</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Equitable mortgage — immovable property</w:t>
            </w:r>
          </w:p>
        </w:tc>
        <w:tc>
          <w:tcPr>
            <w:tcW w:type="dxa" w:w="2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BPO campus, Jaipur — 42 acres</w:t>
            </w:r>
          </w:p>
        </w:tc>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1,200 Cr</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Additional comfort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Corporate guarantee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Guarantee of Infosys BPM Limited</w:t>
            </w:r>
          </w:p>
        </w:tc>
        <w:tc>
          <w:tcPr>
            <w:tcW w:type="dxa" w:w="2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Wholly-owned subsidiary; net worth INR 8,400 Cr; unconditional &amp; irrevocable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8,400 Cr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N/A</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All security documentation is in order. CERSAI registration for current assets charge completed (ID: MH-CC-2023-00481). ROC charge filing completed (CHG-001, ROC Karnataka). Third-party valuation of Jaipur campus by M/s Cushman &amp; Wakefield at INR 1,200 Cr (January 2025). Legal title search clear — M/s Khaitan &amp; Co. opinion dated 15 February 2025. Insurance over all hypothecated assets valid until March 2026 with IB as co-insured.</w:t>
      </w:r>
    </w:p>
    <w:p>
      <w:r>
        <w:br w:type="page"/>
      </w:r>
    </w:p>
    <w:p>
      <w:pPr>
        <w:pStyle w:val="Heading1"/>
        <w:spacing w:before="400" w:after="120"/>
      </w:pPr>
      <w:r>
        <w:rPr>
          <w:rFonts w:ascii="Arial" w:cs="Arial" w:eastAsia="Arial" w:hAnsi="Arial"/>
          <w:b/>
          <w:bCs/>
          <w:color w:val="1A3C6E"/>
          <w:sz w:val="36"/>
          <w:szCs w:val="36"/>
        </w:rPr>
        <w:t xml:space="preserve">10. Risk Assessment &amp; Internal Credit Rating</w:t>
      </w:r>
    </w:p>
    <w:p>
      <w:pPr>
        <w:pBdr>
          <w:bottom w:val="single" w:color="2E5FA3" w:sz="6"/>
        </w:pBdr>
        <w:spacing w:before="80" w:after="80"/>
      </w:pPr>
      <w:r>
        <w:t xml:space="preserve"/>
      </w:r>
    </w:p>
    <w:p>
      <w:pPr>
        <w:pStyle w:val="Heading2"/>
        <w:spacing w:before="280" w:after="80"/>
      </w:pPr>
      <w:r>
        <w:rPr>
          <w:rFonts w:ascii="Arial" w:cs="Arial" w:eastAsia="Arial" w:hAnsi="Arial"/>
          <w:b/>
          <w:bCs/>
          <w:color w:val="2E5FA3"/>
          <w:sz w:val="28"/>
          <w:szCs w:val="28"/>
        </w:rPr>
        <w:t xml:space="preserve">10.1 IB-LCM Rating Scorecard (Model v3.0)</w:t>
      </w:r>
    </w:p>
    <w:p>
      <w:pPr>
        <w:spacing w:before="60" w:after="60"/>
        <w:jc w:val="both"/>
      </w:pPr>
      <w:r>
        <w:rPr>
          <w:rFonts w:ascii="Arial" w:cs="Arial" w:eastAsia="Arial" w:hAnsi="Arial"/>
          <w:b w:val="false"/>
          <w:bCs w:val="false"/>
          <w:i w:val="false"/>
          <w:iCs w:val="false"/>
          <w:color w:val="000000"/>
          <w:sz w:val="22"/>
          <w:szCs w:val="22"/>
        </w:rPr>
        <w:t xml:space="preserve">Infosys has been rated IB-1 under the IB Large Corporate Rating Model (LCM v3.0) — the highest rating on Indian Bank's internal scale, equivalent to AAA externally. Score: 92/100. Rating valid: 10 February 2025 to 09 February 2026. Seventh consecutive year at IB-1.</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40"/>
        <w:gridCol w:w="1040"/>
        <w:gridCol w:w="1040"/>
        <w:gridCol w:w="1040"/>
        <w:gridCol w:w="2000"/>
      </w:tblGrid>
      <w:tr>
        <w:tc>
          <w:tcPr>
            <w:tcW w:type="dxa" w:w="3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10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Weight</w:t>
            </w:r>
          </w:p>
        </w:tc>
        <w:tc>
          <w:tcPr>
            <w:tcW w:type="dxa" w:w="10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Max score</w:t>
            </w:r>
          </w:p>
        </w:tc>
        <w:tc>
          <w:tcPr>
            <w:tcW w:type="dxa" w:w="10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 obtained</w:t>
            </w:r>
          </w:p>
        </w:tc>
        <w:tc>
          <w:tcPr>
            <w:tcW w:type="dxa" w:w="10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Wtd score</w:t>
            </w:r>
          </w:p>
        </w:tc>
        <w:tc>
          <w:tcPr>
            <w:tcW w:type="dxa" w:w="2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Comments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Financial performance</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24</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24.0</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Management quality</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14</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Industry &amp; business risk</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12</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12.0</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Account conduct &amp; repayment</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20</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Full score — nil overdue 10 yrs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External rating &amp; market standing</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10</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Full score — CRISIL/ICRA AAA</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Compliance &amp; governance</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w:t>
            </w:r>
          </w:p>
        </w:tc>
        <w:tc>
          <w:tcPr>
            <w:tcW w:type="dxa" w:w="1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Security &amp; collateral</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10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w:t>
            </w:r>
          </w:p>
        </w:tc>
        <w:tc>
          <w:tcPr>
            <w:tcW w:type="dxa" w:w="10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10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10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92</w:t>
            </w:r>
          </w:p>
        </w:tc>
        <w:tc>
          <w:tcPr>
            <w:tcW w:type="dxa" w:w="10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92.0</w:t>
            </w:r>
          </w:p>
        </w:tc>
        <w:tc>
          <w:tcPr>
            <w:tcW w:type="dxa" w:w="20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6B3C"/>
                <w:sz w:val="20"/>
                <w:szCs w:val="20"/>
              </w:rPr>
              <w:t xml:space="preserve">IB-1 — Exceptional</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10.2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080"/>
        <w:gridCol w:w="1080"/>
        <w:gridCol w:w="3400"/>
      </w:tblGrid>
      <w:tr>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Risk</w:t>
            </w:r>
          </w:p>
        </w:tc>
        <w:tc>
          <w:tcPr>
            <w:tcW w:type="dxa" w:w="2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c>
          <w:tcPr>
            <w:tcW w:type="dxa" w:w="1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Probability</w:t>
            </w:r>
          </w:p>
        </w:tc>
        <w:tc>
          <w:tcPr>
            <w:tcW w:type="dxa" w:w="1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Impact</w:t>
            </w:r>
          </w:p>
        </w:tc>
        <w:tc>
          <w:tcPr>
            <w:tcW w:type="dxa" w:w="3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Mitigant</w:t>
            </w:r>
          </w:p>
        </w:tc>
      </w:tr>
      <w:tr>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Revenue concentration</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60% from North America</w:t>
            </w:r>
          </w:p>
        </w:tc>
        <w:tc>
          <w:tcPr>
            <w:tcW w:type="dxa" w:w="108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Medium</w:t>
            </w:r>
          </w:p>
        </w:tc>
        <w:tc>
          <w:tcPr>
            <w:tcW w:type="dxa" w:w="108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Medium</w:t>
            </w:r>
          </w:p>
        </w:tc>
        <w:tc>
          <w:tcPr>
            <w:tcW w:type="dxa" w:w="3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Diversification into APAC/India; large deal pipeline diversified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Currency (INR/USD)</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Appreciating INR reduces USD revenue in INR terms</w:t>
            </w:r>
          </w:p>
        </w:tc>
        <w:tc>
          <w:tcPr>
            <w:tcW w:type="dxa" w:w="108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Medium</w:t>
            </w:r>
          </w:p>
        </w:tc>
        <w:tc>
          <w:tcPr>
            <w:tcW w:type="dxa" w:w="108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Medium</w:t>
            </w:r>
          </w:p>
        </w:tc>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Natural hedge via onshore costs; forward contracts; NDF hedging</w:t>
            </w:r>
          </w:p>
        </w:tc>
      </w:tr>
      <w:tr>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Attrition</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Mid-mgmt attrition 12.7% — delivery risk</w:t>
            </w:r>
          </w:p>
        </w:tc>
        <w:tc>
          <w:tcPr>
            <w:tcW w:type="dxa" w:w="108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Low</w:t>
            </w:r>
          </w:p>
        </w:tc>
        <w:tc>
          <w:tcPr>
            <w:tcW w:type="dxa" w:w="108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Low-Med</w:t>
            </w:r>
          </w:p>
        </w:tc>
        <w:tc>
          <w:tcPr>
            <w:tcW w:type="dxa" w:w="3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Variable pay; ESOPs; IB salary account stickiness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Cyber / data security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 breach at client site — liability risk</w:t>
            </w:r>
          </w:p>
        </w:tc>
        <w:tc>
          <w:tcPr>
            <w:tcW w:type="dxa" w:w="108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Low</w:t>
            </w:r>
          </w:p>
        </w:tc>
        <w:tc>
          <w:tcPr>
            <w:tcW w:type="dxa" w:w="108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High</w:t>
            </w:r>
          </w:p>
        </w:tc>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ISO 27001; cyber insurance USD 100 Mn; IB exposure: nil contingent liability</w:t>
            </w:r>
          </w:p>
        </w:tc>
      </w:tr>
      <w:tr>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AI displacement</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GenAI reducing ADM headcount needs</w:t>
            </w:r>
          </w:p>
        </w:tc>
        <w:tc>
          <w:tcPr>
            <w:tcW w:type="dxa" w:w="108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Low</w:t>
            </w:r>
          </w:p>
        </w:tc>
        <w:tc>
          <w:tcPr>
            <w:tcW w:type="dxa" w:w="1080"/>
            <w:tcBorders>
              <w:top w:val="single" w:color="AAAAAA" w:sz="4"/>
              <w:left w:val="single" w:color="AAAAAA" w:sz="4"/>
              <w:bottom w:val="single" w:color="AAAAAA" w:sz="4"/>
              <w:right w:val="single" w:color="AAAAAA" w:sz="4"/>
            </w:tcBorders>
            <w:shd w:fill="FCEBE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C0392B"/>
                <w:sz w:val="20"/>
                <w:szCs w:val="20"/>
              </w:rPr>
              <w:t xml:space="preserve">High</w:t>
            </w:r>
          </w:p>
        </w:tc>
        <w:tc>
          <w:tcPr>
            <w:tcW w:type="dxa" w:w="3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Topaz repositioning; net revenue neutral near-term</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Visa / immigration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H-1B restrictions raise onshore cost</w:t>
            </w:r>
          </w:p>
        </w:tc>
        <w:tc>
          <w:tcPr>
            <w:tcW w:type="dxa" w:w="108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Medium</w:t>
            </w:r>
          </w:p>
        </w:tc>
        <w:tc>
          <w:tcPr>
            <w:tcW w:type="dxa" w:w="108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Medium</w:t>
            </w:r>
          </w:p>
        </w:tc>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Local hiring drive in US; &gt;60% local staff target by FY2027</w:t>
            </w:r>
          </w:p>
        </w:tc>
      </w:tr>
      <w:tr>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Regulatory / compliance</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SEBI/RBI governance requirements</w:t>
            </w:r>
          </w:p>
        </w:tc>
        <w:tc>
          <w:tcPr>
            <w:tcW w:type="dxa" w:w="108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Low</w:t>
            </w:r>
          </w:p>
        </w:tc>
        <w:tc>
          <w:tcPr>
            <w:tcW w:type="dxa" w:w="108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Low</w:t>
            </w:r>
          </w:p>
        </w:tc>
        <w:tc>
          <w:tcPr>
            <w:tcW w:type="dxa" w:w="3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Listed co.; robust compliance framework; nil violations in 10 yrs</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Overall risk profile: LOW. The combination of a pristine balance sheet (zero long-term debt, INR 37,190 Cr net cash), consistent FCF generation, diverse global revenue, and 20-year exemplary account conduct places this proposal in the lowest risk tier of Indian Bank's corporate credit book.</w:t>
      </w:r>
    </w:p>
    <w:p>
      <w:r>
        <w:br w:type="page"/>
      </w:r>
    </w:p>
    <w:p>
      <w:pPr>
        <w:pStyle w:val="Heading1"/>
        <w:spacing w:before="400" w:after="120"/>
      </w:pPr>
      <w:r>
        <w:rPr>
          <w:rFonts w:ascii="Arial" w:cs="Arial" w:eastAsia="Arial" w:hAnsi="Arial"/>
          <w:b/>
          <w:bCs/>
          <w:color w:val="1A3C6E"/>
          <w:sz w:val="36"/>
          <w:szCs w:val="36"/>
        </w:rPr>
        <w:t xml:space="preserve">11. Compliance &amp; Regulatory Checks</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All regulatory, statutory, and internal compliance checks completed. No material deficiencies identified.</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Compliance parameter</w:t>
            </w:r>
          </w:p>
        </w:tc>
        <w:tc>
          <w:tcPr>
            <w:tcW w:type="dxa" w:w="17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4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KYC / AML / CDD</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COMPLIANT</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KYC freshly verified March 2025. CDD Level 2 completed. No PEP flag. FATF clean.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Wilful defaulter list (RBI / CIBIL)</w:t>
            </w:r>
          </w:p>
        </w:tc>
        <w:tc>
          <w:tcPr>
            <w:tcW w:type="dxa" w:w="176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bCs/>
                <w:i w:val="false"/>
                <w:iCs w:val="false"/>
                <w:color w:val="854F0B"/>
                <w:sz w:val="20"/>
                <w:szCs w:val="20"/>
              </w:rPr>
              <w:t xml:space="preserve">NOT LISTED</w:t>
            </w:r>
          </w:p>
        </w:tc>
        <w:tc>
          <w:tcPr>
            <w:tcW w:type="dxa" w:w="4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Checked 10 March 2025. Borrower, guarantor, and all directors: clean.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ECGC Caution List</w:t>
            </w:r>
          </w:p>
        </w:tc>
        <w:tc>
          <w:tcPr>
            <w:tcW w:type="dxa" w:w="176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bCs/>
                <w:i w:val="false"/>
                <w:iCs w:val="false"/>
                <w:color w:val="854F0B"/>
                <w:sz w:val="20"/>
                <w:szCs w:val="20"/>
              </w:rPr>
              <w:t xml:space="preserve">NOT LISTED</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Verified March 2025.</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CIBIL — borrower</w:t>
            </w:r>
          </w:p>
        </w:tc>
        <w:tc>
          <w:tcPr>
            <w:tcW w:type="dxa" w:w="1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Score: 900+</w:t>
            </w:r>
          </w:p>
        </w:tc>
        <w:tc>
          <w:tcPr>
            <w:tcW w:type="dxa" w:w="4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No overdue. No NPA record. No settled accounts.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CIBIL — guarantor (Infosys BPM)</w:t>
            </w:r>
          </w:p>
        </w:tc>
        <w:tc>
          <w:tcPr>
            <w:tcW w:type="dxa" w:w="1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Score: 900+</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Clean credit history. No defaults.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Large Exposure Framework (LEF)</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WITHIN LIMIT</w:t>
            </w:r>
          </w:p>
        </w:tc>
        <w:tc>
          <w:tcPr>
            <w:tcW w:type="dxa" w:w="4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IB Tier-I: INR 4,80,000 Cr. LEF limit (25%): INR 1,20,000 Cr. Proposed: INR 2,500 Cr = 0.52% of LEF limit.</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Group exposure</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WITHIN LIMIT</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Total Infosys group exposure: INR 2,750 Cr vs IB ceiling INR 5,000 Cr. Utilisation: 55%.</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Sectoral exposure — IT Services</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WITHIN LIMIT</w:t>
            </w:r>
          </w:p>
        </w:tc>
        <w:tc>
          <w:tcPr>
            <w:tcW w:type="dxa" w:w="4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IB IT sector ceiling: INR 45,000 Cr. Current book: INR 22,400 Cr. Post-proposal: INR 24,900 Cr. Within limit.</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IRAC / NPA classification</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STANDARD</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Standard since inception. No overdue. Interest paid on due dates. Zero IRAC concern.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Income Tax — PAN verification</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VERIFIED</w:t>
            </w:r>
          </w:p>
        </w:tc>
        <w:tc>
          <w:tcPr>
            <w:tcW w:type="dxa" w:w="4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TRACES verified. No tax arrears. No litigation as per Form 26AS.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GST compliance</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COMPLIANT</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GSTR-1, GSTR-3B filed timely. No demand orders. Turnover matches bank statements.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FEMA compliance</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COMPLIANT</w:t>
            </w:r>
          </w:p>
        </w:tc>
        <w:tc>
          <w:tcPr>
            <w:tcW w:type="dxa" w:w="4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All overseas remittances per FEMA 1999. AD bank: HDFC Bank. No violations reported.</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Companies Act 2013 filings</w:t>
            </w:r>
          </w:p>
        </w:tc>
        <w:tc>
          <w:tcPr>
            <w:tcW w:type="dxa" w:w="17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COMPLIANT</w:t>
            </w:r>
          </w:p>
        </w:tc>
        <w:tc>
          <w:tcPr>
            <w:tcW w:type="dxa" w:w="4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Annual returns, financials filed with ROC Karnataka on time. MCA21 status: Active.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Environmental clearance (TL)</w:t>
            </w:r>
          </w:p>
        </w:tc>
        <w:tc>
          <w:tcPr>
            <w:tcW w:type="dxa" w:w="176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bCs/>
                <w:i w:val="false"/>
                <w:iCs w:val="false"/>
                <w:color w:val="854F0B"/>
                <w:sz w:val="20"/>
                <w:szCs w:val="20"/>
              </w:rPr>
              <w:t xml:space="preserve">IN PROCESS</w:t>
            </w:r>
          </w:p>
        </w:tc>
        <w:tc>
          <w:tcPr>
            <w:tcW w:type="dxa" w:w="4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EC applied for Bengaluru campus. First TL tranche disbursed only after EC receipt — pre-disbursement condition.</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Environmental clearance for TL is a pre-disbursement condition only. CC/WCDL/BG/LC are not contingent on this clearance.</w:t>
      </w:r>
    </w:p>
    <w:p>
      <w:r>
        <w:br w:type="page"/>
      </w:r>
    </w:p>
    <w:p>
      <w:pPr>
        <w:pStyle w:val="Heading1"/>
        <w:spacing w:before="400" w:after="120"/>
      </w:pPr>
      <w:r>
        <w:rPr>
          <w:rFonts w:ascii="Arial" w:cs="Arial" w:eastAsia="Arial" w:hAnsi="Arial"/>
          <w:b/>
          <w:bCs/>
          <w:color w:val="1A3C6E"/>
          <w:sz w:val="36"/>
          <w:szCs w:val="36"/>
        </w:rPr>
        <w:t xml:space="preserve">12. Terms, Conditions &amp; Covenants</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Credit facilities shall be governed by the following conditions in addition to Indian Bank's standard corporate credit terms and applicable RBI guidelines.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Category</w:t>
            </w:r>
          </w:p>
        </w:tc>
        <w:tc>
          <w:tcPr>
            <w:tcW w:type="dxa" w:w="69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Conditions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Pre-sanction conditions</w:t>
            </w:r>
          </w:p>
        </w:tc>
        <w:tc>
          <w:tcPr>
            <w:tcW w:type="dxa" w:w="6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Board resolution authorising borrowing and credit facility execution.
2. Signed sanction letter returned within 30 days of sanction.
3. Latest ROC filings, MOA/AOA submission.</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Pre-disbursement — all facilities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Execution of facility agreements, hypothecation deeds, guarantee documents.
2. CERSAI and ROC charge creation within 30 days of first disbursement.
3. Insurance policies with IB as co-insured/loss payee.
4. Payment of processing fee of INR 1.00 Crore.
5. QIS-I stock and book debt statement submission.</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Pre-disbursement — TL only</w:t>
            </w:r>
          </w:p>
        </w:tc>
        <w:tc>
          <w:tcPr>
            <w:tcW w:type="dxa" w:w="6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Environmental clearance from MoEFCC for Bengaluru campus project.
2. Construction contract with M/s L&amp;T Construction and BBMP-approved building plan.
3. IB engineer (M/s RITES Ltd.) technical certification of milestone readiness.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Financial covenants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Debt-equity ratio: &lt; 1.0x standalone at all times.
2. Current ratio: &gt; 1.25x at all times.
3. Interest coverage (EBIT/Interest): &gt; 5.0x.
4. Total outside liabilities / TNW: &lt; 1.5x.
5. Net cash and investments: remain positive at all times.
6. DSCR (TL): &gt; 1.25x annually.</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Reporting covenants</w:t>
            </w:r>
          </w:p>
        </w:tc>
        <w:tc>
          <w:tcPr>
            <w:tcW w:type="dxa" w:w="6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Audited annual financials within 180 days of FY end.
2. Un-audited quarterly results within 60 days of quarter end.
3. Monthly QIS-I &amp; QIS-II by 15th of each month.
4. Immediate intimation of MAC events, litigation, or EoD under any other credit agreement.
5. Annual IB-LCM rating submission by 31 May each year.</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Negative covenants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No further charge on hypothecated assets without IB's prior written consent.
2. No merger/acquisition &gt; 10% of net worth without prior intimation to IB.
3. No reduction in paid-up capital without IB approval.
4. No interim dividend if CC account is overdrawn/irregular.</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Events of default</w:t>
            </w:r>
          </w:p>
        </w:tc>
        <w:tc>
          <w:tcPr>
            <w:tcW w:type="dxa" w:w="6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Failure to pay principal or interest within 30 days of due date.
2. Breach of financial/reporting covenant unremedied within 60 days.
3. Material misrepresentation in financial statements.
4. Insolvency proceedings under IBC 2016.
5. Rating downgrade below IB-4 for two consecutive quarters.</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All conditions subject to final vetting by IB Legal Department. Execution of standard facility agreements mandatory prior to disbursement.</w:t>
      </w:r>
    </w:p>
    <w:p>
      <w:r>
        <w:br w:type="page"/>
      </w:r>
    </w:p>
    <w:p>
      <w:pPr>
        <w:pStyle w:val="Heading1"/>
        <w:spacing w:before="400" w:after="120"/>
      </w:pPr>
      <w:r>
        <w:rPr>
          <w:rFonts w:ascii="Arial" w:cs="Arial" w:eastAsia="Arial" w:hAnsi="Arial"/>
          <w:b/>
          <w:bCs/>
          <w:color w:val="1A3C6E"/>
          <w:sz w:val="36"/>
          <w:szCs w:val="36"/>
        </w:rPr>
        <w:t xml:space="preserve">13. Account Conduct &amp; Relationship Review</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Infosys has maintained an exemplary 20-year banking relationship with Indian Bank. The account has been Standard throughout with no credit events, defaults, restructuring, or irregular conduct.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6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Observations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Relationship vintage</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 years with Indian Bank (since October 2005).</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CC account utilisation (12M avg)</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Average utilisation: INR 780 Cr vs limit INR 1,200 Cr (65%). No excess drawings ever recorded.</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Interest servicing</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Interest on CC and WCDL paid on due dates without exception over 20 years. Zero instances of interest capitalisation.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SMA status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SMA-0: Nil. SMA-1: Nil. SMA-2: Nil. Account has never been classified SMA in its 20-year history with IB.</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Overdue / NPA history</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overdue across all facilities in the last 10 years. IRAC: Standard throughout.</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BG devolvements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devolvement over 20 years. All BGs expired normally or returned by beneficiaries.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LC devolvements</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devolvement. All LCs retired on or before maturity date.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Forex throughput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USD 520 Mn (FY2024) routed through IB — IB is the primary forex banker for hedging operations.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Annual site visit</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Electronic City campus inspected January 2025 by RM and credit team. Operations normal. No adverse observations.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Complaints / escalations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formal complaints or regulatory escalations in the last 5 years.</w:t>
            </w:r>
          </w:p>
        </w:tc>
      </w:tr>
    </w:tbl>
    <w:p>
      <w:r>
        <w:br w:type="page"/>
      </w:r>
    </w:p>
    <w:p>
      <w:pPr>
        <w:pStyle w:val="Heading1"/>
        <w:spacing w:before="400" w:after="120"/>
      </w:pPr>
      <w:r>
        <w:rPr>
          <w:rFonts w:ascii="Arial" w:cs="Arial" w:eastAsia="Arial" w:hAnsi="Arial"/>
          <w:b/>
          <w:bCs/>
          <w:color w:val="1A3C6E"/>
          <w:sz w:val="36"/>
          <w:szCs w:val="36"/>
        </w:rPr>
        <w:t xml:space="preserve">14. Liability &amp; Deposit Relationship Analysis</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This section analyses Indian Bank's liability (deposit) relationship with Infosys Limited — a critical dimension of the overall banking relationship that directly impacts the commercial justification for the credit exposure. The deposit relationship has grown consistently, demonstrating Infosys's trust in IB as its primary banker.</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14.1 Deposit Account Portfolio &amp; Average Monthly Balances (AmB)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60"/>
        <w:gridCol w:w="1060"/>
        <w:gridCol w:w="1060"/>
        <w:gridCol w:w="2380"/>
      </w:tblGrid>
      <w:tr>
        <w:tc>
          <w:tcPr>
            <w:tcW w:type="dxa" w:w="2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Account type</w:t>
            </w:r>
          </w:p>
        </w:tc>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Account no. (ref)</w:t>
            </w:r>
          </w:p>
        </w:tc>
        <w:tc>
          <w:tcPr>
            <w:tcW w:type="dxa" w:w="10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AmB FY2022</w:t>
            </w:r>
          </w:p>
        </w:tc>
        <w:tc>
          <w:tcPr>
            <w:tcW w:type="dxa" w:w="10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AmB FY2023</w:t>
            </w:r>
          </w:p>
        </w:tc>
        <w:tc>
          <w:tcPr>
            <w:tcW w:type="dxa" w:w="10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AmB FY2024</w:t>
            </w:r>
          </w:p>
        </w:tc>
        <w:tc>
          <w:tcPr>
            <w:tcW w:type="dxa" w:w="23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Current account — Operating (primary)</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IB-CHN-0042-001</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620 Cr</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580 Cr</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650 Cr</w:t>
            </w:r>
          </w:p>
        </w:tc>
        <w:tc>
          <w:tcPr>
            <w:tcW w:type="dxa" w:w="23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Primary operating account; all domestic collections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Current account — Payroll disbursement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IB-CHN-0042-002</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85 Cr</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92 Cr</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110 Cr</w:t>
            </w:r>
          </w:p>
        </w:tc>
        <w:tc>
          <w:tcPr>
            <w:tcW w:type="dxa" w:w="23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Monthly payroll for 42,000 employees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Current account — Forex / Treasury</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IB-CHN-0042-003</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180 Cr</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210 Cr</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240 Cr</w:t>
            </w:r>
          </w:p>
        </w:tc>
        <w:tc>
          <w:tcPr>
            <w:tcW w:type="dxa" w:w="23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USD inward remittance conversion account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Savings (employee salary accounts)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Multiple — 42,000 accounts</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52 Cr</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58 Cr</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67 Cr</w:t>
            </w:r>
          </w:p>
        </w:tc>
        <w:tc>
          <w:tcPr>
            <w:tcW w:type="dxa" w:w="23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Salary accounts under corporate tie-up</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Fixed deposits (short-term)</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Various tenors — 30–365 days</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1,200 Cr</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1,450 Cr</w:t>
            </w:r>
          </w:p>
        </w:tc>
        <w:tc>
          <w:tcPr>
            <w:tcW w:type="dxa" w:w="10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1,680 Cr</w:t>
            </w:r>
          </w:p>
        </w:tc>
        <w:tc>
          <w:tcPr>
            <w:tcW w:type="dxa" w:w="23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Temporary investment of surplus — auto-renewal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Sweep account (CC linked)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Linked to CC account</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45 Cr</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48 Cr</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INR 52 Cr</w:t>
            </w:r>
          </w:p>
        </w:tc>
        <w:tc>
          <w:tcPr>
            <w:tcW w:type="dxa" w:w="23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Overnight sweep from CC surplus</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DEPOSITS WITH IB</w:t>
            </w:r>
          </w:p>
        </w:tc>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INR 2,182 Cr</w:t>
            </w:r>
          </w:p>
        </w:tc>
        <w:tc>
          <w:tcPr>
            <w:tcW w:type="dxa" w:w="10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INR 2,438 Cr</w:t>
            </w:r>
          </w:p>
        </w:tc>
        <w:tc>
          <w:tcPr>
            <w:tcW w:type="dxa" w:w="10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INR 2,799 Cr</w:t>
            </w:r>
          </w:p>
        </w:tc>
        <w:tc>
          <w:tcPr>
            <w:tcW w:type="dxa" w:w="23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Infosys maintains six distinct deposit/current account relationships with Indian Bank. Total average monthly balances (AmB) have grown at a CAGR of 13.2% over the last 3 years, reaching INR 2,799 Cr in FY2024 — significantly exceeding the average credit utilisation of INR 1,450 Cr. The fixed deposit portfolio of INR 1,680 Cr represents short-term treasury management — auto-renewed at IB branch rates, providing stable low-cost funding to Indian Bank.</w:t>
      </w:r>
    </w:p>
    <w:p>
      <w:pPr>
        <w:spacing w:before="60" w:after="60"/>
        <w:jc w:val="both"/>
      </w:pPr>
      <w:r>
        <w:rPr>
          <w:rFonts w:ascii="Arial" w:cs="Arial" w:eastAsia="Arial" w:hAnsi="Arial"/>
          <w:b w:val="false"/>
          <w:bCs w:val="false"/>
          <w:i w:val="false"/>
          <w:iCs w:val="false"/>
          <w:color w:val="000000"/>
          <w:sz w:val="22"/>
          <w:szCs w:val="22"/>
        </w:rPr>
        <w:t xml:space="preserve">The 42,000 employee salary accounts under the corporate tie-up generate significant CASA float for IB's Chennai branches. Based on average monthly salary of INR 1.2 Lakh per employee and a 15-day float assumption, the salary accounts contribute approximately INR 756 Cr in monthly CASA float. This figure is not captured in the AmB table above as it represents distributed accounts across multiple IB branches.</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14.2 Deposit-to-Credit Ratio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2280"/>
        <w:gridCol w:w="1200"/>
        <w:gridCol w:w="2600"/>
      </w:tblGrid>
      <w:tr>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w:t>
            </w:r>
          </w:p>
        </w:tc>
        <w:tc>
          <w:tcPr>
            <w:tcW w:type="dxa" w:w="2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deposits (AmB)</w:t>
            </w:r>
          </w:p>
        </w:tc>
        <w:tc>
          <w:tcPr>
            <w:tcW w:type="dxa" w:w="22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Average credit utilisation</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Deposit / credit ratio</w:t>
            </w:r>
          </w:p>
        </w:tc>
        <w:tc>
          <w:tcPr>
            <w:tcW w:type="dxa" w:w="2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1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FY2022</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INR 2,182 Cr</w:t>
            </w:r>
          </w:p>
        </w:tc>
        <w:tc>
          <w:tcPr>
            <w:tcW w:type="dxa" w:w="2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1,800 Cr (credit)</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1.21x</w:t>
            </w:r>
          </w:p>
        </w:tc>
        <w:tc>
          <w:tcPr>
            <w:tcW w:type="dxa" w:w="2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382 Cr net deposit surplus</w:t>
            </w:r>
          </w:p>
        </w:tc>
      </w:tr>
      <w:tr>
        <w:tc>
          <w:tcPr>
            <w:tcW w:type="dxa" w:w="1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FY2023</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INR 2,438 Cr</w:t>
            </w:r>
          </w:p>
        </w:tc>
        <w:tc>
          <w:tcPr>
            <w:tcW w:type="dxa" w:w="2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1,800 Cr (credit)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1.35x</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638 Cr net deposit surplus</w:t>
            </w:r>
          </w:p>
        </w:tc>
      </w:tr>
      <w:tr>
        <w:tc>
          <w:tcPr>
            <w:tcW w:type="dxa" w:w="1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FY2024</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INR 2,799 Cr</w:t>
            </w:r>
          </w:p>
        </w:tc>
        <w:tc>
          <w:tcPr>
            <w:tcW w:type="dxa" w:w="2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1,450 Cr (credit — CC+WCDL)</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1.93x</w:t>
            </w:r>
          </w:p>
        </w:tc>
        <w:tc>
          <w:tcPr>
            <w:tcW w:type="dxa" w:w="2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1,349 Cr net deposit surplus — deposits exceed credit utilisation</w:t>
            </w:r>
          </w:p>
        </w:tc>
      </w:tr>
      <w:tr>
        <w:tc>
          <w:tcPr>
            <w:tcW w:type="dxa" w:w="1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FY2025E</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INR 3,100 Cr (est.)</w:t>
            </w:r>
          </w:p>
        </w:tc>
        <w:tc>
          <w:tcPr>
            <w:tcW w:type="dxa" w:w="2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2,200 Cr (proposed utilisation est.)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1.41x</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Deposits remain &gt; credit utilisation post-enhancement</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The deposit-to-credit ratio has improved from 1.21x in FY2022 to 1.93x in FY2024, reflecting stronger deposit growth relative to credit utilisation. Even post-enhancement (INR 2,500 Cr proposed exposure), the projected ratio of 1.41x remains comfortably above 1.0x — confirming that Infosys is a net depositor with Indian Bank. This is an exceptional characteristic of a corporate credit account, reflecting the company's treasury management preference for IB fixed deposits.</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14.3 Wallet Share Analysis — IB vs Peer Banks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2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c>
          <w:tcPr>
            <w:tcW w:type="dxa" w:w="2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Benchmark</w:t>
            </w:r>
          </w:p>
        </w:tc>
        <w:tc>
          <w:tcPr>
            <w:tcW w:type="dxa" w:w="21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deposits with IB (FY2024)</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2,799 Cr</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t>
            </w:r>
          </w:p>
        </w:tc>
        <w:tc>
          <w:tcPr>
            <w:tcW w:type="dxa" w:w="216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Estimated total banking deposits — all banks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8,500 Cr (est.)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t>
            </w:r>
          </w:p>
        </w:tc>
        <w:tc>
          <w:tcPr>
            <w:tcW w:type="dxa" w:w="216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IB wallet share of deposits</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32.9%</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Industry target for lead banker: &gt;30%</w:t>
            </w:r>
          </w:p>
        </w:tc>
        <w:tc>
          <w:tcPr>
            <w:tcW w:type="dxa" w:w="21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PASS — above benchmark</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credit with IB (proposed)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2,500 Cr</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t>
            </w:r>
          </w:p>
        </w:tc>
        <w:tc>
          <w:tcPr>
            <w:tcW w:type="dxa" w:w="216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Estimated total credit — all banks</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6,200 Cr (est. consortium + bilateral)</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t>
            </w:r>
          </w:p>
        </w:tc>
        <w:tc>
          <w:tcPr>
            <w:tcW w:type="dxa" w:w="216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IB wallet share of credit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40.3%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Industry target for lead banker: &gt;25%</w:t>
            </w:r>
          </w:p>
        </w:tc>
        <w:tc>
          <w:tcPr>
            <w:tcW w:type="dxa" w:w="21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PASS — strong lead position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IB share of forex business</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22.4% (USD 520 Mn of USD 2.32 Bn total)</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Target: &gt;20%</w:t>
            </w:r>
          </w:p>
        </w:tc>
        <w:tc>
          <w:tcPr>
            <w:tcW w:type="dxa" w:w="21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PASS — above benchmark</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Salary accounts (employees)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42,000 of ~3,17,000 = 13.2% penetration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Target: &gt;10%</w:t>
            </w:r>
          </w:p>
        </w:tc>
        <w:tc>
          <w:tcPr>
            <w:tcW w:type="dxa" w:w="21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PASS</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Indian Bank holds the lead banker position across deposits (32.9% wallet share) and credit (40.3% wallet share) — above the internal benchmarks for both. The 22.4% forex wallet share reflects IB's competitive forex rates and the RM's proactive engagement with Infosys's treasury team. The 13.2% salary account penetration (42,000 of 3,17,000 employees) represents significant additional runway — a targeted salary banking drive could potentially add 80,000–100,000 accounts over the next 3 years.</w:t>
      </w:r>
    </w:p>
    <w:p>
      <w:r>
        <w:br w:type="page"/>
      </w:r>
    </w:p>
    <w:p>
      <w:pPr>
        <w:pStyle w:val="Heading1"/>
        <w:spacing w:before="400" w:after="120"/>
      </w:pPr>
      <w:r>
        <w:rPr>
          <w:rFonts w:ascii="Arial" w:cs="Arial" w:eastAsia="Arial" w:hAnsi="Arial"/>
          <w:b/>
          <w:bCs/>
          <w:color w:val="1A3C6E"/>
          <w:sz w:val="36"/>
          <w:szCs w:val="36"/>
        </w:rPr>
        <w:t xml:space="preserve">15. Cash Flow Routing &amp; Transaction Banking Analysis</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This section analyses the routing of Infosys's operating cash flows through Indian Bank — a key indicator of relationship depth and a critical risk mitigant. High cash flow routing reduces substitution risk (the risk that the borrower migrates its banking relationship), provides early warning signals of financial stress, and generates non-interest income for IB.</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15.1 Cash Flow Routing Analysis —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60"/>
        <w:gridCol w:w="1600"/>
        <w:gridCol w:w="1560"/>
        <w:gridCol w:w="1240"/>
      </w:tblGrid>
      <w:tr>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Cash flow type</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 total annual volume</w:t>
            </w:r>
          </w:p>
        </w:tc>
        <w:tc>
          <w:tcPr>
            <w:tcW w:type="dxa" w:w="1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Through IB</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Through HDFC/ICICI</w:t>
            </w:r>
          </w:p>
        </w:tc>
        <w:tc>
          <w:tcPr>
            <w:tcW w:type="dxa" w:w="1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Through others</w:t>
            </w:r>
          </w:p>
        </w:tc>
        <w:tc>
          <w:tcPr>
            <w:tcW w:type="dxa" w:w="12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IB opportunity</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Domestic client collections (INR)</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12,400 Cr p.a.</w:t>
            </w:r>
          </w:p>
        </w:tc>
        <w:tc>
          <w:tcPr>
            <w:tcW w:type="dxa" w:w="15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INR 4,340 Cr (35%)</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5,580 Cr (45%)</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2,480 Cr (20%)</w:t>
            </w:r>
          </w:p>
        </w:tc>
        <w:tc>
          <w:tcPr>
            <w:tcW w:type="dxa" w:w="12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54F0B"/>
                <w:sz w:val="20"/>
                <w:szCs w:val="20"/>
              </w:rPr>
              <w:t xml:space="preserve">Target 50%+ routing to IB — currently below potential</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Inward USD remittances (converted)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USD 9.2 Bn p.a. (INR 76,590 Cr equivalent)</w:t>
            </w:r>
          </w:p>
        </w:tc>
        <w:tc>
          <w:tcPr>
            <w:tcW w:type="dxa" w:w="15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USD 520 Mn / INR 4,330 Cr (5.7%)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USD 4.1 Bn / INR 34,130 Cr (44.6%)</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USD 4.58 Bn / INR 38,130 Cr (49.7%)</w:t>
            </w:r>
          </w:p>
        </w:tc>
        <w:tc>
          <w:tcPr>
            <w:tcW w:type="dxa" w:w="12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54F0B"/>
                <w:sz w:val="20"/>
                <w:szCs w:val="20"/>
              </w:rPr>
              <w:t xml:space="preserve">IB is primary conversion bank for USD flows; 5.7% share is opportunity area</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Payroll disbursements</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57,600 Cr p.a. (India entity)</w:t>
            </w:r>
          </w:p>
        </w:tc>
        <w:tc>
          <w:tcPr>
            <w:tcW w:type="dxa" w:w="15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INR 12,240 Cr (21.2%)</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22,320 Cr (38.8%)</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23,040 Cr (40.0%)</w:t>
            </w:r>
          </w:p>
        </w:tc>
        <w:tc>
          <w:tcPr>
            <w:tcW w:type="dxa" w:w="12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54F0B"/>
                <w:sz w:val="20"/>
                <w:szCs w:val="20"/>
              </w:rPr>
              <w:t xml:space="preserve">42,000 of ~3,17,000 employees on IB salary; upside to INR 25,000 Cr with expanded tie-up</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Vendor payments (domestic)</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18,000 Cr p.a.</w:t>
            </w:r>
          </w:p>
        </w:tc>
        <w:tc>
          <w:tcPr>
            <w:tcW w:type="dxa" w:w="15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INR 1,440 Cr (8.0%)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7,200 Cr (40.0%)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9,360 Cr (52.0%)</w:t>
            </w:r>
          </w:p>
        </w:tc>
        <w:tc>
          <w:tcPr>
            <w:tcW w:type="dxa" w:w="12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54F0B"/>
                <w:sz w:val="20"/>
                <w:szCs w:val="20"/>
              </w:rPr>
              <w:t xml:space="preserve">IB's corporate payment platform (INB-Corporate) used for 52% of vendor payments</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Forex hedging (forward / options)</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USD 2.32 Bn p.a. notional</w:t>
            </w:r>
          </w:p>
        </w:tc>
        <w:tc>
          <w:tcPr>
            <w:tcW w:type="dxa" w:w="15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USD 520 Mn (22.4%)</w:t>
            </w:r>
          </w:p>
        </w:tc>
        <w:tc>
          <w:tcPr>
            <w:tcW w:type="dxa" w:w="16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USD 930 Mn (40.1%)</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USD 870 Mn (37.5%)</w:t>
            </w:r>
          </w:p>
        </w:tc>
        <w:tc>
          <w:tcPr>
            <w:tcW w:type="dxa" w:w="124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54F0B"/>
                <w:sz w:val="20"/>
                <w:szCs w:val="20"/>
              </w:rPr>
              <w:t xml:space="preserve">IB is lead hedging bank; cross-currency swaps also executed</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RTGS / NEFT transactions (value)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42,000 Cr p.a.</w:t>
            </w:r>
          </w:p>
        </w:tc>
        <w:tc>
          <w:tcPr>
            <w:tcW w:type="dxa" w:w="15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1A6B3C"/>
                <w:sz w:val="20"/>
                <w:szCs w:val="20"/>
              </w:rPr>
              <w:t xml:space="preserve">INR 8,820 Cr (21.0%)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18,480 Cr (44.0%)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INR 14,700 Cr (35.0%)</w:t>
            </w:r>
          </w:p>
        </w:tc>
        <w:tc>
          <w:tcPr>
            <w:tcW w:type="dxa" w:w="12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54F0B"/>
                <w:sz w:val="20"/>
                <w:szCs w:val="20"/>
              </w:rPr>
              <w:t xml:space="preserve">High-value RTGS throughput — land record, property, and govt payments</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Indian Bank's share of Infosys's total operating cash flows is estimated at approximately 21–22% across all transaction types. The highest routing concentration is in vendor payments (52% through IB's corporate payment platform) and forex conversion (5.7% — opportunity area given IB's competitive USD/INR rates). Payroll routing at 21.2% (INR 12,240 Cr) is constrained by the 13.2% salary account penetration — expanding the employee banking tie-up is the single largest routing improvement lever.</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15.2 Transaction Banking Volume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1400"/>
        <w:gridCol w:w="1400"/>
        <w:gridCol w:w="1560"/>
        <w:gridCol w:w="1400"/>
        <w:gridCol w:w="1640"/>
        <w:gridCol w:w="1800"/>
      </w:tblGrid>
      <w:tr>
        <w:tc>
          <w:tcPr>
            <w:tcW w:type="dxa" w:w="11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w:t>
            </w:r>
          </w:p>
        </w:tc>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Payroll (INR Cr)</w:t>
            </w:r>
          </w:p>
        </w:tc>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Vendor pmts (INR Cr)</w:t>
            </w:r>
          </w:p>
        </w:tc>
        <w:tc>
          <w:tcPr>
            <w:tcW w:type="dxa" w:w="1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Forex conv (INR Cr)</w:t>
            </w:r>
          </w:p>
        </w:tc>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RTGS/NEFT (INR Cr)</w:t>
            </w:r>
          </w:p>
        </w:tc>
        <w:tc>
          <w:tcPr>
            <w:tcW w:type="dxa" w:w="16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through IB (INR Cr)</w:t>
            </w:r>
          </w:p>
        </w:tc>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IB operating CF share (%)</w:t>
            </w:r>
          </w:p>
        </w:tc>
      </w:tr>
      <w:tr>
        <w:tc>
          <w:tcPr>
            <w:tcW w:type="dxa" w:w="11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FY2022</w:t>
            </w:r>
          </w:p>
        </w:tc>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21,200</w:t>
            </w:r>
          </w:p>
        </w:tc>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8,820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3,840</w:t>
            </w:r>
          </w:p>
        </w:tc>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1,640</w:t>
            </w:r>
          </w:p>
        </w:tc>
        <w:tc>
          <w:tcPr>
            <w:tcW w:type="dxa" w:w="16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13,200</w:t>
            </w:r>
          </w:p>
        </w:tc>
        <w:tc>
          <w:tcPr>
            <w:tcW w:type="dxa" w:w="18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2,040</w:t>
            </w:r>
          </w:p>
        </w:tc>
      </w:tr>
      <w:tr>
        <w:tc>
          <w:tcPr>
            <w:tcW w:type="dxa" w:w="11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FY2023</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24,800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10,400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4,120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1,920</w:t>
            </w:r>
          </w:p>
        </w:tc>
        <w:tc>
          <w:tcPr>
            <w:tcW w:type="dxa" w:w="16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15,480</w:t>
            </w:r>
          </w:p>
        </w:tc>
        <w:tc>
          <w:tcPr>
            <w:tcW w:type="dxa" w:w="18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2,320</w:t>
            </w:r>
          </w:p>
        </w:tc>
      </w:tr>
      <w:tr>
        <w:tc>
          <w:tcPr>
            <w:tcW w:type="dxa" w:w="11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FY2024</w:t>
            </w:r>
          </w:p>
        </w:tc>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29,400</w:t>
            </w:r>
          </w:p>
        </w:tc>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12,240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4,330</w:t>
            </w:r>
          </w:p>
        </w:tc>
        <w:tc>
          <w:tcPr>
            <w:tcW w:type="dxa" w:w="1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2,180</w:t>
            </w:r>
          </w:p>
        </w:tc>
        <w:tc>
          <w:tcPr>
            <w:tcW w:type="dxa" w:w="16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18,400</w:t>
            </w:r>
          </w:p>
        </w:tc>
        <w:tc>
          <w:tcPr>
            <w:tcW w:type="dxa" w:w="18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2,460</w:t>
            </w:r>
          </w:p>
        </w:tc>
      </w:tr>
      <w:tr>
        <w:tc>
          <w:tcPr>
            <w:tcW w:type="dxa" w:w="11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FY2025E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33,600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14,200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5,040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2,600</w:t>
            </w:r>
          </w:p>
        </w:tc>
        <w:tc>
          <w:tcPr>
            <w:tcW w:type="dxa" w:w="16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21,200</w:t>
            </w:r>
          </w:p>
        </w:tc>
        <w:tc>
          <w:tcPr>
            <w:tcW w:type="dxa" w:w="18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2,900</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Total transaction banking volumes routed through IB have grown at a CAGR of 20.4% over three years, reaching INR 18,400 Cr in FY2024. IB's share of total operating cash flows has expanded from an estimated 18.2% in FY2022 to 21.0% in FY2024, reflecting the deepening of the relationship following the CC limit enhancement in 2022. FY2025E projects INR 21,200 Cr in routing — driven by expanded vendor payment mandate and new forex hedging lines.</w:t>
      </w:r>
    </w:p>
    <w:p>
      <w:pPr>
        <w:pStyle w:val="Heading2"/>
        <w:spacing w:before="280" w:after="80"/>
      </w:pPr>
      <w:r>
        <w:rPr>
          <w:rFonts w:ascii="Arial" w:cs="Arial" w:eastAsia="Arial" w:hAnsi="Arial"/>
          <w:b/>
          <w:bCs/>
          <w:color w:val="2E5FA3"/>
          <w:sz w:val="28"/>
          <w:szCs w:val="28"/>
        </w:rPr>
        <w:t xml:space="preserve">15.3 Cash Flow Routing Risk Assessment</w:t>
      </w:r>
    </w:p>
    <w:p>
      <w:pPr>
        <w:spacing w:before="60" w:after="60"/>
        <w:jc w:val="both"/>
      </w:pPr>
      <w:r>
        <w:rPr>
          <w:rFonts w:ascii="Arial" w:cs="Arial" w:eastAsia="Arial" w:hAnsi="Arial"/>
          <w:b w:val="false"/>
          <w:bCs w:val="false"/>
          <w:i w:val="false"/>
          <w:iCs w:val="false"/>
          <w:color w:val="000000"/>
          <w:sz w:val="22"/>
          <w:szCs w:val="22"/>
        </w:rPr>
        <w:t xml:space="preserve">Routing concentration risk is assessed as LOW-MEDIUM. Key observations: (a) Infosys deliberately distributes its banking relationships across 4–5 banks (IB, HDFC Bank, ICICI Bank, Citibank India) to avoid single-bank dependency — this is standard practice for investment-grade corporates; (b) IB's 21% routing share as the lead banker is appropriate and above the 15% minimum threshold for a lead banking relationship; (c) the long-term trajectory of routing share is positive; (d) the salary banking tie-up creates stickiness — employees prefer to retain accounts once opened. Early warning capability: IB's visibility into 21% of operating cash flows provides adequate early warning of financial stress.</w:t>
      </w:r>
    </w:p>
    <w:p>
      <w:r>
        <w:br w:type="page"/>
      </w:r>
    </w:p>
    <w:p>
      <w:pPr>
        <w:pStyle w:val="Heading1"/>
        <w:spacing w:before="400" w:after="120"/>
      </w:pPr>
      <w:r>
        <w:rPr>
          <w:rFonts w:ascii="Arial" w:cs="Arial" w:eastAsia="Arial" w:hAnsi="Arial"/>
          <w:b/>
          <w:bCs/>
          <w:color w:val="1A3C6E"/>
          <w:sz w:val="36"/>
          <w:szCs w:val="36"/>
        </w:rPr>
        <w:t xml:space="preserve">16. Fee Income &amp; Cross-Sell Analysis</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This section analyses the fee income earned by Indian Bank from the Infosys relationship and identifies the cross-sell pipeline. Fee income is a critical metric for assessing the full commercial value of a corporate relationship, particularly for IB-1 rated borrowers where NII margins are compressed by competitive pricing.</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16.1 Fee Income — Trend Analysis (FY2022–FY2025E)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40"/>
        <w:gridCol w:w="840"/>
        <w:gridCol w:w="840"/>
        <w:gridCol w:w="840"/>
        <w:gridCol w:w="3800"/>
      </w:tblGrid>
      <w:tr>
        <w:tc>
          <w:tcPr>
            <w:tcW w:type="dxa" w:w="2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Fee income stream</w:t>
            </w:r>
          </w:p>
        </w:tc>
        <w:tc>
          <w:tcPr>
            <w:tcW w:type="dxa" w:w="8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 (INR Cr)</w:t>
            </w:r>
          </w:p>
        </w:tc>
        <w:tc>
          <w:tcPr>
            <w:tcW w:type="dxa" w:w="8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 (INR Cr)</w:t>
            </w:r>
          </w:p>
        </w:tc>
        <w:tc>
          <w:tcPr>
            <w:tcW w:type="dxa" w:w="8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 (INR Cr)</w:t>
            </w:r>
          </w:p>
        </w:tc>
        <w:tc>
          <w:tcPr>
            <w:tcW w:type="dxa" w:w="8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FY2025E (INR Cr)</w:t>
            </w:r>
          </w:p>
        </w:tc>
        <w:tc>
          <w:tcPr>
            <w:tcW w:type="dxa" w:w="3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Commentary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BG commission</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8.2</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9.1</w:t>
            </w:r>
          </w:p>
        </w:tc>
        <w:tc>
          <w:tcPr>
            <w:tcW w:type="dxa" w:w="8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10.4</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12.0</w:t>
            </w:r>
          </w:p>
        </w:tc>
        <w:tc>
          <w:tcPr>
            <w:tcW w:type="dxa" w:w="3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BG portfolio growing with government sector business; commission rate stable at 0.25% / 0.40%</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LC commission</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8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3.3</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hardware import LCs steady; slight uplift from new product refresh cycle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Forex conversion fees</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3.6</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4.2</w:t>
            </w:r>
          </w:p>
        </w:tc>
        <w:tc>
          <w:tcPr>
            <w:tcW w:type="dxa" w:w="8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5.6</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7.2</w:t>
            </w:r>
          </w:p>
        </w:tc>
        <w:tc>
          <w:tcPr>
            <w:tcW w:type="dxa" w:w="3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Fastest-growing line; IB appointed as exclusive forex bank for Bengaluru campus repatriation flows from FY2024</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Forward contract / hedging fees</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0.8</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8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1.8</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Cross-currency swaps and forward hedging; growing as IB expands derivatives capability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management services (CMS)</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0.9</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8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2.0</w:t>
            </w:r>
          </w:p>
        </w:tc>
        <w:tc>
          <w:tcPr>
            <w:tcW w:type="dxa" w:w="3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INB-Corporate payment platform; bulk payroll transfer fees; vendor payment gateway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Trade finance advisory</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0.4</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0.5</w:t>
            </w:r>
          </w:p>
        </w:tc>
        <w:tc>
          <w:tcPr>
            <w:tcW w:type="dxa" w:w="8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0.6</w:t>
            </w:r>
          </w:p>
        </w:tc>
        <w:tc>
          <w:tcPr>
            <w:tcW w:type="dxa" w:w="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0.8</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Export documentation, FEMA advisory, EEFC account management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Miscellaneous charges</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0.7</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0.8</w:t>
            </w:r>
          </w:p>
        </w:tc>
        <w:tc>
          <w:tcPr>
            <w:tcW w:type="dxa" w:w="8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iCs/>
                <w:color w:val="2E5FA3"/>
                <w:sz w:val="20"/>
                <w:szCs w:val="20"/>
              </w:rPr>
              <w:t xml:space="preserve">1.4</w:t>
            </w:r>
          </w:p>
        </w:tc>
        <w:tc>
          <w:tcPr>
            <w:tcW w:type="dxa" w:w="3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RTGS/NEFT charges, account maintenance, certified copies, SWIFT charges</w:t>
            </w:r>
          </w:p>
        </w:tc>
      </w:tr>
      <w:tr>
        <w:tc>
          <w:tcPr>
            <w:tcW w:type="dxa" w:w="2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FEE INCOME</w:t>
            </w:r>
          </w:p>
        </w:tc>
        <w:tc>
          <w:tcPr>
            <w:tcW w:type="dxa" w:w="8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17.4</w:t>
            </w:r>
          </w:p>
        </w:tc>
        <w:tc>
          <w:tcPr>
            <w:tcW w:type="dxa" w:w="8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19.8</w:t>
            </w:r>
          </w:p>
        </w:tc>
        <w:tc>
          <w:tcPr>
            <w:tcW w:type="dxa" w:w="8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23.8</w:t>
            </w:r>
          </w:p>
        </w:tc>
        <w:tc>
          <w:tcPr>
            <w:tcW w:type="dxa" w:w="8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A6B3C"/>
                <w:sz w:val="20"/>
                <w:szCs w:val="20"/>
              </w:rPr>
              <w:t xml:space="preserve">28.5</w:t>
            </w:r>
          </w:p>
        </w:tc>
        <w:tc>
          <w:tcPr>
            <w:tcW w:type="dxa" w:w="3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Total fee income from the Infosys relationship has grown at a CAGR of 11.1% from INR 17.4 Cr (FY2022) to INR 23.8 Cr (FY2024), and is projected to reach INR 28.5 Cr in FY2025E driven by: (a) BG portfolio growth aligned with government sector contracts; (b) forex fee income accelerating as IB expands its share of USD conversion mandates; and (c) CMS fee income growing as Infosys expands its vendor payment digitalisation programme.</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16.2 Revenue-per-Relationship (RPR)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Revenue per relationship metric</w:t>
            </w:r>
          </w:p>
        </w:tc>
        <w:tc>
          <w:tcPr>
            <w:tcW w:type="dxa" w:w="15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w:t>
            </w:r>
          </w:p>
        </w:tc>
        <w:tc>
          <w:tcPr>
            <w:tcW w:type="dxa" w:w="15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w:t>
            </w:r>
          </w:p>
        </w:tc>
        <w:tc>
          <w:tcPr>
            <w:tcW w:type="dxa" w:w="15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w:t>
            </w:r>
          </w:p>
        </w:tc>
        <w:tc>
          <w:tcPr>
            <w:tcW w:type="dxa" w:w="154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FY2025E</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Average credit exposure (INR Cr)</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1,800</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1,800</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1,800</w:t>
            </w:r>
          </w:p>
        </w:tc>
        <w:tc>
          <w:tcPr>
            <w:tcW w:type="dxa" w:w="15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2,500 (post-sanction)</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fee income (INR Cr)</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17.4</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19.8</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23.8</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28.5</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Fee income as % of avg credit</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0.97%</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1.10%</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1.32%</w:t>
            </w:r>
          </w:p>
        </w:tc>
        <w:tc>
          <w:tcPr>
            <w:tcW w:type="dxa" w:w="15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1.14% (dilution from TL)</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Net interest income (NII) estimate (INR Cr)</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49.5</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55.0</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53.2</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87.5</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relationship income (NII + fees) (INR Cr)</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66.9</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74.8</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77.0</w:t>
            </w:r>
          </w:p>
        </w:tc>
        <w:tc>
          <w:tcPr>
            <w:tcW w:type="dxa" w:w="15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116.0</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Yield on relationship (total income / avg exposure)</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3.72%</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4.16%</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4.28%</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4.64%</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IB internal breakeven yield</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2.80%</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2.80%</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2.80%</w:t>
            </w:r>
          </w:p>
        </w:tc>
        <w:tc>
          <w:tcPr>
            <w:tcW w:type="dxa" w:w="15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2.80%</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Surplus above breakeven</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0.92%</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1.36%</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1.48%</w:t>
            </w:r>
          </w:p>
        </w:tc>
        <w:tc>
          <w:tcPr>
            <w:tcW w:type="dxa" w:w="15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1.84%</w:t>
            </w:r>
          </w:p>
        </w:tc>
      </w:tr>
      <w:tr>
        <w:tc>
          <w:tcPr>
            <w:tcW w:type="dxa" w:w="3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 on regulatory capital (RoRC estimate)</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18.2%</w:t>
            </w:r>
          </w:p>
        </w:tc>
        <w:tc>
          <w:tcPr>
            <w:tcW w:type="dxa" w:w="15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19.6%</w:t>
            </w:r>
          </w:p>
        </w:tc>
        <w:tc>
          <w:tcPr>
            <w:tcW w:type="dxa" w:w="154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20.4%</w:t>
            </w:r>
          </w:p>
        </w:tc>
        <w:tc>
          <w:tcPr>
            <w:tcW w:type="dxa" w:w="154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iCs/>
                <w:color w:val="1A6B3C"/>
                <w:sz w:val="20"/>
                <w:szCs w:val="20"/>
              </w:rPr>
              <w:t xml:space="preserve">21.8%</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The relationship yield of 4.28% in FY2024 (total income as a % of average exposure) is 148 bps above IB's internal breakeven yield of 2.80% — confirming the strong commercial viability of the relationship. Post-enhancement, the projected yield of 4.64% reflects the incremental TL income and expanded fee income, offsetting the dilutive effect of the larger denominator. Return on regulatory capital (RoRC) of 21.8% in FY2025E exceeds IB's hurdle RoRC of 18% — this relationship creates economic value for Indian Bank.</w:t>
      </w:r>
    </w:p>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16.3 Cross-Sell Pipeline — Next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2800"/>
        <w:gridCol w:w="1200"/>
      </w:tblGrid>
      <w:tr>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Cross-sell opportunity</w:t>
            </w:r>
          </w:p>
        </w:tc>
        <w:tc>
          <w:tcPr>
            <w:tcW w:type="dxa" w:w="4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Timeline</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Revenue potential</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Trade finance — Export Bill Discounting</w:t>
            </w:r>
          </w:p>
        </w:tc>
        <w:tc>
          <w:tcPr>
            <w:tcW w:type="dxa" w:w="4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Infosys has receivables from US/EU clients eligible for export bill discounting at competitive rates; potential exposure: INR 500–800 Cr</w:t>
            </w:r>
          </w:p>
        </w:tc>
        <w:tc>
          <w:tcPr>
            <w:tcW w:type="dxa" w:w="280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Medium (12 months)</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6B3C"/>
                <w:sz w:val="20"/>
                <w:szCs w:val="20"/>
              </w:rPr>
              <w:t xml:space="preserve">High — IB can offer competitive rates; reduces receivable cycle by 30 days for Infosys</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Supply chain finance (reverse factoring)</w:t>
            </w:r>
          </w:p>
        </w:tc>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On-board Infosys's 500+ domestic vendors onto IB's SCF platform — vendors get early payment; IB earns spread; Infosys improves vendor relationships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Medium (18 months)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6B3C"/>
                <w:sz w:val="20"/>
                <w:szCs w:val="20"/>
              </w:rPr>
              <w:t xml:space="preserve">High — IB SCF platform already deployed at 3 large IT companies; replicable for Infosys</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Structured forex hedging programme</w:t>
            </w:r>
          </w:p>
        </w:tc>
        <w:tc>
          <w:tcPr>
            <w:tcW w:type="dxa" w:w="4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Formalise 12-month USD hedge book management with IB as exclusive advisor; upgrade from ad-hoc to programmatic hedging</w:t>
            </w:r>
          </w:p>
        </w:tc>
        <w:tc>
          <w:tcPr>
            <w:tcW w:type="dxa" w:w="280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Short (6 months)</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6B3C"/>
                <w:sz w:val="20"/>
                <w:szCs w:val="20"/>
              </w:rPr>
              <w:t xml:space="preserve">Very High — forex advisory fee + spread income of INR 3–5 Cr incremental p.a.</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Employee home loan tie-up</w:t>
            </w:r>
          </w:p>
        </w:tc>
        <w:tc>
          <w:tcPr>
            <w:tcW w:type="dxa" w:w="4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Preferential home loan scheme for 3,17,000 Infosys employees at concessional rates; 0.25% processing fee waived; target 5,000 home loans in Year 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Medium (18 months)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6B3C"/>
                <w:sz w:val="20"/>
                <w:szCs w:val="20"/>
              </w:rPr>
              <w:t xml:space="preserve">High — INR 2,500–3,000 Cr of home loan book; NII of INR 50–60 Cr p.a.</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Corporate FD / liquid fund sweep</w:t>
            </w:r>
          </w:p>
        </w:tc>
        <w:tc>
          <w:tcPr>
            <w:tcW w:type="dxa" w:w="4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Upgrade treasury relationship — INR 500–1,000 Cr of the INR 1,680 Cr FD portfolio to be migrated to IB liquid mutual fund sweep with higher yield for Infosys</w:t>
            </w:r>
          </w:p>
        </w:tc>
        <w:tc>
          <w:tcPr>
            <w:tcW w:type="dxa" w:w="2800"/>
            <w:tcBorders>
              <w:top w:val="single" w:color="AAAAAA" w:sz="4"/>
              <w:left w:val="single" w:color="AAAAAA" w:sz="4"/>
              <w:bottom w:val="single" w:color="AAAAAA" w:sz="4"/>
              <w:right w:val="single" w:color="AAAAAA" w:sz="4"/>
            </w:tcBorders>
            <w:shd w:fill="FAEE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854F0B"/>
                <w:sz w:val="20"/>
                <w:szCs w:val="20"/>
              </w:rPr>
              <w:t xml:space="preserve">Short (6 months)</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6B3C"/>
                <w:sz w:val="20"/>
                <w:szCs w:val="20"/>
              </w:rPr>
              <w:t xml:space="preserve">Medium — INR 5–8 Cr incremental fee income; deepens treasury relationship</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The identified cross-sell pipeline could add INR 60–80 Cr in incremental annual income to the Infosys relationship within 18 months, increasing the total relationship yield above 5%. The RM has initiated preliminary conversations with Infosys's CFO and Group Treasurer on the structured forex hedging programme and supply chain finance opportunity — both have received in-principle interest.</w:t>
      </w:r>
    </w:p>
    <w:p>
      <w:r>
        <w:br w:type="page"/>
      </w:r>
    </w:p>
    <w:p>
      <w:pPr>
        <w:pStyle w:val="Heading1"/>
        <w:spacing w:before="400" w:after="120"/>
      </w:pPr>
      <w:r>
        <w:rPr>
          <w:rFonts w:ascii="Arial" w:cs="Arial" w:eastAsia="Arial" w:hAnsi="Arial"/>
          <w:b/>
          <w:bCs/>
          <w:color w:val="1A3C6E"/>
          <w:sz w:val="36"/>
          <w:szCs w:val="36"/>
        </w:rPr>
        <w:t xml:space="preserve">17. Peer Comparison &amp; Benchmarking</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Infosys is benchmarked against the four other large-cap Indian IT services companies. The analysis confirms that Infosys occupies a strong credit quality position relative to sector peers on most financial and credit metrics.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60"/>
        <w:gridCol w:w="1260"/>
        <w:gridCol w:w="1260"/>
        <w:gridCol w:w="1260"/>
        <w:gridCol w:w="1260"/>
        <w:gridCol w:w="1060"/>
      </w:tblGrid>
      <w:tr>
        <w:tc>
          <w:tcPr>
            <w:tcW w:type="dxa" w:w="2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 (FY2024)</w:t>
            </w:r>
          </w:p>
        </w:tc>
        <w:tc>
          <w:tcPr>
            <w:tcW w:type="dxa" w:w="12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Infosys</w:t>
            </w:r>
          </w:p>
        </w:tc>
        <w:tc>
          <w:tcPr>
            <w:tcW w:type="dxa" w:w="12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TCS</w:t>
            </w:r>
          </w:p>
        </w:tc>
        <w:tc>
          <w:tcPr>
            <w:tcW w:type="dxa" w:w="12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Wipro</w:t>
            </w:r>
          </w:p>
        </w:tc>
        <w:tc>
          <w:tcPr>
            <w:tcW w:type="dxa" w:w="12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HCLTech</w:t>
            </w:r>
          </w:p>
        </w:tc>
        <w:tc>
          <w:tcPr>
            <w:tcW w:type="dxa" w:w="12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 Mah.</w:t>
            </w:r>
          </w:p>
        </w:tc>
        <w:tc>
          <w:tcPr>
            <w:tcW w:type="dxa" w:w="10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IB note</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Revenue FY2024 (INR Cr)</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87,246</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2,40,893</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88,462</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1,07,331</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50,640</w:t>
            </w:r>
          </w:p>
        </w:tc>
        <w:tc>
          <w:tcPr>
            <w:tcW w:type="dxa" w:w="10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#2 by standalone revenue</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EBIT margin (%)</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26.1%</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27.3%</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16.4%</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18.8%</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7.5%</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Best-in-class margins vs peers</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PAT (INR Cr)</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19,697</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46,099</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10,825</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14,934</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2,386</w:t>
            </w:r>
          </w:p>
        </w:tc>
        <w:tc>
          <w:tcPr>
            <w:tcW w:type="dxa" w:w="10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Strong absolute profitability</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PAT margin (%)</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22.6%</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19.1%</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12.2%</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13.9%</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4.7%</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highest PAT margin among IT peers</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Debt-equity ratio (x)</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0.02x</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0.00x</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0.11x</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0.08x</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0.19x</w:t>
            </w:r>
          </w:p>
        </w:tc>
        <w:tc>
          <w:tcPr>
            <w:tcW w:type="dxa" w:w="10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near-zero debt — conservative</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Current ratio (x)</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2.45x</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2.28x</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1.97x</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2.10x</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1.68x</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best current ratio in peer set</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Net cash (INR Cr)</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37,190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1,09,434</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8,420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12,140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1,840</w:t>
            </w:r>
          </w:p>
        </w:tc>
        <w:tc>
          <w:tcPr>
            <w:tcW w:type="dxa" w:w="10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Large net cash buffer</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RoE (%)</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27.0%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51.5%</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13.6%</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22.1%</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8.4%</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Strong; TCS higher due to buybacks</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FCF as % of PAT</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98.5%</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96.2%</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82.0%</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88.4%</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62.1%</w:t>
            </w:r>
          </w:p>
        </w:tc>
        <w:tc>
          <w:tcPr>
            <w:tcW w:type="dxa" w:w="10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Best FCF conversion in peer set</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Dividend payout (%)</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89%</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75%</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55%</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Highest in peer set — shareholder-friendly</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External rating</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AAA/Stable</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AAA/Stable</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AAA/Stable</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AAA/Stable</w:t>
            </w:r>
          </w:p>
        </w:tc>
        <w:tc>
          <w:tcPr>
            <w:tcW w:type="dxa" w:w="12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AA+/Stable</w:t>
            </w:r>
          </w:p>
        </w:tc>
        <w:tc>
          <w:tcPr>
            <w:tcW w:type="dxa" w:w="106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 AAA like TCS, Wipro, HCLTech</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IB internal rating</w:t>
            </w:r>
          </w:p>
        </w:tc>
        <w:tc>
          <w:tcPr>
            <w:tcW w:type="dxa" w:w="12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IB-1 (92/100)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IB-1 (94/100)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IB-1 (90/100)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IB-1 (91/100)</w:t>
            </w:r>
          </w:p>
        </w:tc>
        <w:tc>
          <w:tcPr>
            <w:tcW w:type="dxa" w:w="1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IB-2 (86/100)</w:t>
            </w:r>
          </w:p>
        </w:tc>
        <w:tc>
          <w:tcPr>
            <w:tcW w:type="dxa" w:w="1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IB-1 — top tier</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Conclusion: Infosys ranks #1 in the peer set on current ratio, FCF conversion, PAT margin, and dividend payout. It ranks #2 on revenue and PAT absolute. Its near-zero debt profile is matched only by TCS. The IB-1 rating is consistent with the external AAA ratings assigned by all three domestic rating agencies. The credit committee can take comfort that this is among the highest-quality credit exposures in Indian Bank's large corporate book.</w:t>
      </w:r>
    </w:p>
    <w:p>
      <w:r>
        <w:br w:type="page"/>
      </w:r>
    </w:p>
    <w:p>
      <w:pPr>
        <w:pStyle w:val="Heading1"/>
        <w:spacing w:before="400" w:after="120"/>
      </w:pPr>
      <w:r>
        <w:rPr>
          <w:rFonts w:ascii="Arial" w:cs="Arial" w:eastAsia="Arial" w:hAnsi="Arial"/>
          <w:b/>
          <w:bCs/>
          <w:color w:val="1A3C6E"/>
          <w:sz w:val="36"/>
          <w:szCs w:val="36"/>
        </w:rPr>
        <w:t xml:space="preserve">18. Recommendation &amp; Approving Authority</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Based on a comprehensive appraisal of the borrower's financial position, account conduct, industry outlook, risk profile, security coverage, regulatory compliance, liability relationship depth, cash flow routing, fee income analysis, and scenario stress-testing, the following recommendation is placed before the Credit Committee: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Authority</w:t>
            </w:r>
          </w:p>
        </w:tc>
        <w:tc>
          <w:tcPr>
            <w:tcW w:type="dxa" w:w="71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Recommendation</w:t>
            </w:r>
          </w:p>
        </w:tc>
      </w:tr>
      <w:tr>
        <w:tc>
          <w:tcPr>
            <w:tcW w:type="dxa" w:w="2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RM recommendation</w:t>
            </w:r>
          </w:p>
        </w:tc>
        <w:tc>
          <w:tcPr>
            <w:tcW w:type="dxa" w:w="7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APPROVAL RECOMMENDED. The proposed enhancement is operationally justified by headcount growth and project-linked capital requirements, financially supported by exceptional balance sheet strength, and within Indian Bank's risk appetite. The relationship has delivered consistent fee income, deposit reciprocity, and zero credit events over 20 years. — Shri A. Kumar, AGM, RM (IB-CHN-4421), 17 March 2025</w:t>
            </w:r>
          </w:p>
        </w:tc>
      </w:tr>
      <w:tr>
        <w:tc>
          <w:tcPr>
            <w:tcW w:type="dxa" w:w="2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Independent credit review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APPROVAL RECOMMENDED WITH CONDITIONS. The credit team concurs with the RM's assessment. Financial risk is minimal — net cash position of INR 37,190 Cr provides 14.9x cover on total proposed exposure. Primary credit risk is relationship management risk (sustaining the account amid banking competition), not repayment risk. Pre-disbursement conditions for TL must be strictly enforced. — Smt. P. Krishnan, DGM (Credit Risk), IB Chennai Circle, 17 March 2025</w:t>
            </w:r>
          </w:p>
        </w:tc>
      </w:tr>
      <w:tr>
        <w:tc>
          <w:tcPr>
            <w:tcW w:type="dxa" w:w="2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Circle head endorsement</w:t>
            </w:r>
          </w:p>
        </w:tc>
        <w:tc>
          <w:tcPr>
            <w:tcW w:type="dxa" w:w="7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ENDORSED FOR CREDIT COMMITTEE APPROVAL. This is a flagship corporate relationship contributing INR 23.8 Cr annual fee income and INR 2,799 Cr in average deposits. The enhancement is commercially and strategically justified. The sensitivity analysis confirms the account will remain Standard even in the most severe stress scenario tested. — Shri R. Sundaram, GM (Corporate Banking), Chennai Circle, 17 March 2025</w:t>
            </w:r>
          </w:p>
        </w:tc>
      </w:tr>
      <w:tr>
        <w:tc>
          <w:tcPr>
            <w:tcW w:type="dxa" w:w="2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Approval authority</w:t>
            </w:r>
          </w:p>
        </w:tc>
        <w:tc>
          <w:tcPr>
            <w:tcW w:type="dxa" w:w="7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Credit Committee at Corporate Centre / Chennai CGM level. Proposed exposure of INR 2,500 Cr exceeds the GM's discretionary authority of INR 1,500 Cr for IB-1 rated accounts. Hence placed before the Credit Committee.</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18.1 Summary of Facilities Recommended for Sanction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2360"/>
        <w:gridCol w:w="2000"/>
      </w:tblGrid>
      <w:tr>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Facility</w:t>
            </w:r>
          </w:p>
        </w:tc>
        <w:tc>
          <w:tcPr>
            <w:tcW w:type="dxa" w:w="1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Limit (INR Cr)</w:t>
            </w:r>
          </w:p>
        </w:tc>
        <w:tc>
          <w:tcPr>
            <w:tcW w:type="dxa" w:w="2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Nature</w:t>
            </w:r>
          </w:p>
        </w:tc>
        <w:tc>
          <w:tcPr>
            <w:tcW w:type="dxa" w:w="23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Pricing</w:t>
            </w:r>
          </w:p>
        </w:tc>
        <w:tc>
          <w:tcPr>
            <w:tcW w:type="dxa" w:w="2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Tenor</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Credit (CC)</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800</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Enhancement from INR 600 Cr</w:t>
            </w:r>
          </w:p>
        </w:tc>
        <w:tc>
          <w:tcPr>
            <w:tcW w:type="dxa" w:w="2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MCLR + 0.10% = 8.75% p.a.</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 months (renewable)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WCDL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600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Enhancement from INR 400 Cr</w:t>
            </w:r>
          </w:p>
        </w:tc>
        <w:tc>
          <w:tcPr>
            <w:tcW w:type="dxa" w:w="2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MCLR + 0.10% = 8.75% p.a.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Up to 180 days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Term Loan</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400</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Fresh sanction</w:t>
            </w:r>
          </w:p>
        </w:tc>
        <w:tc>
          <w:tcPr>
            <w:tcW w:type="dxa" w:w="2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MCLR flat = 8.65% p.a.</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 years; 6-month moratorium</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Bank Guarantee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Enhancement from INR 400 Cr</w:t>
            </w:r>
          </w:p>
        </w:tc>
        <w:tc>
          <w:tcPr>
            <w:tcW w:type="dxa" w:w="2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0.25% / 0.40% p.a. commission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Up to 3 years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Letter of Credit</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200</w:t>
            </w:r>
          </w:p>
        </w:tc>
        <w:tc>
          <w:tcPr>
            <w:tcW w:type="dxa" w:w="2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Retained — no change</w:t>
            </w:r>
          </w:p>
        </w:tc>
        <w:tc>
          <w:tcPr>
            <w:tcW w:type="dxa" w:w="2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0.20% per quarter</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Up to 360 days</w:t>
            </w:r>
          </w:p>
        </w:tc>
      </w:tr>
      <w:tr>
        <w:tc>
          <w:tcPr>
            <w:tcW w:type="dxa" w:w="1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w:t>
            </w:r>
          </w:p>
        </w:tc>
        <w:tc>
          <w:tcPr>
            <w:tcW w:type="dxa" w:w="1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2,500</w:t>
            </w:r>
          </w:p>
        </w:tc>
        <w:tc>
          <w:tcPr>
            <w:tcW w:type="dxa" w:w="22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Enhancement: INR 700 Cr</w:t>
            </w:r>
          </w:p>
        </w:tc>
        <w:tc>
          <w:tcPr>
            <w:tcW w:type="dxa" w:w="23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The approval is subject to all pre-sanction and pre-disbursement conditions as detailed in Section 12 of this CAM. Term sheets for each facility are provided in Annexures C through E.</w:t>
      </w:r>
    </w:p>
    <w:p>
      <w:pPr>
        <w:spacing w:before="0" w:after="0"/>
      </w:pPr>
      <w:r>
        <w:rPr>
          <w:sz w:val="22"/>
          <w:szCs w:val="22"/>
        </w:rPr>
        <w:t xml:space="preserve"/>
      </w:r>
    </w:p>
    <w:p>
      <w:pPr>
        <w:spacing w:before="0" w:after="0"/>
      </w:pPr>
      <w:r>
        <w:rPr>
          <w:sz w:val="22"/>
          <w:szCs w:val="22"/>
        </w:rPr>
        <w:t xml:space="preserve"/>
      </w:r>
    </w:p>
    <w:p>
      <w:pPr>
        <w:pBdr>
          <w:bottom w:val="single" w:color="2E5FA3" w:sz="6"/>
        </w:pBdr>
        <w:spacing w:before="80" w:after="80"/>
      </w:pPr>
      <w:r>
        <w:t xml:space="preserve"/>
      </w:r>
    </w:p>
    <w:p>
      <w:pPr>
        <w:pStyle w:val="Heading2"/>
        <w:spacing w:before="280" w:after="80"/>
      </w:pPr>
      <w:r>
        <w:rPr>
          <w:rFonts w:ascii="Arial" w:cs="Arial" w:eastAsia="Arial" w:hAnsi="Arial"/>
          <w:b/>
          <w:bCs/>
          <w:color w:val="2E5FA3"/>
          <w:sz w:val="28"/>
          <w:szCs w:val="28"/>
        </w:rPr>
        <w:t xml:space="preserve">Authorised Signatories</w:t>
      </w:r>
    </w:p>
    <w:p>
      <w:pPr>
        <w:spacing w:before="0" w:after="0"/>
      </w:pPr>
      <w:r>
        <w:rPr>
          <w:sz w:val="22"/>
          <w:szCs w:val="22"/>
        </w:rPr>
        <w:t xml:space="preserve"/>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Prepared by:
Shri A. Kumar
AGM — Relationship Manager
CBG Chennai Circle
Date: 17 March 2025</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Reviewed by:
Smt. P. Krishnan
DGM — Credit Risk Unit
CBG Chennai Circle
Date: 17 March 2025</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Endorsed by:
Shri R. Sundaram
GM — Corporate Banking
Chennai Circle
Date: 17 March 2025</w:t>
            </w:r>
          </w:p>
        </w:tc>
      </w:tr>
    </w:tbl>
    <w:p>
      <w:pPr>
        <w:spacing w:before="0" w:after="0"/>
      </w:pPr>
      <w:r>
        <w:rPr>
          <w:sz w:val="22"/>
          <w:szCs w:val="22"/>
        </w:rPr>
        <w:t xml:space="preserve"/>
      </w:r>
    </w:p>
    <w:p>
      <w:pPr>
        <w:spacing w:before="0" w:after="0"/>
      </w:pPr>
      <w:r>
        <w:rPr>
          <w:sz w:val="22"/>
          <w:szCs w:val="22"/>
        </w:rPr>
        <w:t xml:space="preserve"/>
      </w:r>
    </w:p>
    <w:p>
      <w:r>
        <w:br w:type="page"/>
      </w:r>
    </w:p>
    <w:p>
      <w:pPr>
        <w:pStyle w:val="Heading1"/>
        <w:spacing w:before="400" w:after="120"/>
      </w:pPr>
      <w:r>
        <w:rPr>
          <w:rFonts w:ascii="Arial" w:cs="Arial" w:eastAsia="Arial" w:hAnsi="Arial"/>
          <w:b/>
          <w:bCs/>
          <w:color w:val="1A3C6E"/>
          <w:sz w:val="36"/>
          <w:szCs w:val="36"/>
        </w:rPr>
        <w:t xml:space="preserve">Annexure C — Term Sheet: Cash Credit &amp; WCDL</w:t>
      </w:r>
    </w:p>
    <w:p>
      <w:pPr>
        <w:pBdr>
          <w:bottom w:val="single" w:color="2E5FA3" w:sz="6"/>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63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Terms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Borrower</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Infosys Limited, CIN L85110KA1981PLC013115</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Lender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Indian Bank — Corporate Banking Group, Chennai Circle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Facility type</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 Cash Credit (CC) — Revolving | (B) Working Capital Demand Loan (WCDL) — Fixed tenor</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Sanctioned limit — CC</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800 Crore (Eight Hundred Crore)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Sanctioned limit — WCDL</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600 Crore (Six Hundred Crore) — sub-limit within total WC limit of INR 1,400 Crore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Purpose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Working capital requirements: employee salaries, vendor payments, operational expenses, advance payments for software licences and hardware procurement</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Tenor — CC</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months from date of sanction letter; renewable annually subject to satisfactory review</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Tenor — WCDL</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Minimum 7 days; Maximum 180 days per drawdown; multiple drawdowns permitted within limit</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Rate of interest — CC</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MCLR (1-year) + 0.10% p.a. = 8.75% p.a. (as of 17 March 2025)</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Rate of interest — WCDL</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MCLR (1-year) + 0.10% p.a. fixed for tenor of each drawdown</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MCLR reset frequency</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Annually on each anniversary of the MCLR linkage date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Interest payment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Monthly for CC (charged to account on last working day); on maturity for WCDL</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Penal interest</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 p.a. above contracted rate on overdue/excess drawings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Drawing power basis — CC</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75% of eligible debtors (&lt; 90 days) + 60% of unbilled revenues (&lt; 60 days) as per monthly QIS-I</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Minimum drawing power</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 CC limit is the operative ceiling; drawing power is the computed entitlement</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Drawdown mechanics — WCDL</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Written drawdown notice with purpose declaration and supporting invoices; minimum INR 25 Crore per drawdown; funds credited to CC account</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Repayment — CC</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Revolving; repayment on cash inflows; no fixed repayment schedule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Repayment — WCDL</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Bullet repayment on maturity date as specified in drawdown notice; no rollover without fresh declaration</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Primary security</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Pari-passu first charge on all current assets of the borrower — present and future (hypothecation)</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Collateral security</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First charge on movable fixed assets — Electronic City campus (subject to TL charge ranking)</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Corporate guarantee</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Unconditional and irrevocable corporate guarantee of Infosys BPM Limited</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Account maintenance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cash inflows from Indian domestic operations to be routed through IB CC account. Minimum average credit balance: INR 50 Crore per month</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Conditions precedent (standard)</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Execution of CC agreement and WCDL agreement.
2. Execution of hypothecation deed over current assets.
3. CERSAI registration within 30 days of first drawdown.
4. Insurance over hypothecated assets with IB as co-insured.
5. Submission of first QIS-I and QIS-II.</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Financial covenants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Debt-equity &lt; 1.0x | Current ratio &gt; 1.25x | ICR &gt; 5.0x | Net cash positive at all times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Processing fee</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1.00 Crore (non-refundable; shared across all facilities; payable on or before sanction acceptance)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Governing law</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Laws of India; jurisdiction: Courts at Chennai</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Date of this term sheet</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17 March 2025</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Validity of this term sheet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30 days from date — lapses if sanction letter not accepted by 16 April 2025</w:t>
            </w:r>
          </w:p>
        </w:tc>
      </w:tr>
    </w:tbl>
    <w:p>
      <w:r>
        <w:br w:type="page"/>
      </w:r>
    </w:p>
    <w:p>
      <w:pPr>
        <w:pStyle w:val="Heading1"/>
        <w:spacing w:before="400" w:after="120"/>
      </w:pPr>
      <w:r>
        <w:rPr>
          <w:rFonts w:ascii="Arial" w:cs="Arial" w:eastAsia="Arial" w:hAnsi="Arial"/>
          <w:b/>
          <w:bCs/>
          <w:color w:val="1A3C6E"/>
          <w:sz w:val="36"/>
          <w:szCs w:val="36"/>
        </w:rPr>
        <w:t xml:space="preserve">Annexure D — Term Sheet: Term Loan + Repayment Schedule</w:t>
      </w:r>
    </w:p>
    <w:p>
      <w:pPr>
        <w:pBdr>
          <w:bottom w:val="single" w:color="2E5FA3" w:sz="6"/>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67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Terms</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Borrower</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Infosys Limited</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Facility</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Term Loan — Infrastructure Finance</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Amount</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400 Crore (Four Hundred Crore)</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Purpose</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Partial funding of Tower-7 construction at Electronic City campus, Bengaluru. Total project cost: INR 950 Crore. IB TL: INR 400 Cr; internal accruals: INR 550 Cr.</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Tenor</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 years from date of first disbursement (60 months)</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Moratorium</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 months from date of first disbursement (interest serviced during moratorium; no principal repayment)</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Repayment period</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54 months post-moratorium</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EMI</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8.88 Crore per month (approximately) — see amortisation schedule below</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Rate of interest</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MCLR (1-year) flat = 8.65% p.a. (as of 17 March 2025)</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Disbursement structure</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 tranches linked to construction milestones (see Section 6 — End-Use Monitoring for milestone details):
Tranche 1: INR 80 Cr (on foundation completion + BBMP approval)
Tranche 2: INR 120 Cr (on structural completion to 5th floor)
Tranche 3: INR 120 Cr (on full structural completion + MEP)
Tranche 4: INR 80 Cr (on occupancy certificate)</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Primary security — TL</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First pari-passu charge on movable fixed assets including plant, machinery, computers, and furniture at Electronic City campus</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Collateral — TL</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First charge on Tower-7 immovable property on completion (to be created within 6 months of occupancy certificate)</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Prepayment</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prepayment penalty — IB policy for IB-1 rated borrowers</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DSCR covenant</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Minimum DSCR of 1.25x to be maintained annually; tested on audited financials</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Conditions precedent — TL specific</w:t>
            </w:r>
          </w:p>
        </w:tc>
        <w:tc>
          <w:tcPr>
            <w:tcW w:type="dxa" w:w="67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Environment clearance from MoEFCC.
2. BBMP-approved building plan.
3. Construction contract with M/s L&amp;T Construction.
4. IB-empanelled engineer (M/s RITES Ltd.) certification of milestone readiness before each tranche.</w:t>
            </w:r>
          </w:p>
        </w:tc>
      </w:tr>
      <w:tr>
        <w:tc>
          <w:tcPr>
            <w:tcW w:type="dxa" w:w="26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Insurance — TL</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Fire and allied perils insurance on Tower-7 from construction commencement; IB as co-insured; reinstatement value basis</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D.1 Annual Repayment Schedule (Summary — INR in Lakhs)</w:t>
      </w:r>
    </w:p>
    <w:p>
      <w:pPr>
        <w:spacing w:before="60" w:after="60"/>
      </w:pPr>
      <w:r>
        <w:rPr>
          <w:rFonts w:ascii="Arial" w:cs="Arial" w:eastAsia="Arial" w:hAnsi="Arial"/>
          <w:i/>
          <w:iCs/>
          <w:color w:val="666666"/>
          <w:sz w:val="20"/>
          <w:szCs w:val="20"/>
        </w:rPr>
        <w:t xml:space="preserve">Monthly EMI: INR 897 Lakhs = INR 8.97 Crore approx. (on outstanding balance post-moratorium). MCLR: 8.65% p.a. Tenor: 6-month moratorium + 54 months repayment.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60"/>
        <w:gridCol w:w="1460"/>
        <w:gridCol w:w="1460"/>
        <w:gridCol w:w="1460"/>
        <w:gridCol w:w="2720"/>
      </w:tblGrid>
      <w:tr>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Period</w:t>
            </w:r>
          </w:p>
        </w:tc>
        <w:tc>
          <w:tcPr>
            <w:tcW w:type="dxa" w:w="14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Opening principal (INR L)</w:t>
            </w:r>
          </w:p>
        </w:tc>
        <w:tc>
          <w:tcPr>
            <w:tcW w:type="dxa" w:w="14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Interest (INR L)</w:t>
            </w:r>
          </w:p>
        </w:tc>
        <w:tc>
          <w:tcPr>
            <w:tcW w:type="dxa" w:w="14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Principal repaid (INR L)</w:t>
            </w:r>
          </w:p>
        </w:tc>
        <w:tc>
          <w:tcPr>
            <w:tcW w:type="dxa" w:w="14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Closing principal (INR L)</w:t>
            </w:r>
          </w:p>
        </w:tc>
        <w:tc>
          <w:tcPr>
            <w:tcW w:type="dxa" w:w="272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Moratorium (Months 1–6)</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1730</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w:t>
            </w:r>
          </w:p>
        </w:tc>
        <w:tc>
          <w:tcPr>
            <w:tcW w:type="dxa" w:w="14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40000</w:t>
            </w:r>
          </w:p>
        </w:tc>
        <w:tc>
          <w:tcPr>
            <w:tcW w:type="dxa" w:w="27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Interest-only; principal moratorium</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Year 1 (Months 7–12)</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40000</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1664</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3718</w:t>
            </w:r>
          </w:p>
        </w:tc>
        <w:tc>
          <w:tcPr>
            <w:tcW w:type="dxa" w:w="14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36282</w:t>
            </w:r>
          </w:p>
        </w:tc>
        <w:tc>
          <w:tcPr>
            <w:tcW w:type="dxa" w:w="27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9.3% repaid (cumulative)</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Year 2 (Months 13–24)</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36282</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2829</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7934</w:t>
            </w:r>
          </w:p>
        </w:tc>
        <w:tc>
          <w:tcPr>
            <w:tcW w:type="dxa" w:w="14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28349</w:t>
            </w:r>
          </w:p>
        </w:tc>
        <w:tc>
          <w:tcPr>
            <w:tcW w:type="dxa" w:w="27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29.1% repaid (cumulative)</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Year 3 (Months 25–36)</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28349</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2115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8648</w:t>
            </w:r>
          </w:p>
        </w:tc>
        <w:tc>
          <w:tcPr>
            <w:tcW w:type="dxa" w:w="14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19701</w:t>
            </w:r>
          </w:p>
        </w:tc>
        <w:tc>
          <w:tcPr>
            <w:tcW w:type="dxa" w:w="27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50.7% repaid (cumulative)</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Year 4 (Months 37–48)</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19701</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1336</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9426</w:t>
            </w:r>
          </w:p>
        </w:tc>
        <w:tc>
          <w:tcPr>
            <w:tcW w:type="dxa" w:w="14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10275</w:t>
            </w:r>
          </w:p>
        </w:tc>
        <w:tc>
          <w:tcPr>
            <w:tcW w:type="dxa" w:w="27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74.3% repaid (cumulative)</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Year 5 (Months 49–60)</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10275</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488</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10275</w:t>
            </w:r>
          </w:p>
        </w:tc>
        <w:tc>
          <w:tcPr>
            <w:tcW w:type="dxa" w:w="146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w:t>
            </w:r>
          </w:p>
        </w:tc>
        <w:tc>
          <w:tcPr>
            <w:tcW w:type="dxa" w:w="27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100.0% repaid (cumulative)</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Amortisation calculated on reducing balance method. Final installment may vary marginally due to rounding. All figures in INR Lakhs. Full month-by-month schedule available from branch on request.</w:t>
      </w:r>
    </w:p>
    <w:p>
      <w:r>
        <w:br w:type="page"/>
      </w:r>
    </w:p>
    <w:p>
      <w:pPr>
        <w:pStyle w:val="Heading1"/>
        <w:spacing w:before="400" w:after="120"/>
      </w:pPr>
      <w:r>
        <w:rPr>
          <w:rFonts w:ascii="Arial" w:cs="Arial" w:eastAsia="Arial" w:hAnsi="Arial"/>
          <w:b/>
          <w:bCs/>
          <w:color w:val="1A3C6E"/>
          <w:sz w:val="36"/>
          <w:szCs w:val="36"/>
        </w:rPr>
        <w:t xml:space="preserve">Annexure E — Term Sheet: Bank Guarantee &amp; Letter of Credit</w:t>
      </w:r>
    </w:p>
    <w:p>
      <w:pPr>
        <w:pBdr>
          <w:bottom w:val="single" w:color="2E5FA3" w:sz="6"/>
        </w:pBdr>
        <w:spacing w:before="80" w:after="80"/>
      </w:pPr>
      <w:r>
        <w:t xml:space="preserve"/>
      </w:r>
    </w:p>
    <w:p>
      <w:pPr>
        <w:pStyle w:val="Heading2"/>
        <w:spacing w:before="280" w:after="80"/>
      </w:pPr>
      <w:r>
        <w:rPr>
          <w:rFonts w:ascii="Arial" w:cs="Arial" w:eastAsia="Arial" w:hAnsi="Arial"/>
          <w:b/>
          <w:bCs/>
          <w:color w:val="2E5FA3"/>
          <w:sz w:val="28"/>
          <w:szCs w:val="28"/>
        </w:rPr>
        <w:t xml:space="preserve">E.1 Bank Guarantee — Term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BG parameter</w:t>
            </w:r>
          </w:p>
        </w:tc>
        <w:tc>
          <w:tcPr>
            <w:tcW w:type="dxa" w:w="6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Terms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Borrower</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Infosys Limited</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Facility type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Bank Guarantee (Non-Fund Based)</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BG limit</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500 Crore (Five Hundred Crore)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Types of BG permissible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 Performance guarantee — issued to clients for project/SLA performance obligations.
(b) Advance payment guarantee — issued where client has paid an advance to Infosys.
(c) Financial guarantee / bid bond — issued for public sector tenders (EMD / bid security).
(d) Statutory deposit guarantee — issued to government authorities in lieu of security deposits.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Maximum tenor per BG</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 years (36 months) for performance BGs; 18 months for advance payment BGs; 12 months for bid bonds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Commission — performance BGs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0.25% p.a. on BG value (minimum INR 2,500 per BG)</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Commission — financial BGs</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0.40% p.a. on BG value (minimum INR 5,000 per BG)</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Margin requirement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cash margin for IB-1 rated borrower — clean BG on the strength of relationship</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Counter-indemnity</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Infosys to execute a counter-indemnity in IB's standard format for each BG issued; counter-indemnity to survive expiry of BG</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Devolvement clause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 case of devolvement, IB to honour BG on receipt of written demand from beneficiary (as per BG text). Infosys to reimburse IB within 3 working days of devolvement. Failure to reimburse = event of default.</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BG text approval</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Standard IB BG format. Non-standard text requires approval of DGM (Credit). Foreign currency BGs require Circle Head approval.</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UCPDC compliance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BGs issued in compliance with URDG 758 (for demand guarantees); performance bonds per ICC rules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Limit utilisation tracking</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BG register maintained at branch. Utilisation report shared with borrower monthly. Limit is restored on BG expiry/return.</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E.2 Letter of Credit — Term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LC parameter</w:t>
            </w:r>
          </w:p>
        </w:tc>
        <w:tc>
          <w:tcPr>
            <w:tcW w:type="dxa" w:w="65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Terms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Facility type</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Letter of Credit (Non-Fund Based)</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LC limit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200 Crore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Types permissible</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Sight LC and Usance LC (up to 180 days) for import of OEM hardware (servers, networking equipment, storage systems)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Beneficiaries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Pre-approved overseas OEM vendors: Dell Technologies, Hewlett Packard Enterprise, Cisco Systems, NetApp, IBM</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Commission</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0.20% per quarter (or part thereof) on LC value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Margin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cash margin for IB-1 rated borrower</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Documents required</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Bill of Lading / Airway Bill, Commercial Invoice, Packing List, Certificate of Origin, DGFT licence (if applicable)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Governing rules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Uniform Customs and Practice for Documentary Credits (UCP 600); UCR 522 for collections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Import licence</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DGFT compliance mandatory. Copy of IEC (Importer Exporter Code) to be maintained at branch.</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LC retirement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Importers to retire documents and make payment before LC expiry. Devolved LCs treated as CC drawdown.</w:t>
            </w:r>
          </w:p>
        </w:tc>
      </w:tr>
    </w:tbl>
    <w:p>
      <w:r>
        <w:br w:type="page"/>
      </w:r>
    </w:p>
    <w:p>
      <w:pPr>
        <w:pStyle w:val="Heading1"/>
        <w:spacing w:before="400" w:after="120"/>
      </w:pPr>
      <w:r>
        <w:rPr>
          <w:rFonts w:ascii="Arial" w:cs="Arial" w:eastAsia="Arial" w:hAnsi="Arial"/>
          <w:b/>
          <w:bCs/>
          <w:color w:val="1A3C6E"/>
          <w:sz w:val="36"/>
          <w:szCs w:val="36"/>
        </w:rPr>
        <w:t xml:space="preserve">Annexure F — IB-LCM Credit Scoring Summary Card</w:t>
      </w:r>
    </w:p>
    <w:p>
      <w:pPr>
        <w:pBdr>
          <w:bottom w:val="single" w:color="2E5FA3" w:sz="6"/>
        </w:pBdr>
        <w:spacing w:before="80" w:after="80"/>
      </w:pPr>
      <w:r>
        <w:t xml:space="preserve"/>
      </w:r>
    </w:p>
    <w:p>
      <w:pPr>
        <w:spacing w:before="60" w:after="60"/>
        <w:jc w:val="both"/>
      </w:pPr>
      <w:r>
        <w:rPr>
          <w:rFonts w:ascii="Arial" w:cs="Arial" w:eastAsia="Arial" w:hAnsi="Arial"/>
          <w:b w:val="false"/>
          <w:bCs w:val="false"/>
          <w:i w:val="false"/>
          <w:iCs w:val="false"/>
          <w:color w:val="000000"/>
          <w:sz w:val="22"/>
          <w:szCs w:val="22"/>
        </w:rPr>
        <w:t xml:space="preserve">The following is the detailed scoring output of the IB Large Corporate Rating Model (LCM v3.0) applied to Infosys Limited for the rating period ending 09 February 2026. The model covers 7 parameter groups and 28 sub-parameters.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000"/>
        <w:gridCol w:w="2080"/>
        <w:gridCol w:w="1880"/>
        <w:gridCol w:w="1120"/>
      </w:tblGrid>
      <w:tr>
        <w:tc>
          <w:tcPr>
            <w:tcW w:type="dxa" w:w="4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Ref</w:t>
            </w:r>
          </w:p>
        </w:tc>
        <w:tc>
          <w:tcPr>
            <w:tcW w:type="dxa" w:w="18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20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Evaluation basis</w:t>
            </w:r>
          </w:p>
        </w:tc>
        <w:tc>
          <w:tcPr>
            <w:tcW w:type="dxa" w:w="2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Infosys observation</w:t>
            </w:r>
          </w:p>
        </w:tc>
        <w:tc>
          <w:tcPr>
            <w:tcW w:type="dxa" w:w="18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IB-LCM scoring guide</w:t>
            </w:r>
          </w:p>
        </w:tc>
        <w:tc>
          <w:tcPr>
            <w:tcW w:type="dxa" w:w="112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Revenue growth (3-yr CAGR)</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 CAGR &gt; 4% threshold</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&gt;5%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EBIT margin (latest year)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26.1% — exceptional</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 20%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PAT margin (latest year)</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22.6% — excellent</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 18%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Debt-equity ratio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0.02x — virtually zero</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&lt; 0.5x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Current ratio</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2.45x — strong</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&gt;2.0x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Interest coverage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115.2x — exceptional</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&gt;30x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Free cash flow generation</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98.5% FCF/PAT</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&gt;90%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Management experience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5%</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Avg. 30 yrs; co-founder chairman</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&gt;20 yrs = 5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Succession planning</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CEO + CFO succession plans in place</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Documented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Corporate governance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Listed co.; Big 4 auditor; nil SEBI action</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Strong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Auditor quality</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Deloitte — Big 4 — unqualified opinion</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Big 4 unqualified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Industry growth prospects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IT sector 8-9% growth; GenAI tailwind</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Positive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Competitive position</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 in India; pricing power</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Leader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Regulatory / policy risk</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 — no adverse regulation</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Low risk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Concentration risk</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60% NA concentration — moderate</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&lt; 50% = 3pts; 50-65% = 2pts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Payment track record (5 yrs)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8%</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overdues; interest paid on due date always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Zero overdue = 8 pts</w:t>
            </w:r>
          </w:p>
        </w:tc>
        <w:tc>
          <w:tcPr>
            <w:tcW w:type="dxa" w:w="112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SMA history</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6%</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Nil SMA-0/1/2 in 20 years</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Nil SMA = 6 pts</w:t>
            </w:r>
          </w:p>
        </w:tc>
        <w:tc>
          <w:tcPr>
            <w:tcW w:type="dxa" w:w="112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Account utilisation pattern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65% avg; no excess drawings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60-75%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Relationship vintage</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 years — flagship relationship</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&gt;15 years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CRISIL rating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4%</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AAA / Stable</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AAA = 4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ICRA rating</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AAA / Stable</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AAA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Market capitalisation / listing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INR 6,12,000 Cr — top-5 NSE</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Nifty 50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KYC / AML / CDD</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Fully compliant; no adverse flag</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Compliant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FEMA / RBI compliance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violations; ECGC clean</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Compliant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Tax compliance (direct + indirect)</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2%</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PANverified; GST compliant; no arrears</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Compliant = 2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Companies Act compliance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2%</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ROC filings current; MCA21 active</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Current = 2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Security cover (credit exposure)</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Primary: 9.48x; total: &gt;14x</w:t>
            </w:r>
          </w:p>
        </w:tc>
        <w:tc>
          <w:tcPr>
            <w:tcW w:type="dxa" w:w="1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&gt;4x primary = 3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Quality of security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2%</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Current assets + EM; IB guarantee; CERSAI done</w:t>
            </w:r>
          </w:p>
        </w:tc>
        <w:tc>
          <w:tcPr>
            <w:tcW w:type="dxa" w:w="1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Strong = 2 pts</w:t>
            </w:r>
          </w:p>
        </w:tc>
        <w:tc>
          <w:tcPr>
            <w:tcW w:type="dxa" w:w="1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r>
      <w:tr>
        <w:tc>
          <w:tcPr>
            <w:tcW w:type="dxa" w:w="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w:t>
            </w:r>
          </w:p>
        </w:tc>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100%</w:t>
            </w:r>
          </w:p>
        </w:tc>
        <w:tc>
          <w:tcPr>
            <w:tcW w:type="dxa" w:w="20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8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Max: 100</w:t>
            </w:r>
          </w:p>
        </w:tc>
        <w:tc>
          <w:tcPr>
            <w:tcW w:type="dxa" w:w="112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92</w:t>
            </w:r>
          </w:p>
        </w:tc>
      </w:tr>
    </w:tbl>
    <w:p>
      <w:pPr>
        <w:spacing w:before="0" w:after="0"/>
      </w:pPr>
      <w:r>
        <w:rPr>
          <w:sz w:val="22"/>
          <w:szCs w:val="22"/>
        </w:rPr>
        <w:t xml:space="preserve"/>
      </w:r>
    </w:p>
    <w:p>
      <w:pPr>
        <w:pStyle w:val="Heading2"/>
        <w:spacing w:before="280" w:after="80"/>
      </w:pPr>
      <w:r>
        <w:rPr>
          <w:rFonts w:ascii="Arial" w:cs="Arial" w:eastAsia="Arial" w:hAnsi="Arial"/>
          <w:b/>
          <w:bCs/>
          <w:color w:val="2E5FA3"/>
          <w:sz w:val="28"/>
          <w:szCs w:val="28"/>
        </w:rPr>
        <w:t xml:space="preserve">F.1 Rating Migration History (7-year)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w:t>
            </w:r>
          </w:p>
        </w:tc>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Rating</w:t>
            </w:r>
          </w:p>
        </w:tc>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w:t>
            </w:r>
          </w:p>
        </w:tc>
        <w:tc>
          <w:tcPr>
            <w:tcW w:type="dxa" w:w="51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Commentary</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FY2019</w:t>
            </w:r>
          </w:p>
        </w:tc>
        <w:tc>
          <w:tcPr>
            <w:tcW w:type="dxa" w:w="14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IB-1</w:t>
            </w:r>
          </w:p>
        </w:tc>
        <w:tc>
          <w:tcPr>
            <w:tcW w:type="dxa" w:w="14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90/100</w:t>
            </w:r>
          </w:p>
        </w:tc>
        <w:tc>
          <w:tcPr>
            <w:tcW w:type="dxa" w:w="5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 5th consecutive IB-1 year</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FY2020</w:t>
            </w:r>
          </w:p>
        </w:tc>
        <w:tc>
          <w:tcPr>
            <w:tcW w:type="dxa" w:w="14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IB-1</w:t>
            </w:r>
          </w:p>
        </w:tc>
        <w:tc>
          <w:tcPr>
            <w:tcW w:type="dxa" w:w="14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91/100</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 COVID resilience demonstrated</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FY2021</w:t>
            </w:r>
          </w:p>
        </w:tc>
        <w:tc>
          <w:tcPr>
            <w:tcW w:type="dxa" w:w="14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IB-1</w:t>
            </w:r>
          </w:p>
        </w:tc>
        <w:tc>
          <w:tcPr>
            <w:tcW w:type="dxa" w:w="14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91/100</w:t>
            </w:r>
          </w:p>
        </w:tc>
        <w:tc>
          <w:tcPr>
            <w:tcW w:type="dxa" w:w="5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 revenue recovery strong</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FY2022</w:t>
            </w:r>
          </w:p>
        </w:tc>
        <w:tc>
          <w:tcPr>
            <w:tcW w:type="dxa" w:w="14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IB-1</w:t>
            </w:r>
          </w:p>
        </w:tc>
        <w:tc>
          <w:tcPr>
            <w:tcW w:type="dxa" w:w="14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92/100</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 strong FCF and cash buildup</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FY2023</w:t>
            </w:r>
          </w:p>
        </w:tc>
        <w:tc>
          <w:tcPr>
            <w:tcW w:type="dxa" w:w="14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IB-1</w:t>
            </w:r>
          </w:p>
        </w:tc>
        <w:tc>
          <w:tcPr>
            <w:tcW w:type="dxa" w:w="14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91/100</w:t>
            </w:r>
          </w:p>
        </w:tc>
        <w:tc>
          <w:tcPr>
            <w:tcW w:type="dxa" w:w="5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 slight dip on concentration score</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FY2024</w:t>
            </w:r>
          </w:p>
        </w:tc>
        <w:tc>
          <w:tcPr>
            <w:tcW w:type="dxa" w:w="14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IB-1</w:t>
            </w:r>
          </w:p>
        </w:tc>
        <w:tc>
          <w:tcPr>
            <w:tcW w:type="dxa" w:w="14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91/100</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 improved governance scores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FY2025 (current)</w:t>
            </w:r>
          </w:p>
        </w:tc>
        <w:tc>
          <w:tcPr>
            <w:tcW w:type="dxa" w:w="14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IB-1</w:t>
            </w:r>
          </w:p>
        </w:tc>
        <w:tc>
          <w:tcPr>
            <w:tcW w:type="dxa" w:w="1400"/>
            <w:tcBorders>
              <w:top w:val="single" w:color="AAAAAA" w:sz="4"/>
              <w:left w:val="single" w:color="AAAAAA" w:sz="4"/>
              <w:bottom w:val="single" w:color="AAAAAA" w:sz="4"/>
              <w:right w:val="single" w:color="AAAAAA" w:sz="4"/>
            </w:tcBorders>
            <w:shd w:fill="E6F1FB"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92/100</w:t>
            </w:r>
          </w:p>
        </w:tc>
        <w:tc>
          <w:tcPr>
            <w:tcW w:type="dxa" w:w="5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Stable — record FCF conversion; improved score</w:t>
            </w:r>
          </w:p>
        </w:tc>
      </w:tr>
    </w:tbl>
    <w:p>
      <w:pPr>
        <w:spacing w:before="0" w:after="0"/>
      </w:pPr>
      <w:r>
        <w:rPr>
          <w:sz w:val="22"/>
          <w:szCs w:val="22"/>
        </w:rPr>
        <w:t xml:space="preserve"/>
      </w:r>
    </w:p>
    <w:p>
      <w:pPr>
        <w:spacing w:before="60" w:after="60"/>
        <w:jc w:val="both"/>
      </w:pPr>
      <w:r>
        <w:rPr>
          <w:rFonts w:ascii="Arial" w:cs="Arial" w:eastAsia="Arial" w:hAnsi="Arial"/>
          <w:b w:val="false"/>
          <w:bCs w:val="false"/>
          <w:i w:val="false"/>
          <w:iCs w:val="false"/>
          <w:color w:val="000000"/>
          <w:sz w:val="22"/>
          <w:szCs w:val="22"/>
        </w:rPr>
        <w:t xml:space="preserve">Infosys has maintained IB-1 rating for 7 consecutive years — a distinction held by fewer than 15 corporate accounts in Indian Bank's entire large corporate portfolio nationally. The score has been stable in the narrow 90–92 range, with minor year-to-year variations driven by changes in concentration risk score and governance-related sub-parameters.</w:t>
      </w:r>
    </w:p>
    <w:p>
      <w:r>
        <w:br w:type="page"/>
      </w:r>
    </w:p>
    <w:p>
      <w:pPr>
        <w:pStyle w:val="Heading1"/>
        <w:spacing w:before="400" w:after="120"/>
      </w:pPr>
      <w:r>
        <w:rPr>
          <w:rFonts w:ascii="Arial" w:cs="Arial" w:eastAsia="Arial" w:hAnsi="Arial"/>
          <w:b/>
          <w:bCs/>
          <w:color w:val="1A3C6E"/>
          <w:sz w:val="36"/>
          <w:szCs w:val="36"/>
        </w:rPr>
        <w:t xml:space="preserve">Annexure G — Document Checklist</w:t>
      </w:r>
    </w:p>
    <w:p>
      <w:pPr>
        <w:pBdr>
          <w:bottom w:val="single" w:color="2E5FA3" w:sz="6"/>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480"/>
        <w:gridCol w:w="1600"/>
      </w:tblGrid>
      <w:tr>
        <w:tc>
          <w:tcPr>
            <w:tcW w:type="dxa" w:w="32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Document</w:t>
            </w:r>
          </w:p>
        </w:tc>
        <w:tc>
          <w:tcPr>
            <w:tcW w:type="dxa" w:w="20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Date / Version</w:t>
            </w:r>
          </w:p>
        </w:tc>
        <w:tc>
          <w:tcPr>
            <w:tcW w:type="dxa" w:w="248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Source</w:t>
            </w:r>
          </w:p>
        </w:tc>
        <w:tc>
          <w:tcPr>
            <w:tcW w:type="dxa" w:w="16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Memorandum &amp; Articles of Association</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Amended 01 June 2022</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MCA21 — certified copy</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Certificate of Incorporation</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02 July 1981</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ROC Karnataka</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Board resolution — borrowing powers</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 March 2025</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Company Secretary certified</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Audited financials FY2024 (standalone + consol.)</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 March 2024</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Deloitte certified</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Audited financials FY2023</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 March 2023</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Deloitte certified</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Audited financials FY2022</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 March 2022</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Deloitte certified</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Provisional financials (Apr–Dec 2024)</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 December 2024</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Company MIS — unaudited</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QIS-I stock and book debt statement (Feb 2025)</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 February 2025</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Signed by CFO</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CMA data — FY2025 projections</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March 2025</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Prepared by Company Finance</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CIBIL report — borrower</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 March 2025</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CIBIL / TransUnion</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CIBIL report — guarantor (Infosys BPM)</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 March 2025</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CIBIL / TransUnion</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CERSAI search certificate</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 March 2025</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CERSAI portal</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ROC charge status — borrower</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 March 2025</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MCA21 portal</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Legal opinion — title (Jaipur campus)</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15 February 2025</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M/s Khaitan &amp; Co.</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Valuation report — Jaipur campus</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January 2025</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M/s Cushman &amp; Wakefield</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Insurance schedule — hypothecated assets</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April 2024 – March 2025</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Bajaj Allianz General Insurance</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KYC — all directors (12 members)</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March 2025</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Collected and verified by branch</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ECGC / wilful defaulter check</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 March 2025</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ECGC / RBI / CIBIL databases</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IB-LCM rating sheet (model v3.0)</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 February 2025</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IB Credit Risk Unit</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Annual inspection note — Electronic City</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January 2025</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RM and credit team</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Project report — campus expansion (Tower-7)</w:t>
            </w:r>
          </w:p>
        </w:tc>
        <w:tc>
          <w:tcPr>
            <w:tcW w:type="dxa" w:w="20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December 2024</w:t>
            </w:r>
          </w:p>
        </w:tc>
        <w:tc>
          <w:tcPr>
            <w:tcW w:type="dxa" w:w="2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Infosys Infrastructure team</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Environmental clearance application receipt</w:t>
            </w:r>
          </w:p>
        </w:tc>
        <w:tc>
          <w:tcPr>
            <w:tcW w:type="dxa" w:w="20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February 2025</w:t>
            </w:r>
          </w:p>
        </w:tc>
        <w:tc>
          <w:tcPr>
            <w:tcW w:type="dxa" w:w="2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44444"/>
                <w:sz w:val="20"/>
                <w:szCs w:val="20"/>
              </w:rPr>
              <w:t xml:space="preserve">MoEFCC tracking no. on file</w:t>
            </w:r>
          </w:p>
        </w:tc>
        <w:tc>
          <w:tcPr>
            <w:tcW w:type="dxa" w:w="1600"/>
            <w:tcBorders>
              <w:top w:val="single" w:color="AAAAAA" w:sz="4"/>
              <w:left w:val="single" w:color="AAAAAA" w:sz="4"/>
              <w:bottom w:val="single" w:color="AAAAAA" w:sz="4"/>
              <w:right w:val="single" w:color="AAAAAA" w:sz="4"/>
            </w:tcBorders>
            <w:shd w:fill="E1F5EE" w:val="clear"/>
            <w:tcMar>
              <w:top w:type="dxa" w:w="80"/>
              <w:left w:type="dxa" w:w="140"/>
              <w:bottom w:type="dxa" w:w="80"/>
              <w:right w:type="dxa" w:w="140"/>
            </w:tcMar>
            <w:vAlign w:val="center"/>
          </w:tcPr>
          <w:p>
            <w:pPr>
              <w:jc w:val="center"/>
            </w:pPr>
            <w:r>
              <w:rPr>
                <w:rFonts w:ascii="Arial" w:cs="Arial" w:eastAsia="Arial" w:hAnsi="Arial"/>
                <w:b/>
                <w:bCs/>
                <w:i w:val="false"/>
                <w:iCs w:val="false"/>
                <w:color w:val="1A6B3C"/>
                <w:sz w:val="20"/>
                <w:szCs w:val="20"/>
              </w:rPr>
              <w:t xml:space="preserve">Received</w:t>
            </w:r>
          </w:p>
        </w:tc>
      </w:tr>
    </w:tbl>
    <w:p>
      <w:r>
        <w:br w:type="page"/>
      </w:r>
    </w:p>
    <w:p>
      <w:pPr>
        <w:pStyle w:val="Heading1"/>
        <w:spacing w:before="400" w:after="120"/>
      </w:pPr>
      <w:r>
        <w:rPr>
          <w:rFonts w:ascii="Arial" w:cs="Arial" w:eastAsia="Arial" w:hAnsi="Arial"/>
          <w:b/>
          <w:bCs/>
          <w:color w:val="1A3C6E"/>
          <w:sz w:val="36"/>
          <w:szCs w:val="36"/>
        </w:rPr>
        <w:t xml:space="preserve">Annexure H — Glossary</w:t>
      </w:r>
    </w:p>
    <w:p>
      <w:pPr>
        <w:pBdr>
          <w:bottom w:val="single" w:color="2E5FA3" w:sz="6"/>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Abbreviation</w:t>
            </w:r>
          </w:p>
        </w:tc>
        <w:tc>
          <w:tcPr>
            <w:tcW w:type="dxa" w:w="7960"/>
            <w:gridSpan w:val="1"/>
            <w:tcBorders>
              <w:top w:val="single" w:color="AAAAAA" w:sz="4"/>
              <w:left w:val="single" w:color="AAAAAA" w:sz="4"/>
              <w:bottom w:val="single" w:color="AAAAAA" w:sz="4"/>
              <w:right w:val="single" w:color="AAAAAA" w:sz="4"/>
            </w:tcBorders>
            <w:shd w:fill="1A3C6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Definition</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AmB</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Average Monthly Balance — average of month-end deposit balances over the review period</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BG</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Bank Guarantee — contingent non-fund-based credit facility</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CAGR</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Compound Annual Growth Rate</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CC</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Credit — revolving working capital facility secured by hypothecation of current assets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CERSAI</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Central Registry of Securitisation Asset Reconstruction and Security Interest of India</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CMS</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Cash Management Services — corporate payment and collection banking platform</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CDD</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Customer Due Diligence — enhanced KYC process for high-exposure accounts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DGFT</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Directorate General of Foreign Trade</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DSCR</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Debt Service Coverage Ratio — (PAT + Depreciation) / (Annual principal + interest repayment)</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EoD</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Event of Default — trigger events in the credit agreement activating acceleration rights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FCF</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Free Cash Flow — cash flow from operations minus capital expenditure</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FEMA</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Exchange Management Act, 1999</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IRAC</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Income Recognition and Asset Classification — RBI prudential norms for loan classification</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IBC</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Insolvency and Bankruptcy Code, 2016</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ICR / ICov</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Interest Coverage Ratio — EBIT / Interest expense</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IEC</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Importer Exporter Code — issued by DGFT for import/export transactions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IB-LCM</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Indian Bank Large Corporate Rating Model — proprietary credit rating model</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IFRS / Ind AS</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Indian Accounting Standards — converged with IFRS for listed companies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LC</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Letter of Credit — non-fund-based trade finance instrument</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LEF</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Large Exposure Framework — RBI norms limiting exposure to single borrower / group</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LTM</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Last Twelve Months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MAC</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Material Adverse Change — significant deterioration in borrower's financial condition</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MCLR</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Marginal Cost of Funds-based Lending Rate — RBI benchmark for floating rate loans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MEP</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 Electrical, and Plumbing — building services component of construction</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NFB</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Non-Fund Based — contingent credit facilities (BG, LC) with no immediate cash outflow</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NII</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Net Interest Income — interest received minus interest paid</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PAT</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Profit After Tax</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QIS</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Quarterly Information System — RBI-prescribed financial data submission format for borrowers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RoRC</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 on Regulatory Capital — net income from relationship as % of regulatory capital consumed</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RPR</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Revenue Per Relationship — total income (NII + fees) as % of average credit exposure</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SCF</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Supply Chain Finance — financing of supplier invoices at preferential rates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SMA</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Special Mention Account — RBI's early warning classification (SMA-0: overdue 1-30 days, SMA-1: 31-60, SMA-2: 61-90)</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TCV</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Total Contract Value — aggregate value of IT service contracts signed in a period</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TNW</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Tangible Net Worth — shareholders' equity minus intangible assets and goodwill</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UCPDC / UCP 600</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Uniform Customs and Practice for Documentary Credits — ICC rules governing LCs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URDG 758</w:t>
            </w:r>
          </w:p>
        </w:tc>
        <w:tc>
          <w:tcPr>
            <w:tcW w:type="dxa" w:w="7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Uniform Rules for Demand Guarantees — ICC rules governing demand guarantees / BGs</w:t>
            </w:r>
          </w:p>
        </w:tc>
      </w:tr>
      <w:tr>
        <w:tc>
          <w:tcPr>
            <w:tcW w:type="dxa" w:w="14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WCDL</w:t>
            </w:r>
          </w:p>
        </w:tc>
        <w:tc>
          <w:tcPr>
            <w:tcW w:type="dxa" w:w="79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Working Capital Demand Loan — fixed-tenor short-term loan for specific WC needs</w:t>
            </w:r>
          </w:p>
        </w:tc>
      </w:tr>
    </w:tbl>
    <w:p>
      <w:pPr>
        <w:spacing w:before="0" w:after="0"/>
      </w:pPr>
      <w:r>
        <w:rPr>
          <w:sz w:val="22"/>
          <w:szCs w:val="22"/>
        </w:rPr>
        <w:t xml:space="preserve"/>
      </w:r>
    </w:p>
    <w:p>
      <w:pPr>
        <w:spacing w:before="0" w:after="0"/>
      </w:pPr>
      <w:r>
        <w:rPr>
          <w:sz w:val="22"/>
          <w:szCs w:val="22"/>
        </w:rPr>
        <w:t xml:space="preserve"/>
      </w:r>
    </w:p>
    <w:p>
      <w:pPr>
        <w:pBdr>
          <w:bottom w:val="single" w:color="2E5FA3" w:sz="6"/>
        </w:pBdr>
        <w:spacing w:before="80" w:after="80"/>
      </w:pPr>
      <w:r>
        <w:t xml:space="preserve"/>
      </w:r>
    </w:p>
    <w:p>
      <w:pPr>
        <w:spacing w:before="120" w:after="80"/>
        <w:jc w:val="center"/>
      </w:pPr>
      <w:r>
        <w:rPr>
          <w:rFonts w:ascii="Arial" w:cs="Arial" w:eastAsia="Arial" w:hAnsi="Arial"/>
          <w:b/>
          <w:bCs/>
          <w:i/>
          <w:iCs/>
          <w:color w:val="1A3C6E"/>
          <w:sz w:val="22"/>
          <w:szCs w:val="22"/>
        </w:rPr>
        <w:t xml:space="preserve">— End of Credit Appraisal Memorandum —</w:t>
      </w:r>
    </w:p>
    <w:p>
      <w:pPr>
        <w:spacing w:before="0" w:after="0"/>
        <w:jc w:val="center"/>
      </w:pPr>
      <w:r>
        <w:rPr>
          <w:rFonts w:ascii="Arial" w:cs="Arial" w:eastAsia="Arial" w:hAnsi="Arial"/>
          <w:color w:val="888888"/>
          <w:sz w:val="18"/>
          <w:szCs w:val="18"/>
        </w:rPr>
        <w:t xml:space="preserve">Indian Bank | Corporate Banking Group | Chennai Circle | 17 March 2025</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spacing w:before="80" w:after="0"/>
      <w:jc w:val="center"/>
    </w:pPr>
    <w:r>
      <w:rPr>
        <w:rFonts w:ascii="Arial" w:cs="Arial" w:eastAsia="Arial" w:hAnsi="Arial"/>
        <w:color w:val="888888"/>
        <w:sz w:val="16"/>
        <w:szCs w:val="16"/>
      </w:rPr>
      <w:t xml:space="preserve">Indian Bank — Corporate Banking Group — For Internal Use Only — March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spacing w:before="0" w:after="80"/>
      <w:jc w:val="right"/>
    </w:pPr>
    <w:r>
      <w:rPr>
        <w:rFonts w:ascii="Arial" w:cs="Arial" w:eastAsia="Arial" w:hAnsi="Arial"/>
        <w:color w:val="888888"/>
        <w:sz w:val="16"/>
        <w:szCs w:val="16"/>
      </w:rPr>
      <w:t xml:space="preserve">CONFIDENTIAL  |  Credit Appraisal Memorandum — Infosys Limited  |  Indian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2026-03-18T06:20:17.151Z</dcterms:created>
  <dcterms:modified xsi:type="dcterms:W3CDTF">2026-03-18T06:20:17.152Z</dcterms:modified>
</cp:coreProperties>
</file>

<file path=docProps/custom.xml><?xml version="1.0" encoding="utf-8"?>
<Properties xmlns="http://schemas.openxmlformats.org/officeDocument/2006/custom-properties" xmlns:vt="http://schemas.openxmlformats.org/officeDocument/2006/docPropsVTypes"/>
</file>