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olor w:val="1B3A6B"/>
          <w:sz w:val="52"/>
          <w:szCs w:val="52"/>
        </w:rPr>
        <w:t xml:space="preserve">STATE BANK OF INDIA</w:t>
      </w:r>
    </w:p>
    <w:p>
      <w:pPr>
        <w:spacing w:before="0" w:after="60"/>
        <w:jc w:val="center"/>
      </w:pPr>
      <w:r>
        <w:rPr>
          <w:rFonts w:ascii="Arial" w:cs="Arial" w:eastAsia="Arial" w:hAnsi="Arial"/>
          <w:color w:val="2E5FA3"/>
          <w:sz w:val="26"/>
          <w:szCs w:val="26"/>
        </w:rPr>
        <w:t xml:space="preserve">Corporate Banking Group – Large Corporate Division</w:t>
      </w:r>
    </w:p>
    <w:p>
      <w:pPr>
        <w:spacing w:before="0" w:after="360"/>
        <w:jc w:val="center"/>
      </w:pPr>
      <w:r>
        <w:rPr>
          <w:rFonts w:ascii="Arial" w:cs="Arial" w:eastAsia="Arial" w:hAnsi="Arial"/>
          <w:color w:val="666666"/>
          <w:sz w:val="24"/>
          <w:szCs w:val="24"/>
        </w:rPr>
        <w:t xml:space="preserve">Nariman Point Branch, Mumbai</w:t>
      </w:r>
    </w:p>
    <w:p>
      <w:pPr>
        <w:spacing w:before="0" w:after="0"/>
      </w:pPr>
      <w:r>
        <w:rPr>
          <w:sz w:val="22"/>
          <w:szCs w:val="22"/>
        </w:rPr>
        <w:t xml:space="preserve"/>
      </w:r>
    </w:p>
    <w:p>
      <w:pPr>
        <w:pBdr>
          <w:top w:val="double" w:color="2E5FA3" w:sz="6"/>
          <w:bottom w:val="double" w:color="2E5FA3" w:sz="6"/>
        </w:pBdr>
        <w:spacing w:before="0" w:after="40"/>
        <w:jc w:val="center"/>
      </w:pPr>
      <w:r>
        <w:rPr>
          <w:rFonts w:ascii="Arial" w:cs="Arial" w:eastAsia="Arial" w:hAnsi="Arial"/>
          <w:b/>
          <w:bCs/>
          <w:color w:val="1B3A6B"/>
          <w:sz w:val="44"/>
          <w:szCs w:val="44"/>
        </w:rPr>
        <w:t xml:space="preserve">CREDIT APPRAISAL MEMORANDUM (CAM)</w:t>
      </w:r>
    </w:p>
    <w:p>
      <w:pPr>
        <w:spacing w:before="0" w:after="0"/>
      </w:pPr>
      <w:r>
        <w:rPr>
          <w:sz w:val="22"/>
          <w:szCs w:val="22"/>
        </w:rPr>
        <w:t xml:space="preserve"/>
      </w:r>
    </w:p>
    <w:p>
      <w:pPr>
        <w:spacing w:before="280" w:after="40"/>
        <w:jc w:val="center"/>
      </w:pPr>
      <w:r>
        <w:rPr>
          <w:rFonts w:ascii="Arial" w:cs="Arial" w:eastAsia="Arial" w:hAnsi="Arial"/>
          <w:b/>
          <w:bCs/>
          <w:color w:val="888888"/>
          <w:sz w:val="22"/>
          <w:szCs w:val="22"/>
        </w:rPr>
        <w:t xml:space="preserve">BORROWER</w:t>
      </w:r>
    </w:p>
    <w:p>
      <w:pPr>
        <w:spacing w:before="0" w:after="40"/>
        <w:jc w:val="center"/>
      </w:pPr>
      <w:r>
        <w:rPr>
          <w:rFonts w:ascii="Arial" w:cs="Arial" w:eastAsia="Arial" w:hAnsi="Arial"/>
          <w:b/>
          <w:bCs/>
          <w:color w:val="1B3A6B"/>
          <w:sz w:val="56"/>
          <w:szCs w:val="56"/>
        </w:rPr>
        <w:t xml:space="preserve">INFOSYS LIMITED</w:t>
      </w:r>
    </w:p>
    <w:p>
      <w:pPr>
        <w:spacing w:before="0" w:after="240"/>
        <w:jc w:val="center"/>
      </w:pPr>
      <w:r>
        <w:rPr>
          <w:rFonts w:ascii="Arial" w:cs="Arial" w:eastAsia="Arial" w:hAnsi="Arial"/>
          <w:color w:val="555555"/>
          <w:sz w:val="20"/>
          <w:szCs w:val="20"/>
        </w:rPr>
        <w:t xml:space="preserve">CIN: L85110KA1981PLC013115 | BSE: 500209 | NSE: INFY | NYSE: INFY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Proposal type</w:t>
            </w:r>
          </w:p>
        </w:tc>
        <w:tc>
          <w:tcPr>
            <w:tcW w:type="dxa" w:w="31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Total exposure proposed</w:t>
            </w:r>
          </w:p>
        </w:tc>
        <w:tc>
          <w:tcPr>
            <w:tcW w:type="dxa" w:w="31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Internal credit rating</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Renewal &amp; Enhancement – Working Capital + Term Loan</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 2,500 Crore (Fund-based: ₹ 1,800 Cr | NFB: ₹ 700 Cr)</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SBI-1 (Equivalent to AAA)</w:t>
            </w:r>
          </w:p>
        </w:tc>
      </w:tr>
      <w:tr>
        <w:tc>
          <w:tcPr>
            <w:tcW w:type="dxa" w:w="31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Relationship manager</w:t>
            </w:r>
          </w:p>
        </w:tc>
        <w:tc>
          <w:tcPr>
            <w:tcW w:type="dxa" w:w="31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Circle</w:t>
            </w:r>
          </w:p>
        </w:tc>
        <w:tc>
          <w:tcPr>
            <w:tcW w:type="dxa" w:w="31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Date of proposal</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Shri Arvind Kumar Sharma (AGM)</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Corporate Banking Group, Mumbai</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15 March 2025</w:t>
            </w:r>
          </w:p>
        </w:tc>
      </w:tr>
    </w:tbl>
    <w:p>
      <w:pPr>
        <w:spacing w:before="240" w:after="120"/>
        <w:jc w:val="center"/>
      </w:pPr>
      <w:r>
        <w:rPr>
          <w:rFonts w:ascii="Arial" w:cs="Arial" w:eastAsia="Arial" w:hAnsi="Arial"/>
          <w:b/>
          <w:bCs/>
          <w:color w:val="C0392B"/>
          <w:sz w:val="22"/>
          <w:szCs w:val="22"/>
        </w:rPr>
        <w:t xml:space="preserve">STRICTLY CONFIDENTIAL</w:t>
      </w:r>
      <w:r>
        <w:rPr>
          <w:rFonts w:ascii="Arial" w:cs="Arial" w:eastAsia="Arial" w:hAnsi="Arial"/>
          <w:color w:val="555555"/>
          <w:sz w:val="20"/>
          <w:szCs w:val="20"/>
        </w:rPr>
        <w:t xml:space="preserve">   |   For Internal Use Only   |   Credit Committee Circulation</w:t>
      </w:r>
    </w:p>
    <w:p>
      <w:r>
        <w:br w:type="page"/>
      </w:r>
    </w:p>
    <w:p>
      <w:pPr>
        <w:pStyle w:val="Heading1"/>
        <w:spacing w:before="360" w:after="120"/>
      </w:pPr>
      <w:r>
        <w:rPr>
          <w:rFonts w:ascii="Arial" w:cs="Arial" w:eastAsia="Arial" w:hAnsi="Arial"/>
          <w:b/>
          <w:bCs/>
          <w:color w:val="1B3A6B"/>
          <w:sz w:val="36"/>
          <w:szCs w:val="36"/>
        </w:rPr>
        <w:t xml:space="preserve">1. Executive Summary</w:t>
      </w:r>
    </w:p>
    <w:p>
      <w:pPr>
        <w:pBdr>
          <w:bottom w:val="single" w:color="2E5FA3" w:sz="6"/>
        </w:pBdr>
        <w:spacing w:before="80" w:after="80"/>
      </w:pPr>
      <w:r>
        <w:t xml:space="preserve"/>
      </w:r>
    </w:p>
    <w:p>
      <w:pPr>
        <w:spacing w:before="60" w:after="60"/>
        <w:jc w:val="both"/>
      </w:pPr>
      <w:r>
        <w:rPr>
          <w:rFonts w:ascii="Arial" w:cs="Arial" w:eastAsia="Arial" w:hAnsi="Arial"/>
          <w:color w:val="000000"/>
          <w:sz w:val="22"/>
          <w:szCs w:val="22"/>
        </w:rPr>
        <w:t xml:space="preserve">This Credit Appraisal Memorandum (CAM) is prepared for the consideration of the Credit Committee (CC) of State Bank of India, Corporate Banking Group, Mumbai, for renewal and enhancement of credit facilities to Infosys Limited. The proposal has been evaluated by the Relationship Manager, independently reviewed by the Credit Risk unit, and endorsed by the Circle Head.</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65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Borrower</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Infosys Limited – India's second-largest IT services company by revenue, headquartered in Bengaluru, Karnataka. Listed on BSE, NSE, and NYSE.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Constitution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Public Limited Company incorporated under the Companies Act, 1956. Registered with ROC, Karnataka.</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Industry / Sector</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Information Technology (IT) Services &amp; Consulting | NIC Code: 6201</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Existing credit limit</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1,800 Crore (Fund-based: ₹ 1,200 Cr | Non-fund-based: ₹ 600 Cr) — Sanctioned 18 March 2023</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Proposed credit limit</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2,500 Crore (Fund-based: ₹ 1,800 Cr | Non-fund-based: ₹ 700 Cr) — Enhancement of ₹ 700 Cr</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Purpose</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Working Capital (CC/WCDL): Fund short-term operational expenses, payroll, and vendor payments. BG/LC: Support client SLAs and performance guarantees globally. Term Loan: Partial funding of campus expansion at Electronic City, Bengaluru.</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Tenor</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Working Capital: 12 months (renewable) | Term Loan: 5 years with 6-month moratorium</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Rate of interest</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MCLR (1-year) + 0.10% p.a. | Effective rate: 8.75% p.a. (as of March 2025)</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Security</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Primary: Pari-passu first charge on current assets. Collateral: First charge on movable fixed assets (select campuses). Guarantee: Corporate guarantee of Infosys BPM Limited (wholly-owned subsidiary).</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Asset classification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Standard | IRAC Status: Regular | SMA Status: Nil</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Internal credit rating</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SBI-1 | Score: 92/100 | Rating date: 10 February 2025 | Model: SBI-LCM v3.0</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External rating</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CRISIL AAA / Stable | ICRA AAA / Stable | India Ratings AAA / Stable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CRILC status</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Not reported as stressed. Aggregate credit exposure &lt; RBI threshold for mandatory CRILC review.</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Group exposure</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Group entities: Infosys BPM, EdgeVerve Systems, Infosys Compaz. Total group exposure including proposed: ₹ 2,750 Cr against group limit of ₹ 5,000 Cr (55% utilisation).</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Recommendation</w:t>
            </w:r>
          </w:p>
        </w:tc>
        <w:tc>
          <w:tcPr>
            <w:tcW w:type="dxa" w:w="6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APPROVAL RECOMMENDED. The account represents a flagship relationship with one of India's most creditworthy corporate borrowers. The enhancement is supported by strong revenue growth, zero debt on the standalone balance sheet, and a consistent dividend track record. The credit risk is commensurate with SBI-1 rating.</w:t>
            </w:r>
          </w:p>
        </w:tc>
      </w:tr>
    </w:tbl>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Note: All financial figures are on a standalone India GAAP basis unless otherwise stated. Consolidated financials are referenced where relevant. Exchange rate assumed: USD 1 = INR 83.25 (March 2025).</w:t>
      </w:r>
    </w:p>
    <w:p>
      <w:r>
        <w:br w:type="page"/>
      </w:r>
    </w:p>
    <w:p>
      <w:pPr>
        <w:pStyle w:val="Heading1"/>
        <w:spacing w:before="360" w:after="120"/>
      </w:pPr>
      <w:r>
        <w:rPr>
          <w:rFonts w:ascii="Arial" w:cs="Arial" w:eastAsia="Arial" w:hAnsi="Arial"/>
          <w:b/>
          <w:bCs/>
          <w:color w:val="1B3A6B"/>
          <w:sz w:val="36"/>
          <w:szCs w:val="36"/>
        </w:rPr>
        <w:t xml:space="preserve">2. Borrower Profile</w:t>
      </w:r>
    </w:p>
    <w:p>
      <w:pPr>
        <w:pBdr>
          <w:bottom w:val="single" w:color="2E5FA3" w:sz="6"/>
        </w:pBdr>
        <w:spacing w:before="80" w:after="80"/>
      </w:pPr>
      <w:r>
        <w:t xml:space="preserve"/>
      </w:r>
    </w:p>
    <w:p>
      <w:pPr>
        <w:pStyle w:val="Heading2"/>
        <w:spacing w:before="240" w:after="80"/>
      </w:pPr>
      <w:r>
        <w:rPr>
          <w:rFonts w:ascii="Arial" w:cs="Arial" w:eastAsia="Arial" w:hAnsi="Arial"/>
          <w:b/>
          <w:bCs/>
          <w:color w:val="2E5FA3"/>
          <w:sz w:val="28"/>
          <w:szCs w:val="28"/>
        </w:rPr>
        <w:t xml:space="preserve">2.1 Corporate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31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c>
          <w:tcPr>
            <w:tcW w:type="dxa" w:w="31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Source / Remarks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Full legal name</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Infosys Limited</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MCA21 / Annual Report</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CIN</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L85110KA1981PLC013115</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MCA21</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Date of incorporation</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02 July 1981</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Certificate of Incorporation</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Registered office</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Electronics City, Hosur Road, Bengaluru – 560 100, Karnataka</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ROC Records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Corporate office</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IFSC Gift City, Gandhinagar, Gujarat (Global HQ for banking ops)</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Company website</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PAN</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AAACI7406E</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Income Tax Records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GST (HO)</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29AAACI7406E1ZB</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GSTIN Portal</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Statutory auditor</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Deloitte Haskins &amp; Sells LLP</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Annual Report FY2024</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Listed exchanges</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BSE (500209) | NSE (INFY) | NYSE (INFY)</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Exchanges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Market capitalisation</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6,12,000 Crore (approx. USD 73.5 Bn) as of 31 March 2025</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BSE / NSE</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Credit facilities banker</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SBI (Lead) | HDFC Bank | ICICI Bank | Citibank India</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Bank records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Auditor remark</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Unqualified opinion for FY2024. No material weaknesses reported.</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Statutory Audit Report</w:t>
            </w:r>
          </w:p>
        </w:tc>
      </w:tr>
    </w:tbl>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2.2 Business Overview</w:t>
      </w:r>
    </w:p>
    <w:p>
      <w:pPr>
        <w:spacing w:before="60" w:after="60"/>
        <w:jc w:val="both"/>
      </w:pPr>
      <w:r>
        <w:rPr>
          <w:rFonts w:ascii="Arial" w:cs="Arial" w:eastAsia="Arial" w:hAnsi="Arial"/>
          <w:color w:val="000000"/>
          <w:sz w:val="22"/>
          <w:szCs w:val="22"/>
        </w:rPr>
        <w:t xml:space="preserve">Infosys Limited is a global leader in next-generation digital services and consulting. Founded in 1981 by N.R. Narayana Murthy and six co-founders with an initial capital of USD 250, Infosys has grown into a USD 18.6 billion enterprise (consolidated FY2024 revenue) with over 317,000 employees across 56 countries. The company operates across five verticals: Financial Services, Retail &amp; Consumer Business, Communication, Energy, Utilities, Resources &amp; Services, and Manufacturing.</w:t>
      </w:r>
    </w:p>
    <w:p>
      <w:pPr>
        <w:spacing w:before="0" w:after="0"/>
      </w:pPr>
      <w:r>
        <w:rPr>
          <w:sz w:val="22"/>
          <w:szCs w:val="22"/>
        </w:rPr>
        <w:t xml:space="preserve"/>
      </w:r>
    </w:p>
    <w:p>
      <w:pPr>
        <w:spacing w:before="60" w:after="60"/>
        <w:jc w:val="both"/>
      </w:pPr>
      <w:r>
        <w:rPr>
          <w:rFonts w:ascii="Arial" w:cs="Arial" w:eastAsia="Arial" w:hAnsi="Arial"/>
          <w:color w:val="000000"/>
          <w:sz w:val="22"/>
          <w:szCs w:val="22"/>
        </w:rPr>
        <w:t xml:space="preserve">Infosys offers services spanning IT consulting, application development &amp; maintenance (ADM), business process management (BPM), cloud &amp; infrastructure, data analytics, and enterprise resource planning (ERP). Key products include Finacle (core banking platform), Infosys Equinox (commerce platform), and EdgeVerve (AI-powered workflow automation). The Cobalt cloud platform is central to its transformation strategy.</w:t>
      </w:r>
    </w:p>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2.3 Management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Name</w:t>
            </w:r>
          </w:p>
        </w:tc>
        <w:tc>
          <w:tcPr>
            <w:tcW w:type="dxa" w:w="24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Designation</w:t>
            </w:r>
          </w:p>
        </w:tc>
        <w:tc>
          <w:tcPr>
            <w:tcW w:type="dxa" w:w="24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Experience</w:t>
            </w:r>
          </w:p>
        </w:tc>
        <w:tc>
          <w:tcPr>
            <w:tcW w:type="dxa" w:w="21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Remarks</w:t>
            </w:r>
          </w:p>
        </w:tc>
      </w:tr>
      <w:tr>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Nandan M. Nilekani</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Non-Executive Chairman</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43 years</w:t>
            </w:r>
          </w:p>
        </w:tc>
        <w:tc>
          <w:tcPr>
            <w:tcW w:type="dxa" w:w="2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Co-founder; former UIDAI Chairman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Salil S. Parekh</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CEO &amp; Managing Director</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31 years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Appointed Jan 2018; re-appointed 2022</w:t>
            </w:r>
          </w:p>
        </w:tc>
      </w:tr>
      <w:tr>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Nilanjan Roy</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Chief Financial Officer</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28 years</w:t>
            </w:r>
          </w:p>
        </w:tc>
        <w:tc>
          <w:tcPr>
            <w:tcW w:type="dxa" w:w="2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Joined Infosys 2019</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Inderpreet Sawhney</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Chief Legal Officer &amp; General Counsel</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 years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Oversees compliance &amp; legal globally</w:t>
            </w:r>
          </w:p>
        </w:tc>
      </w:tr>
      <w:tr>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Mohit Joshi</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President (Banking, FS &amp; Insurance)</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22 years</w:t>
            </w:r>
          </w:p>
        </w:tc>
        <w:tc>
          <w:tcPr>
            <w:tcW w:type="dxa" w:w="2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Drives BFSI vertical globally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 Sundaram</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Independent Director</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40 years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Ex-CFO, HUL; Audit Committee Chair</w:t>
            </w:r>
          </w:p>
        </w:tc>
      </w:tr>
      <w:tr>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Chitra Nayak</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Independent Director</w:t>
            </w:r>
          </w:p>
        </w:tc>
        <w:tc>
          <w:tcPr>
            <w:tcW w:type="dxa" w:w="24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30 years</w:t>
            </w:r>
          </w:p>
        </w:tc>
        <w:tc>
          <w:tcPr>
            <w:tcW w:type="dxa" w:w="2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Former Cisco executive</w:t>
            </w:r>
          </w:p>
        </w:tc>
      </w:tr>
    </w:tbl>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2.4 Promoter / Shareholder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Shareholder category</w:t>
            </w:r>
          </w:p>
        </w:tc>
        <w:tc>
          <w:tcPr>
            <w:tcW w:type="dxa" w:w="234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holding (Sep 2024)</w:t>
            </w:r>
          </w:p>
        </w:tc>
        <w:tc>
          <w:tcPr>
            <w:tcW w:type="dxa" w:w="234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Remarks</w:t>
            </w:r>
          </w:p>
        </w:tc>
      </w:tr>
      <w:tr>
        <w:tc>
          <w:tcPr>
            <w:tcW w:type="dxa" w:w="46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Promoters (Nilekani &amp; family, Murthy &amp; family, others)</w:t>
            </w:r>
          </w:p>
        </w:tc>
        <w:tc>
          <w:tcPr>
            <w:tcW w:type="dxa" w:w="23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14.89%</w:t>
            </w:r>
          </w:p>
        </w:tc>
        <w:tc>
          <w:tcPr>
            <w:tcW w:type="dxa" w:w="23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Lock-in: Nil (founders diluted over time)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Foreign Portfolio Investors (FPIs)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32.61%</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Includes LIC, Vanguard, BlackRock</w:t>
            </w:r>
          </w:p>
        </w:tc>
      </w:tr>
      <w:tr>
        <w:tc>
          <w:tcPr>
            <w:tcW w:type="dxa" w:w="46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Domestic Institutional Investors (DIIs)</w:t>
            </w:r>
          </w:p>
        </w:tc>
        <w:tc>
          <w:tcPr>
            <w:tcW w:type="dxa" w:w="23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19.22%</w:t>
            </w:r>
          </w:p>
        </w:tc>
        <w:tc>
          <w:tcPr>
            <w:tcW w:type="dxa" w:w="23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LIC: 6.1%, Mutual Funds: 13.1%</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Public / Retail shareholders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33.28%</w:t>
            </w:r>
          </w:p>
        </w:tc>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Broad-based ownership</w:t>
            </w:r>
          </w:p>
        </w:tc>
      </w:tr>
    </w:tbl>
    <w:p>
      <w:pPr>
        <w:spacing w:before="0" w:after="0"/>
      </w:pPr>
      <w:r>
        <w:rPr>
          <w:sz w:val="22"/>
          <w:szCs w:val="22"/>
        </w:rPr>
        <w:t xml:space="preserve"/>
      </w:r>
    </w:p>
    <w:p>
      <w:pPr>
        <w:spacing w:before="60" w:after="60"/>
        <w:jc w:val="both"/>
      </w:pPr>
      <w:r>
        <w:rPr>
          <w:rFonts w:ascii="Arial" w:cs="Arial" w:eastAsia="Arial" w:hAnsi="Arial"/>
          <w:color w:val="000000"/>
          <w:sz w:val="22"/>
          <w:szCs w:val="22"/>
        </w:rPr>
        <w:t xml:space="preserve">The shareholding pattern reflects a professionally managed, widely-held company with no single dominant promoter group. Institutional ownership is high, providing governance oversight. No pledging of promoter shares has been reported.</w:t>
      </w:r>
    </w:p>
    <w:p>
      <w:pPr>
        <w:pStyle w:val="Heading2"/>
        <w:spacing w:before="240" w:after="80"/>
      </w:pPr>
      <w:r>
        <w:rPr>
          <w:rFonts w:ascii="Arial" w:cs="Arial" w:eastAsia="Arial" w:hAnsi="Arial"/>
          <w:b/>
          <w:bCs/>
          <w:color w:val="2E5FA3"/>
          <w:sz w:val="28"/>
          <w:szCs w:val="28"/>
        </w:rPr>
        <w:t xml:space="preserve">2.5 Group Structure &amp; Associates</w:t>
      </w:r>
    </w:p>
    <w:p>
      <w:pPr>
        <w:spacing w:before="60" w:after="60"/>
        <w:jc w:val="both"/>
      </w:pPr>
      <w:r>
        <w:rPr>
          <w:rFonts w:ascii="Arial" w:cs="Arial" w:eastAsia="Arial" w:hAnsi="Arial"/>
          <w:color w:val="000000"/>
          <w:sz w:val="22"/>
          <w:szCs w:val="22"/>
        </w:rPr>
        <w:t xml:space="preserve">Infosys operates through a lean holding structure with key subsidiaries involved in technology services and BPM operations globally.</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Infosys BPM Limited: Wholly-owned subsidiary — BPM services globally</w:t>
      </w:r>
    </w:p>
    <w:p>
      <w:pPr>
        <w:pStyle w:val="ListParagraph"/>
        <w:numPr>
          <w:ilvl w:val="0"/>
          <w:numId w:val="2"/>
        </w:numPr>
        <w:spacing w:before="40" w:after="40"/>
      </w:pPr>
      <w:r>
        <w:rPr>
          <w:rFonts w:ascii="Arial" w:cs="Arial" w:eastAsia="Arial" w:hAnsi="Arial"/>
          <w:sz w:val="22"/>
          <w:szCs w:val="22"/>
        </w:rPr>
        <w:t xml:space="preserve">EdgeVerve Systems Limited: Wholly-owned subsidiary — AI/workflow products</w:t>
      </w:r>
    </w:p>
    <w:p>
      <w:pPr>
        <w:pStyle w:val="ListParagraph"/>
        <w:numPr>
          <w:ilvl w:val="0"/>
          <w:numId w:val="2"/>
        </w:numPr>
        <w:spacing w:before="40" w:after="40"/>
      </w:pPr>
      <w:r>
        <w:rPr>
          <w:rFonts w:ascii="Arial" w:cs="Arial" w:eastAsia="Arial" w:hAnsi="Arial"/>
          <w:sz w:val="22"/>
          <w:szCs w:val="22"/>
        </w:rPr>
        <w:t xml:space="preserve">Infosys Compaz Pte. Ltd.: Wholly-owned subsidiary — Singapore (APAC IT services)</w:t>
      </w:r>
    </w:p>
    <w:p>
      <w:pPr>
        <w:pStyle w:val="ListParagraph"/>
        <w:numPr>
          <w:ilvl w:val="0"/>
          <w:numId w:val="2"/>
        </w:numPr>
        <w:spacing w:before="40" w:after="40"/>
      </w:pPr>
      <w:r>
        <w:rPr>
          <w:rFonts w:ascii="Arial" w:cs="Arial" w:eastAsia="Arial" w:hAnsi="Arial"/>
          <w:sz w:val="22"/>
          <w:szCs w:val="22"/>
        </w:rPr>
        <w:t xml:space="preserve">Infosys Public Services Inc.: Wholly-owned subsidiary — USA (public sector contracts)</w:t>
      </w:r>
    </w:p>
    <w:p>
      <w:pPr>
        <w:pStyle w:val="ListParagraph"/>
        <w:numPr>
          <w:ilvl w:val="0"/>
          <w:numId w:val="2"/>
        </w:numPr>
        <w:spacing w:before="40" w:after="40"/>
      </w:pPr>
      <w:r>
        <w:rPr>
          <w:rFonts w:ascii="Arial" w:cs="Arial" w:eastAsia="Arial" w:hAnsi="Arial"/>
          <w:sz w:val="22"/>
          <w:szCs w:val="22"/>
        </w:rPr>
        <w:t xml:space="preserve">Infosys Fluido GmbH &amp; Co. KG: Wholly-owned subsidiary — Germany (Salesforce consulting)</w:t>
      </w:r>
    </w:p>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No material related-party transactions that could adversely impact the borrower's creditworthiness have been identified during the review.</w:t>
      </w:r>
    </w:p>
    <w:p>
      <w:r>
        <w:br w:type="page"/>
      </w:r>
    </w:p>
    <w:p>
      <w:pPr>
        <w:pStyle w:val="Heading1"/>
        <w:spacing w:before="360" w:after="120"/>
      </w:pPr>
      <w:r>
        <w:rPr>
          <w:rFonts w:ascii="Arial" w:cs="Arial" w:eastAsia="Arial" w:hAnsi="Arial"/>
          <w:b/>
          <w:bCs/>
          <w:color w:val="1B3A6B"/>
          <w:sz w:val="36"/>
          <w:szCs w:val="36"/>
        </w:rPr>
        <w:t xml:space="preserve">3. Industry &amp; Business Analysis</w:t>
      </w:r>
    </w:p>
    <w:p>
      <w:pPr>
        <w:pBdr>
          <w:bottom w:val="single" w:color="2E5FA3" w:sz="6"/>
        </w:pBdr>
        <w:spacing w:before="80" w:after="80"/>
      </w:pPr>
      <w:r>
        <w:t xml:space="preserve"/>
      </w:r>
    </w:p>
    <w:p>
      <w:pPr>
        <w:pStyle w:val="Heading2"/>
        <w:spacing w:before="240" w:after="80"/>
      </w:pPr>
      <w:r>
        <w:rPr>
          <w:rFonts w:ascii="Arial" w:cs="Arial" w:eastAsia="Arial" w:hAnsi="Arial"/>
          <w:b/>
          <w:bCs/>
          <w:color w:val="2E5FA3"/>
          <w:sz w:val="28"/>
          <w:szCs w:val="28"/>
        </w:rPr>
        <w:t xml:space="preserve">3.1 Indian IT Industry Overview</w:t>
      </w:r>
    </w:p>
    <w:p>
      <w:pPr>
        <w:spacing w:before="60" w:after="60"/>
        <w:jc w:val="both"/>
      </w:pPr>
      <w:r>
        <w:rPr>
          <w:rFonts w:ascii="Arial" w:cs="Arial" w:eastAsia="Arial" w:hAnsi="Arial"/>
          <w:color w:val="000000"/>
          <w:sz w:val="22"/>
          <w:szCs w:val="22"/>
        </w:rPr>
        <w:t xml:space="preserve">The Indian IT-BPM sector remains one of the most resilient pillars of the Indian economy. NASSCOM estimates total industry revenues of USD 254 billion for FY2024, with exports at USD 199 billion. India continues to dominate global sourcing of IT services with a 55%+ market share. The sector employs approximately 5.4 million professionals directly and contributes nearly 9.5% to India's GDP.</w:t>
      </w:r>
    </w:p>
    <w:p>
      <w:pPr>
        <w:spacing w:before="0" w:after="0"/>
      </w:pPr>
      <w:r>
        <w:rPr>
          <w:sz w:val="22"/>
          <w:szCs w:val="22"/>
        </w:rPr>
        <w:t xml:space="preserve"/>
      </w:r>
    </w:p>
    <w:p>
      <w:pPr>
        <w:spacing w:before="60" w:after="60"/>
        <w:jc w:val="both"/>
      </w:pPr>
      <w:r>
        <w:rPr>
          <w:rFonts w:ascii="Arial" w:cs="Arial" w:eastAsia="Arial" w:hAnsi="Arial"/>
          <w:color w:val="000000"/>
          <w:sz w:val="22"/>
          <w:szCs w:val="22"/>
        </w:rPr>
        <w:t xml:space="preserve">Demand drivers include accelerating cloud migration (driven by hyperscalers — AWS, Azure, Google), AI/ML integration across enterprise workflows, cybersecurity spend, and digital transformation in BFSI, healthcare, and manufacturing. Near-term headwinds include macroeconomic uncertainty in North America and Europe (key markets), client budget optimisation cycles, and rising talent attrition costs.</w:t>
      </w:r>
    </w:p>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3.2 Competitive Landscape</w:t>
      </w:r>
    </w:p>
    <w:p>
      <w:pPr>
        <w:spacing w:before="60" w:after="60"/>
        <w:jc w:val="both"/>
      </w:pPr>
      <w:r>
        <w:rPr>
          <w:rFonts w:ascii="Arial" w:cs="Arial" w:eastAsia="Arial" w:hAnsi="Arial"/>
          <w:color w:val="000000"/>
          <w:sz w:val="22"/>
          <w:szCs w:val="22"/>
        </w:rPr>
        <w:t xml:space="preserve">Infosys competes primarily with Tata Consultancy Services (TCS), Wipro, HCLTech, Tech Mahindra, and globally with Accenture, IBM Services, Cognizant, and Capgemini. Infosys holds the second position in India by IT services revenue (after TCS) and is the fastest-growing among the Big-4 Indian IT firms in the large-deal pipeline.</w:t>
      </w:r>
    </w:p>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3.3 Revenue Segment &amp; Geography Mix</w:t>
      </w:r>
    </w:p>
    <w:p>
      <w:pPr>
        <w:pStyle w:val="Heading3"/>
        <w:spacing w:before="200" w:after="60"/>
      </w:pPr>
      <w:r>
        <w:rPr>
          <w:rFonts w:ascii="Arial" w:cs="Arial" w:eastAsia="Arial" w:hAnsi="Arial"/>
          <w:b/>
          <w:bCs/>
          <w:color w:val="1B3A6B"/>
          <w:sz w:val="24"/>
          <w:szCs w:val="24"/>
        </w:rPr>
        <w:t xml:space="preserve">Vertical-wise revenue breakdown (FY2024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Vertical</w:t>
            </w:r>
          </w:p>
        </w:tc>
        <w:tc>
          <w:tcPr>
            <w:tcW w:type="dxa" w:w="31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Revenue mix (FY2024)</w:t>
            </w:r>
          </w:p>
        </w:tc>
        <w:tc>
          <w:tcPr>
            <w:tcW w:type="dxa" w:w="31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Growth YoY</w:t>
            </w:r>
          </w:p>
        </w:tc>
      </w:tr>
      <w:tr>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Financial Services</w:t>
            </w:r>
          </w:p>
        </w:tc>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27.4%</w:t>
            </w:r>
          </w:p>
        </w:tc>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 (flat due to BFSI spend freeze)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Retail, Consumer &amp; Logistics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14.9%</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+3.1%</w:t>
            </w:r>
          </w:p>
        </w:tc>
      </w:tr>
      <w:tr>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Communication</w:t>
            </w:r>
          </w:p>
        </w:tc>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11.8%</w:t>
            </w:r>
          </w:p>
        </w:tc>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 (telecom capex cuts)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Energy, Utilities, Resources &amp; Services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13.2%</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+5.8%</w:t>
            </w:r>
          </w:p>
        </w:tc>
      </w:tr>
      <w:tr>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Manufacturing</w:t>
            </w:r>
          </w:p>
        </w:tc>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12.7%</w:t>
            </w:r>
          </w:p>
        </w:tc>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+7.2%</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Hi-Tech</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10.0%</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w:t>
            </w:r>
          </w:p>
        </w:tc>
      </w:tr>
      <w:tr>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Others (Life Sciences, Healthcare, etc.)</w:t>
            </w:r>
          </w:p>
        </w:tc>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10.0%</w:t>
            </w:r>
          </w:p>
        </w:tc>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+4.0%</w:t>
            </w:r>
          </w:p>
        </w:tc>
      </w:tr>
    </w:tbl>
    <w:p>
      <w:pPr>
        <w:spacing w:before="0" w:after="0"/>
      </w:pPr>
      <w:r>
        <w:rPr>
          <w:sz w:val="22"/>
          <w:szCs w:val="22"/>
        </w:rPr>
        <w:t xml:space="preserve"/>
      </w:r>
    </w:p>
    <w:p>
      <w:pPr>
        <w:pStyle w:val="Heading3"/>
        <w:spacing w:before="200" w:after="60"/>
      </w:pPr>
      <w:r>
        <w:rPr>
          <w:rFonts w:ascii="Arial" w:cs="Arial" w:eastAsia="Arial" w:hAnsi="Arial"/>
          <w:b/>
          <w:bCs/>
          <w:color w:val="1B3A6B"/>
          <w:sz w:val="24"/>
          <w:szCs w:val="24"/>
        </w:rPr>
        <w:t xml:space="preserve">Geography-wise revenue breakdown (FY2024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Geography</w:t>
            </w:r>
          </w:p>
        </w:tc>
        <w:tc>
          <w:tcPr>
            <w:tcW w:type="dxa" w:w="31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Revenue mix (FY2024)</w:t>
            </w:r>
          </w:p>
        </w:tc>
        <w:tc>
          <w:tcPr>
            <w:tcW w:type="dxa" w:w="31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Trend</w:t>
            </w:r>
          </w:p>
        </w:tc>
      </w:tr>
      <w:tr>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North America</w:t>
            </w:r>
          </w:p>
        </w:tc>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60.2%</w:t>
            </w:r>
          </w:p>
        </w:tc>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Largest market; recovery expected H2 FY2025</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Europe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26.5%</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Steady; DACH and UK strong</w:t>
            </w:r>
          </w:p>
        </w:tc>
      </w:tr>
      <w:tr>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Rest of World (APAC, India, Middle East)</w:t>
            </w:r>
          </w:p>
        </w:tc>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13.3%</w:t>
            </w:r>
          </w:p>
        </w:tc>
        <w:tc>
          <w:tcPr>
            <w:tcW w:type="dxa" w:w="31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Fastest-growing segment</w:t>
            </w:r>
          </w:p>
        </w:tc>
      </w:tr>
    </w:tbl>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3.4 SWOT Analysis</w:t>
      </w:r>
    </w:p>
    <w:p>
      <w:pPr>
        <w:pStyle w:val="Heading3"/>
        <w:spacing w:before="200" w:after="60"/>
      </w:pPr>
      <w:r>
        <w:rPr>
          <w:rFonts w:ascii="Arial" w:cs="Arial" w:eastAsia="Arial" w:hAnsi="Arial"/>
          <w:b/>
          <w:bCs/>
          <w:color w:val="1B3A6B"/>
          <w:sz w:val="24"/>
          <w:szCs w:val="24"/>
        </w:rPr>
        <w:t xml:space="preserve">Strengths</w:t>
      </w:r>
    </w:p>
    <w:p>
      <w:pPr>
        <w:pStyle w:val="ListParagraph"/>
        <w:numPr>
          <w:ilvl w:val="0"/>
          <w:numId w:val="2"/>
        </w:numPr>
        <w:spacing w:before="40" w:after="40"/>
      </w:pPr>
      <w:r>
        <w:rPr>
          <w:rFonts w:ascii="Arial" w:cs="Arial" w:eastAsia="Arial" w:hAnsi="Arial"/>
          <w:sz w:val="22"/>
          <w:szCs w:val="22"/>
        </w:rPr>
        <w:t xml:space="preserve">Strong brand and 40+ year track record in global IT services delivery.</w:t>
      </w:r>
    </w:p>
    <w:p>
      <w:pPr>
        <w:pStyle w:val="ListParagraph"/>
        <w:numPr>
          <w:ilvl w:val="0"/>
          <w:numId w:val="2"/>
        </w:numPr>
        <w:spacing w:before="40" w:after="40"/>
      </w:pPr>
      <w:r>
        <w:rPr>
          <w:rFonts w:ascii="Arial" w:cs="Arial" w:eastAsia="Arial" w:hAnsi="Arial"/>
          <w:sz w:val="22"/>
          <w:szCs w:val="22"/>
        </w:rPr>
        <w:t xml:space="preserve">Best-in-class EBIT margins (20.1% in FY2024) amongst large-cap Indian IT peers.</w:t>
      </w:r>
    </w:p>
    <w:p>
      <w:pPr>
        <w:pStyle w:val="ListParagraph"/>
        <w:numPr>
          <w:ilvl w:val="0"/>
          <w:numId w:val="2"/>
        </w:numPr>
        <w:spacing w:before="40" w:after="40"/>
      </w:pPr>
      <w:r>
        <w:rPr>
          <w:rFonts w:ascii="Arial" w:cs="Arial" w:eastAsia="Arial" w:hAnsi="Arial"/>
          <w:sz w:val="22"/>
          <w:szCs w:val="22"/>
        </w:rPr>
        <w:t xml:space="preserve">Robust large deal wins (TCV: USD 4.2 Bn in FY2024) signalling strong revenue visibility.</w:t>
      </w:r>
    </w:p>
    <w:p>
      <w:pPr>
        <w:pStyle w:val="ListParagraph"/>
        <w:numPr>
          <w:ilvl w:val="0"/>
          <w:numId w:val="2"/>
        </w:numPr>
        <w:spacing w:before="40" w:after="40"/>
      </w:pPr>
      <w:r>
        <w:rPr>
          <w:rFonts w:ascii="Arial" w:cs="Arial" w:eastAsia="Arial" w:hAnsi="Arial"/>
          <w:sz w:val="22"/>
          <w:szCs w:val="22"/>
        </w:rPr>
        <w:t xml:space="preserve">Finacle — market-leading core banking solution installed in 100+ banks across 50+ countries.</w:t>
      </w:r>
    </w:p>
    <w:p>
      <w:pPr>
        <w:pStyle w:val="ListParagraph"/>
        <w:numPr>
          <w:ilvl w:val="0"/>
          <w:numId w:val="2"/>
        </w:numPr>
        <w:spacing w:before="40" w:after="40"/>
      </w:pPr>
      <w:r>
        <w:rPr>
          <w:rFonts w:ascii="Arial" w:cs="Arial" w:eastAsia="Arial" w:hAnsi="Arial"/>
          <w:sz w:val="22"/>
          <w:szCs w:val="22"/>
        </w:rPr>
        <w:t xml:space="preserve">Net cash company with zero long-term debt on standalone balance sheet.</w:t>
      </w:r>
    </w:p>
    <w:p>
      <w:pPr>
        <w:pStyle w:val="ListParagraph"/>
        <w:numPr>
          <w:ilvl w:val="0"/>
          <w:numId w:val="2"/>
        </w:numPr>
        <w:spacing w:before="40" w:after="40"/>
      </w:pPr>
      <w:r>
        <w:rPr>
          <w:rFonts w:ascii="Arial" w:cs="Arial" w:eastAsia="Arial" w:hAnsi="Arial"/>
          <w:sz w:val="22"/>
          <w:szCs w:val="22"/>
        </w:rPr>
        <w:t xml:space="preserve">Strong ESG credentials: Carbon neutral since 2020; included in DJSI World Index.</w:t>
      </w:r>
    </w:p>
    <w:p>
      <w:pPr>
        <w:spacing w:before="0" w:after="0"/>
      </w:pPr>
      <w:r>
        <w:rPr>
          <w:sz w:val="22"/>
          <w:szCs w:val="22"/>
        </w:rPr>
        <w:t xml:space="preserve"/>
      </w:r>
    </w:p>
    <w:p>
      <w:pPr>
        <w:pStyle w:val="Heading3"/>
        <w:spacing w:before="200" w:after="60"/>
      </w:pPr>
      <w:r>
        <w:rPr>
          <w:rFonts w:ascii="Arial" w:cs="Arial" w:eastAsia="Arial" w:hAnsi="Arial"/>
          <w:b/>
          <w:bCs/>
          <w:color w:val="1B3A6B"/>
          <w:sz w:val="24"/>
          <w:szCs w:val="24"/>
        </w:rPr>
        <w:t xml:space="preserve">Weaknesses</w:t>
      </w:r>
    </w:p>
    <w:p>
      <w:pPr>
        <w:pStyle w:val="ListParagraph"/>
        <w:numPr>
          <w:ilvl w:val="0"/>
          <w:numId w:val="2"/>
        </w:numPr>
        <w:spacing w:before="40" w:after="40"/>
      </w:pPr>
      <w:r>
        <w:rPr>
          <w:rFonts w:ascii="Arial" w:cs="Arial" w:eastAsia="Arial" w:hAnsi="Arial"/>
          <w:sz w:val="22"/>
          <w:szCs w:val="22"/>
        </w:rPr>
        <w:t xml:space="preserve">Revenue concentration in North America (60%) creates geographic risk.</w:t>
      </w:r>
    </w:p>
    <w:p>
      <w:pPr>
        <w:pStyle w:val="ListParagraph"/>
        <w:numPr>
          <w:ilvl w:val="0"/>
          <w:numId w:val="2"/>
        </w:numPr>
        <w:spacing w:before="40" w:after="40"/>
      </w:pPr>
      <w:r>
        <w:rPr>
          <w:rFonts w:ascii="Arial" w:cs="Arial" w:eastAsia="Arial" w:hAnsi="Arial"/>
          <w:sz w:val="22"/>
          <w:szCs w:val="22"/>
        </w:rPr>
        <w:t xml:space="preserve">BFSI vertical (27% of revenue) exposed to spend delays from global banking sector uncertainty.</w:t>
      </w:r>
    </w:p>
    <w:p>
      <w:pPr>
        <w:pStyle w:val="ListParagraph"/>
        <w:numPr>
          <w:ilvl w:val="0"/>
          <w:numId w:val="2"/>
        </w:numPr>
        <w:spacing w:before="40" w:after="40"/>
      </w:pPr>
      <w:r>
        <w:rPr>
          <w:rFonts w:ascii="Arial" w:cs="Arial" w:eastAsia="Arial" w:hAnsi="Arial"/>
          <w:sz w:val="22"/>
          <w:szCs w:val="22"/>
        </w:rPr>
        <w:t xml:space="preserve">Higher-than-peers attrition in mid-management levels (16.4% in FY2023; improved to 12.7% in FY2024).</w:t>
      </w:r>
    </w:p>
    <w:p>
      <w:pPr>
        <w:pStyle w:val="ListParagraph"/>
        <w:numPr>
          <w:ilvl w:val="0"/>
          <w:numId w:val="2"/>
        </w:numPr>
        <w:spacing w:before="40" w:after="40"/>
      </w:pPr>
      <w:r>
        <w:rPr>
          <w:rFonts w:ascii="Arial" w:cs="Arial" w:eastAsia="Arial" w:hAnsi="Arial"/>
          <w:sz w:val="22"/>
          <w:szCs w:val="22"/>
        </w:rPr>
        <w:t xml:space="preserve">Limited IP-led revenue compared to product companies — services still account for 95%+ of revenue.</w:t>
      </w:r>
    </w:p>
    <w:p>
      <w:pPr>
        <w:spacing w:before="0" w:after="0"/>
      </w:pPr>
      <w:r>
        <w:rPr>
          <w:sz w:val="22"/>
          <w:szCs w:val="22"/>
        </w:rPr>
        <w:t xml:space="preserve"/>
      </w:r>
    </w:p>
    <w:p>
      <w:pPr>
        <w:pStyle w:val="Heading3"/>
        <w:spacing w:before="200" w:after="60"/>
      </w:pPr>
      <w:r>
        <w:rPr>
          <w:rFonts w:ascii="Arial" w:cs="Arial" w:eastAsia="Arial" w:hAnsi="Arial"/>
          <w:b/>
          <w:bCs/>
          <w:color w:val="1B3A6B"/>
          <w:sz w:val="24"/>
          <w:szCs w:val="24"/>
        </w:rPr>
        <w:t xml:space="preserve">Opportunities</w:t>
      </w:r>
    </w:p>
    <w:p>
      <w:pPr>
        <w:pStyle w:val="ListParagraph"/>
        <w:numPr>
          <w:ilvl w:val="0"/>
          <w:numId w:val="2"/>
        </w:numPr>
        <w:spacing w:before="40" w:after="40"/>
      </w:pPr>
      <w:r>
        <w:rPr>
          <w:rFonts w:ascii="Arial" w:cs="Arial" w:eastAsia="Arial" w:hAnsi="Arial"/>
          <w:sz w:val="22"/>
          <w:szCs w:val="22"/>
        </w:rPr>
        <w:t xml:space="preserve">Generative AI integration — Infosys Topaz (AI-first platform) positions the company for the next phase of IT spend.</w:t>
      </w:r>
    </w:p>
    <w:p>
      <w:pPr>
        <w:pStyle w:val="ListParagraph"/>
        <w:numPr>
          <w:ilvl w:val="0"/>
          <w:numId w:val="2"/>
        </w:numPr>
        <w:spacing w:before="40" w:after="40"/>
      </w:pPr>
      <w:r>
        <w:rPr>
          <w:rFonts w:ascii="Arial" w:cs="Arial" w:eastAsia="Arial" w:hAnsi="Arial"/>
          <w:sz w:val="22"/>
          <w:szCs w:val="22"/>
        </w:rPr>
        <w:t xml:space="preserve">Public sector and healthcare IT digitalisation in India and the US.</w:t>
      </w:r>
    </w:p>
    <w:p>
      <w:pPr>
        <w:pStyle w:val="ListParagraph"/>
        <w:numPr>
          <w:ilvl w:val="0"/>
          <w:numId w:val="2"/>
        </w:numPr>
        <w:spacing w:before="40" w:after="40"/>
      </w:pPr>
      <w:r>
        <w:rPr>
          <w:rFonts w:ascii="Arial" w:cs="Arial" w:eastAsia="Arial" w:hAnsi="Arial"/>
          <w:sz w:val="22"/>
          <w:szCs w:val="22"/>
        </w:rPr>
        <w:t xml:space="preserve">Acquisition pipeline in niche capability areas (data, cloud, cybersecurity).</w:t>
      </w:r>
    </w:p>
    <w:p>
      <w:pPr>
        <w:pStyle w:val="ListParagraph"/>
        <w:numPr>
          <w:ilvl w:val="0"/>
          <w:numId w:val="2"/>
        </w:numPr>
        <w:spacing w:before="40" w:after="40"/>
      </w:pPr>
      <w:r>
        <w:rPr>
          <w:rFonts w:ascii="Arial" w:cs="Arial" w:eastAsia="Arial" w:hAnsi="Arial"/>
          <w:sz w:val="22"/>
          <w:szCs w:val="22"/>
        </w:rPr>
        <w:t xml:space="preserve">Expanding India domestic IT market (expected CAGR of 14% through FY2027).</w:t>
      </w:r>
    </w:p>
    <w:p>
      <w:pPr>
        <w:spacing w:before="0" w:after="0"/>
      </w:pPr>
      <w:r>
        <w:rPr>
          <w:sz w:val="22"/>
          <w:szCs w:val="22"/>
        </w:rPr>
        <w:t xml:space="preserve"/>
      </w:r>
    </w:p>
    <w:p>
      <w:pPr>
        <w:pStyle w:val="Heading3"/>
        <w:spacing w:before="200" w:after="60"/>
      </w:pPr>
      <w:r>
        <w:rPr>
          <w:rFonts w:ascii="Arial" w:cs="Arial" w:eastAsia="Arial" w:hAnsi="Arial"/>
          <w:b/>
          <w:bCs/>
          <w:color w:val="1B3A6B"/>
          <w:sz w:val="24"/>
          <w:szCs w:val="24"/>
        </w:rPr>
        <w:t xml:space="preserve">Threats</w:t>
      </w:r>
    </w:p>
    <w:p>
      <w:pPr>
        <w:pStyle w:val="ListParagraph"/>
        <w:numPr>
          <w:ilvl w:val="0"/>
          <w:numId w:val="2"/>
        </w:numPr>
        <w:spacing w:before="40" w:after="40"/>
      </w:pPr>
      <w:r>
        <w:rPr>
          <w:rFonts w:ascii="Arial" w:cs="Arial" w:eastAsia="Arial" w:hAnsi="Arial"/>
          <w:sz w:val="22"/>
          <w:szCs w:val="22"/>
        </w:rPr>
        <w:t xml:space="preserve">Macroeconomic slowdown in the US and Europe leading to IT budget freezes.</w:t>
      </w:r>
    </w:p>
    <w:p>
      <w:pPr>
        <w:pStyle w:val="ListParagraph"/>
        <w:numPr>
          <w:ilvl w:val="0"/>
          <w:numId w:val="2"/>
        </w:numPr>
        <w:spacing w:before="40" w:after="40"/>
      </w:pPr>
      <w:r>
        <w:rPr>
          <w:rFonts w:ascii="Arial" w:cs="Arial" w:eastAsia="Arial" w:hAnsi="Arial"/>
          <w:sz w:val="22"/>
          <w:szCs w:val="22"/>
        </w:rPr>
        <w:t xml:space="preserve">Immigration policy changes in the US (H-1B visa) increasing onshore delivery costs.</w:t>
      </w:r>
    </w:p>
    <w:p>
      <w:pPr>
        <w:pStyle w:val="ListParagraph"/>
        <w:numPr>
          <w:ilvl w:val="0"/>
          <w:numId w:val="2"/>
        </w:numPr>
        <w:spacing w:before="40" w:after="40"/>
      </w:pPr>
      <w:r>
        <w:rPr>
          <w:rFonts w:ascii="Arial" w:cs="Arial" w:eastAsia="Arial" w:hAnsi="Arial"/>
          <w:sz w:val="22"/>
          <w:szCs w:val="22"/>
        </w:rPr>
        <w:t xml:space="preserve">AI-driven automation reducing headcount requirements — potential revenue cannibalisation.</w:t>
      </w:r>
    </w:p>
    <w:p>
      <w:pPr>
        <w:pStyle w:val="ListParagraph"/>
        <w:numPr>
          <w:ilvl w:val="0"/>
          <w:numId w:val="2"/>
        </w:numPr>
        <w:spacing w:before="40" w:after="40"/>
      </w:pPr>
      <w:r>
        <w:rPr>
          <w:rFonts w:ascii="Arial" w:cs="Arial" w:eastAsia="Arial" w:hAnsi="Arial"/>
          <w:sz w:val="22"/>
          <w:szCs w:val="22"/>
        </w:rPr>
        <w:t xml:space="preserve">Currency risk: USD/INR appreciation impacts USD-denominated revenues.</w:t>
      </w:r>
    </w:p>
    <w:p>
      <w:pPr>
        <w:pStyle w:val="ListParagraph"/>
        <w:numPr>
          <w:ilvl w:val="0"/>
          <w:numId w:val="2"/>
        </w:numPr>
        <w:spacing w:before="40" w:after="40"/>
      </w:pPr>
      <w:r>
        <w:rPr>
          <w:rFonts w:ascii="Arial" w:cs="Arial" w:eastAsia="Arial" w:hAnsi="Arial"/>
          <w:sz w:val="22"/>
          <w:szCs w:val="22"/>
        </w:rPr>
        <w:t xml:space="preserve">Competition from global majors — Accenture, Capgemini intensifying on deal pricing.</w:t>
      </w:r>
    </w:p>
    <w:p>
      <w:r>
        <w:br w:type="page"/>
      </w:r>
    </w:p>
    <w:p>
      <w:pPr>
        <w:pStyle w:val="Heading1"/>
        <w:spacing w:before="360" w:after="120"/>
      </w:pPr>
      <w:r>
        <w:rPr>
          <w:rFonts w:ascii="Arial" w:cs="Arial" w:eastAsia="Arial" w:hAnsi="Arial"/>
          <w:b/>
          <w:bCs/>
          <w:color w:val="1B3A6B"/>
          <w:sz w:val="36"/>
          <w:szCs w:val="36"/>
        </w:rPr>
        <w:t xml:space="preserve">4. Financial Analysis</w:t>
      </w:r>
    </w:p>
    <w:p>
      <w:pPr>
        <w:pBdr>
          <w:bottom w:val="single" w:color="2E5FA3" w:sz="6"/>
        </w:pBdr>
        <w:spacing w:before="80" w:after="80"/>
      </w:pPr>
      <w:r>
        <w:t xml:space="preserve"/>
      </w:r>
    </w:p>
    <w:p>
      <w:pPr>
        <w:spacing w:before="60" w:after="60"/>
        <w:jc w:val="both"/>
      </w:pPr>
      <w:r>
        <w:rPr>
          <w:rFonts w:ascii="Arial" w:cs="Arial" w:eastAsia="Arial" w:hAnsi="Arial"/>
          <w:color w:val="000000"/>
          <w:sz w:val="22"/>
          <w:szCs w:val="22"/>
        </w:rPr>
        <w:t xml:space="preserve">Financial statements are based on standalone India GAAP / Ind AS audited accounts certified by Deloitte Haskins &amp; Sells LLP. All figures in ₹ Crore unless stated.</w:t>
      </w:r>
    </w:p>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4.1 Profit &amp; Loss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20"/>
        <w:gridCol w:w="1620"/>
        <w:gridCol w:w="1560"/>
        <w:gridCol w:w="1560"/>
      </w:tblGrid>
      <w:tr>
        <w:tc>
          <w:tcPr>
            <w:tcW w:type="dxa" w:w="30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P&amp;L (₹ Crore) — Standalone</w:t>
            </w:r>
          </w:p>
        </w:tc>
        <w:tc>
          <w:tcPr>
            <w:tcW w:type="dxa" w:w="16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FY2022 (Audited)</w:t>
            </w:r>
          </w:p>
        </w:tc>
        <w:tc>
          <w:tcPr>
            <w:tcW w:type="dxa" w:w="16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FY2023 (Audited)</w:t>
            </w:r>
          </w:p>
        </w:tc>
        <w:tc>
          <w:tcPr>
            <w:tcW w:type="dxa" w:w="15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FY2024 (Audited)</w:t>
            </w:r>
          </w:p>
        </w:tc>
        <w:tc>
          <w:tcPr>
            <w:tcW w:type="dxa" w:w="15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FY2025E (Projected)</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Net Revenue (from operations)</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71,943</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80,619</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87,246</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95,200</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Revenue growth YoY (%)</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16.6%</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12.1%</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8.2%</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9.1%</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Cost of revenues</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47,390</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53,412</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57,892</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62,800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Gross profit</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24,553</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27,207</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29,354</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32,400</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Gross margin (%)</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34.1%</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33.7%</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33.6%</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34.0%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SG&amp;A expenses</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5,492</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6,120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6,604</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7,100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EBIT</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19,061</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21,087</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22,750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25,300</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EBIT margin (%)</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26.5%</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26.2%</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26.1%</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26.6%</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Other income (net)</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2,843</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3,180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3,512</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3,800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Profit before tax (PBT)</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21,904</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24,267</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26,262</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29,100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Tax expense</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5,476</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6,067</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6,565</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7,275</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Profit after tax (PAT)</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16,428</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18,200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19,697</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21,825</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PAT margin (%)</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22.8%</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22.6%</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22.6%</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22.9%</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Earnings per share (EPS – ₹)</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38.5</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44.0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47.4</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52.8</w:t>
            </w:r>
          </w:p>
        </w:tc>
      </w:tr>
    </w:tbl>
    <w:p>
      <w:pPr>
        <w:spacing w:before="0" w:after="0"/>
      </w:pPr>
      <w:r>
        <w:rPr>
          <w:sz w:val="22"/>
          <w:szCs w:val="22"/>
        </w:rPr>
        <w:t xml:space="preserve"/>
      </w:r>
    </w:p>
    <w:p>
      <w:pPr>
        <w:spacing w:before="60" w:after="60"/>
        <w:jc w:val="both"/>
      </w:pPr>
      <w:r>
        <w:rPr>
          <w:rFonts w:ascii="Arial" w:cs="Arial" w:eastAsia="Arial" w:hAnsi="Arial"/>
          <w:color w:val="000000"/>
          <w:sz w:val="22"/>
          <w:szCs w:val="22"/>
        </w:rPr>
        <w:t xml:space="preserve">Revenue growth moderated from 16.6% in FY2022 to 8.2% in FY2024 reflecting global macroeconomic headwinds in the IT sector. Despite this, PAT margins have remained resilient at ~22.6%, driven by operating leverage, cost discipline, and favourable onsite-offshore mix. FY2025E projects a recovery to 9.1% revenue growth, supported by ramp-up of large deal wins (TCV USD 4.2 Bn in FY2024).</w:t>
      </w:r>
    </w:p>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4.2 Balance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20"/>
        <w:gridCol w:w="1620"/>
        <w:gridCol w:w="1560"/>
        <w:gridCol w:w="1560"/>
      </w:tblGrid>
      <w:tr>
        <w:tc>
          <w:tcPr>
            <w:tcW w:type="dxa" w:w="30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Balance Sheet (₹ Crore) — Standalone</w:t>
            </w:r>
          </w:p>
        </w:tc>
        <w:tc>
          <w:tcPr>
            <w:tcW w:type="dxa" w:w="16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FY2022</w:t>
            </w:r>
          </w:p>
        </w:tc>
        <w:tc>
          <w:tcPr>
            <w:tcW w:type="dxa" w:w="16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FY2023</w:t>
            </w:r>
          </w:p>
        </w:tc>
        <w:tc>
          <w:tcPr>
            <w:tcW w:type="dxa" w:w="15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FY2024</w:t>
            </w:r>
          </w:p>
        </w:tc>
        <w:tc>
          <w:tcPr>
            <w:tcW w:type="dxa" w:w="15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FY2025E</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EQUITY &amp; LIABILITIES</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Share capital</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208</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208</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208</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208</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Reserves &amp; surplus</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63,410</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68,540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72,816</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79,200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Total shareholders' equity (net worth)</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63,618</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68,748</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73,024</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79,408</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Long-term borrowings</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NIL</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NIL</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NIL</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NIL</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Short-term borrowings (incl. CC)</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980</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1,450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1,800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Trade payables &amp; other current liabilities</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11,241</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12,390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13,750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14,900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Total liabilities</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75,839</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82,338</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88,224</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96,108</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ASSETS</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Fixed assets (net block)</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14,320</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15,480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16,200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18,400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Right-of-use assets</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5,320</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5,080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4,860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4,600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Investments (long-term)</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21,600</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23,400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25,800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28,000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Cash &amp; cash equivalents</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8,412</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9,780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10,840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12,200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Trade receivables</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16,480</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17,930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19,200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20,800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Unbilled revenues</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5,420</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5,980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6,410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7,000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Other current assets</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4,287</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4,688</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5,114</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5,108</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Total assets</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75,839</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82,338</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88,224</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96,108</w:t>
            </w:r>
          </w:p>
        </w:tc>
      </w:tr>
    </w:tbl>
    <w:p>
      <w:pPr>
        <w:spacing w:before="0" w:after="0"/>
      </w:pPr>
      <w:r>
        <w:rPr>
          <w:sz w:val="22"/>
          <w:szCs w:val="22"/>
        </w:rPr>
        <w:t xml:space="preserve"/>
      </w:r>
    </w:p>
    <w:p>
      <w:pPr>
        <w:spacing w:before="60" w:after="60"/>
        <w:jc w:val="both"/>
      </w:pPr>
      <w:r>
        <w:rPr>
          <w:rFonts w:ascii="Arial" w:cs="Arial" w:eastAsia="Arial" w:hAnsi="Arial"/>
          <w:color w:val="000000"/>
          <w:sz w:val="22"/>
          <w:szCs w:val="22"/>
        </w:rPr>
        <w:t xml:space="preserve">Infosys operates with virtually zero financial debt (standalone). Short-term borrowings represent working capital credit lines (including SBI CC). The company's net cash and investments position of ₹ 37,190 Crore as of March 2024 far exceeds the proposed credit exposure of ₹ 2,500 Crore.</w:t>
      </w:r>
    </w:p>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4.3 Cash Flow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86"/>
        <w:gridCol w:w="1787"/>
        <w:gridCol w:w="1787"/>
      </w:tblGrid>
      <w:tr>
        <w:tc>
          <w:tcPr>
            <w:tcW w:type="dxa" w:w="40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Cash Flow Statement (₹ Crore) — Standalone</w:t>
            </w:r>
          </w:p>
        </w:tc>
        <w:tc>
          <w:tcPr>
            <w:tcW w:type="dxa" w:w="1786"/>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FY2022</w:t>
            </w:r>
          </w:p>
        </w:tc>
        <w:tc>
          <w:tcPr>
            <w:tcW w:type="dxa" w:w="1787"/>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FY2023</w:t>
            </w:r>
          </w:p>
        </w:tc>
        <w:tc>
          <w:tcPr>
            <w:tcW w:type="dxa" w:w="1787"/>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FY2024</w:t>
            </w:r>
          </w:p>
        </w:tc>
      </w:tr>
      <w:tr>
        <w:tc>
          <w:tcPr>
            <w:tcW w:type="dxa" w:w="4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Cash flow from operations (CFO)</w:t>
            </w:r>
          </w:p>
        </w:tc>
        <w:tc>
          <w:tcPr>
            <w:tcW w:type="dxa" w:w="1786"/>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17,900</w:t>
            </w:r>
          </w:p>
        </w:tc>
        <w:tc>
          <w:tcPr>
            <w:tcW w:type="dxa" w:w="1787"/>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20,100</w:t>
            </w:r>
          </w:p>
        </w:tc>
        <w:tc>
          <w:tcPr>
            <w:tcW w:type="dxa" w:w="1787"/>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22,800</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Cash flow from investing (CFI)</w:t>
            </w:r>
          </w:p>
        </w:tc>
        <w:tc>
          <w:tcPr>
            <w:tcW w:type="dxa" w:w="178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(14,200)</w:t>
            </w:r>
          </w:p>
        </w:tc>
        <w:tc>
          <w:tcPr>
            <w:tcW w:type="dxa" w:w="1787"/>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(12,800)</w:t>
            </w:r>
          </w:p>
        </w:tc>
        <w:tc>
          <w:tcPr>
            <w:tcW w:type="dxa" w:w="1787"/>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(11,900)</w:t>
            </w:r>
          </w:p>
        </w:tc>
      </w:tr>
      <w:tr>
        <w:tc>
          <w:tcPr>
            <w:tcW w:type="dxa" w:w="4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Cash flow from financing (CFF)</w:t>
            </w:r>
          </w:p>
        </w:tc>
        <w:tc>
          <w:tcPr>
            <w:tcW w:type="dxa" w:w="1786"/>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(4,400)</w:t>
            </w:r>
          </w:p>
        </w:tc>
        <w:tc>
          <w:tcPr>
            <w:tcW w:type="dxa" w:w="1787"/>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(8,100)</w:t>
            </w:r>
          </w:p>
        </w:tc>
        <w:tc>
          <w:tcPr>
            <w:tcW w:type="dxa" w:w="1787"/>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(10,240)</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Net change in cash</w:t>
            </w:r>
          </w:p>
        </w:tc>
        <w:tc>
          <w:tcPr>
            <w:tcW w:type="dxa" w:w="178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(700)</w:t>
            </w:r>
          </w:p>
        </w:tc>
        <w:tc>
          <w:tcPr>
            <w:tcW w:type="dxa" w:w="1787"/>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(800)</w:t>
            </w:r>
          </w:p>
        </w:tc>
        <w:tc>
          <w:tcPr>
            <w:tcW w:type="dxa" w:w="1787"/>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660</w:t>
            </w:r>
          </w:p>
        </w:tc>
      </w:tr>
      <w:tr>
        <w:tc>
          <w:tcPr>
            <w:tcW w:type="dxa" w:w="4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Closing cash &amp; equivalents</w:t>
            </w:r>
          </w:p>
        </w:tc>
        <w:tc>
          <w:tcPr>
            <w:tcW w:type="dxa" w:w="1786"/>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8,412</w:t>
            </w:r>
          </w:p>
        </w:tc>
        <w:tc>
          <w:tcPr>
            <w:tcW w:type="dxa" w:w="1787"/>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9,780</w:t>
            </w:r>
          </w:p>
        </w:tc>
        <w:tc>
          <w:tcPr>
            <w:tcW w:type="dxa" w:w="1787"/>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10,840</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Capex (incl. ROU additions)</w:t>
            </w:r>
          </w:p>
        </w:tc>
        <w:tc>
          <w:tcPr>
            <w:tcW w:type="dxa" w:w="1786"/>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3,800</w:t>
            </w:r>
          </w:p>
        </w:tc>
        <w:tc>
          <w:tcPr>
            <w:tcW w:type="dxa" w:w="1787"/>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3,200</w:t>
            </w:r>
          </w:p>
        </w:tc>
        <w:tc>
          <w:tcPr>
            <w:tcW w:type="dxa" w:w="1787"/>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3,400</w:t>
            </w:r>
          </w:p>
        </w:tc>
      </w:tr>
      <w:tr>
        <w:tc>
          <w:tcPr>
            <w:tcW w:type="dxa" w:w="4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Free cash flow (CFO minus Capex)</w:t>
            </w:r>
          </w:p>
        </w:tc>
        <w:tc>
          <w:tcPr>
            <w:tcW w:type="dxa" w:w="1786"/>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14,100</w:t>
            </w:r>
          </w:p>
        </w:tc>
        <w:tc>
          <w:tcPr>
            <w:tcW w:type="dxa" w:w="1787"/>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16,900</w:t>
            </w:r>
          </w:p>
        </w:tc>
        <w:tc>
          <w:tcPr>
            <w:tcW w:type="dxa" w:w="1787"/>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19,400</w:t>
            </w:r>
          </w:p>
        </w:tc>
      </w:tr>
    </w:tbl>
    <w:p>
      <w:pPr>
        <w:spacing w:before="0" w:after="0"/>
      </w:pPr>
      <w:r>
        <w:rPr>
          <w:sz w:val="22"/>
          <w:szCs w:val="22"/>
        </w:rPr>
        <w:t xml:space="preserve"/>
      </w:r>
    </w:p>
    <w:p>
      <w:pPr>
        <w:spacing w:before="60" w:after="60"/>
        <w:jc w:val="both"/>
      </w:pPr>
      <w:r>
        <w:rPr>
          <w:rFonts w:ascii="Arial" w:cs="Arial" w:eastAsia="Arial" w:hAnsi="Arial"/>
          <w:color w:val="000000"/>
          <w:sz w:val="22"/>
          <w:szCs w:val="22"/>
        </w:rPr>
        <w:t xml:space="preserve">Cash flow from operations has grown consistently, reflecting strong revenue realisation and working capital discipline. Free cash flow conversion (FCF as % of PAT) is approximately 98%, one of the highest in the sector. Capital allocation is balanced between investments, buybacks, and dividends — with a total capital return of over ₹ 10,000 Crore per annum to shareholders.</w:t>
      </w:r>
    </w:p>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4.4 Key Financial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620"/>
        <w:gridCol w:w="1620"/>
      </w:tblGrid>
      <w:tr>
        <w:tc>
          <w:tcPr>
            <w:tcW w:type="dxa" w:w="30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Financial Ratios</w:t>
            </w:r>
          </w:p>
        </w:tc>
        <w:tc>
          <w:tcPr>
            <w:tcW w:type="dxa" w:w="15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FY2022</w:t>
            </w:r>
          </w:p>
        </w:tc>
        <w:tc>
          <w:tcPr>
            <w:tcW w:type="dxa" w:w="15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FY2023</w:t>
            </w:r>
          </w:p>
        </w:tc>
        <w:tc>
          <w:tcPr>
            <w:tcW w:type="dxa" w:w="16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FY2024</w:t>
            </w:r>
          </w:p>
        </w:tc>
        <w:tc>
          <w:tcPr>
            <w:tcW w:type="dxa" w:w="162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Benchmark</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Debt-equity ratio (times)</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0.02</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0.02</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0.02</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&lt; 2.0x ✓</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Current ratio (times)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2.41</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2.38</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2.45</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&gt; 1.33x ✓</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Quick ratio (times)</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2.18</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2.14</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2.21</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&gt; 1.00x ✓</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Interest coverage ratio (times)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92.4x</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104.6x</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115.2x</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&gt; 3.0x ✓</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Debtors turnover (days)</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84</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81</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80</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&lt; 120 days ✓</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Return on equity (RoE) %</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25.8%</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26.5%</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27.0%</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&gt; 15% ✓</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Return on capital employed (RoCE) %</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35.2%</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36.4%</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37.1%</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&gt; 20% ✓</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Gross NPA (borrower level)</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NIL</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NIL</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NIL</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NIL ✓</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Net cash position (₹ Crore)</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29,032</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33,160</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37,190</w:t>
            </w:r>
          </w:p>
        </w:tc>
        <w:tc>
          <w:tcPr>
            <w:tcW w:type="dxa" w:w="162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Positive ✓</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Free cash flow (₹ Crore)</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14,280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16,500</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18,300</w:t>
            </w:r>
          </w:p>
        </w:tc>
        <w:tc>
          <w:tcPr>
            <w:tcW w:type="dxa" w:w="16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Positive ✓</w:t>
            </w:r>
          </w:p>
        </w:tc>
      </w:tr>
    </w:tbl>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All ratios are well within SBI's internal benchmark thresholds for the SBI-1 rating band. Interest coverage of 115x reflects the negligible debt position. Debtors' cycle of 80 days is within sector norms for large-scale global IT delivery contracts.</w:t>
      </w:r>
    </w:p>
    <w:p>
      <w:r>
        <w:br w:type="page"/>
      </w:r>
    </w:p>
    <w:p>
      <w:pPr>
        <w:pStyle w:val="Heading1"/>
        <w:spacing w:before="360" w:after="120"/>
      </w:pPr>
      <w:r>
        <w:rPr>
          <w:rFonts w:ascii="Arial" w:cs="Arial" w:eastAsia="Arial" w:hAnsi="Arial"/>
          <w:b/>
          <w:bCs/>
          <w:color w:val="1B3A6B"/>
          <w:sz w:val="36"/>
          <w:szCs w:val="36"/>
        </w:rPr>
        <w:t xml:space="preserve">5. Credit Facility Details</w:t>
      </w:r>
    </w:p>
    <w:p>
      <w:pPr>
        <w:pBdr>
          <w:bottom w:val="single" w:color="2E5FA3" w:sz="6"/>
        </w:pBdr>
        <w:spacing w:before="80" w:after="80"/>
      </w:pPr>
      <w:r>
        <w:t xml:space="preserve"/>
      </w:r>
    </w:p>
    <w:p>
      <w:pPr>
        <w:pStyle w:val="Heading2"/>
        <w:spacing w:before="240" w:after="80"/>
      </w:pPr>
      <w:r>
        <w:rPr>
          <w:rFonts w:ascii="Arial" w:cs="Arial" w:eastAsia="Arial" w:hAnsi="Arial"/>
          <w:b/>
          <w:bCs/>
          <w:color w:val="2E5FA3"/>
          <w:sz w:val="28"/>
          <w:szCs w:val="28"/>
        </w:rPr>
        <w:t xml:space="preserve">5.1 Facility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60"/>
        <w:gridCol w:w="1560"/>
        <w:gridCol w:w="1560"/>
        <w:gridCol w:w="1380"/>
      </w:tblGrid>
      <w:tr>
        <w:tc>
          <w:tcPr>
            <w:tcW w:type="dxa" w:w="18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Facility type</w:t>
            </w:r>
          </w:p>
        </w:tc>
        <w:tc>
          <w:tcPr>
            <w:tcW w:type="dxa" w:w="15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Existing limit (₹ Cr)</w:t>
            </w:r>
          </w:p>
        </w:tc>
        <w:tc>
          <w:tcPr>
            <w:tcW w:type="dxa" w:w="15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Proposed limit (₹ Cr)</w:t>
            </w:r>
          </w:p>
        </w:tc>
        <w:tc>
          <w:tcPr>
            <w:tcW w:type="dxa" w:w="15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Enhancement (₹ Cr)</w:t>
            </w:r>
          </w:p>
        </w:tc>
        <w:tc>
          <w:tcPr>
            <w:tcW w:type="dxa" w:w="15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Tenor</w:t>
            </w:r>
          </w:p>
        </w:tc>
        <w:tc>
          <w:tcPr>
            <w:tcW w:type="dxa" w:w="13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Cash Credit (CC)</w:t>
            </w:r>
          </w:p>
        </w:tc>
        <w:tc>
          <w:tcPr>
            <w:tcW w:type="dxa" w:w="15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600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800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+200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 months</w:t>
            </w:r>
          </w:p>
        </w:tc>
        <w:tc>
          <w:tcPr>
            <w:tcW w:type="dxa" w:w="13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Working capital</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Working Capital Demand Loan (WCDL)</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600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+200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Up to 180 days</w:t>
            </w:r>
          </w:p>
        </w:tc>
        <w:tc>
          <w:tcPr>
            <w:tcW w:type="dxa" w:w="13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Short-term liquidity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Term Loan – Infrastructure</w:t>
            </w:r>
          </w:p>
        </w:tc>
        <w:tc>
          <w:tcPr>
            <w:tcW w:type="dxa" w:w="15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400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+200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 years</w:t>
            </w:r>
          </w:p>
        </w:tc>
        <w:tc>
          <w:tcPr>
            <w:tcW w:type="dxa" w:w="13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Campus expansion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Bank Guarantee (BG)</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500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+100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Up to 3 years</w:t>
            </w:r>
          </w:p>
        </w:tc>
        <w:tc>
          <w:tcPr>
            <w:tcW w:type="dxa" w:w="13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Client SLA / performance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Letter of Credit (LC)</w:t>
            </w:r>
          </w:p>
        </w:tc>
        <w:tc>
          <w:tcPr>
            <w:tcW w:type="dxa" w:w="15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200</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NIL</w:t>
            </w:r>
          </w:p>
        </w:tc>
        <w:tc>
          <w:tcPr>
            <w:tcW w:type="dxa" w:w="15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Up to 360 days</w:t>
            </w:r>
          </w:p>
        </w:tc>
        <w:tc>
          <w:tcPr>
            <w:tcW w:type="dxa" w:w="13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Import of hardware</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Total</w:t>
            </w:r>
          </w:p>
        </w:tc>
        <w:tc>
          <w:tcPr>
            <w:tcW w:type="dxa" w:w="15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1,800</w:t>
            </w:r>
          </w:p>
        </w:tc>
        <w:tc>
          <w:tcPr>
            <w:tcW w:type="dxa" w:w="15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2,500</w:t>
            </w:r>
          </w:p>
        </w:tc>
        <w:tc>
          <w:tcPr>
            <w:tcW w:type="dxa" w:w="15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+700</w:t>
            </w:r>
          </w:p>
        </w:tc>
        <w:tc>
          <w:tcPr>
            <w:tcW w:type="dxa" w:w="156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138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bl>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5.2 Purpose &amp; End-Use</w:t>
      </w:r>
    </w:p>
    <w:p>
      <w:pPr>
        <w:spacing w:before="60" w:after="60"/>
      </w:pPr>
      <w:r>
        <w:rPr>
          <w:rFonts w:ascii="Arial" w:cs="Arial" w:eastAsia="Arial" w:hAnsi="Arial"/>
          <w:b/>
          <w:bCs/>
          <w:color w:val="000000"/>
          <w:sz w:val="22"/>
          <w:szCs w:val="22"/>
        </w:rPr>
        <w:t xml:space="preserve">Cash Credit / WCDL:</w:t>
      </w:r>
    </w:p>
    <w:p>
      <w:pPr>
        <w:spacing w:before="60" w:after="60"/>
        <w:jc w:val="both"/>
      </w:pPr>
      <w:r>
        <w:rPr>
          <w:rFonts w:ascii="Arial" w:cs="Arial" w:eastAsia="Arial" w:hAnsi="Arial"/>
          <w:color w:val="000000"/>
          <w:sz w:val="22"/>
          <w:szCs w:val="22"/>
        </w:rPr>
        <w:t xml:space="preserve">To fund day-to-day working capital requirements including salaries and benefits for approximately 3,17,240 employees, vendor payments for hardware &amp; software, travel &amp; accommodation for project deployments, and other operational expenses. The CC/WCDL will be the primary short-term liquidity instrument.</w:t>
      </w:r>
    </w:p>
    <w:p>
      <w:pPr>
        <w:spacing w:before="0" w:after="0"/>
      </w:pPr>
      <w:r>
        <w:rPr>
          <w:sz w:val="22"/>
          <w:szCs w:val="22"/>
        </w:rPr>
        <w:t xml:space="preserve"/>
      </w:r>
    </w:p>
    <w:p>
      <w:pPr>
        <w:spacing w:before="60" w:after="60"/>
      </w:pPr>
      <w:r>
        <w:rPr>
          <w:rFonts w:ascii="Arial" w:cs="Arial" w:eastAsia="Arial" w:hAnsi="Arial"/>
          <w:b/>
          <w:bCs/>
          <w:color w:val="000000"/>
          <w:sz w:val="22"/>
          <w:szCs w:val="22"/>
        </w:rPr>
        <w:t xml:space="preserve">Term Loan — Electronic City Campus Expansion:</w:t>
      </w:r>
    </w:p>
    <w:p>
      <w:pPr>
        <w:spacing w:before="60" w:after="60"/>
        <w:jc w:val="both"/>
      </w:pPr>
      <w:r>
        <w:rPr>
          <w:rFonts w:ascii="Arial" w:cs="Arial" w:eastAsia="Arial" w:hAnsi="Arial"/>
          <w:color w:val="000000"/>
          <w:sz w:val="22"/>
          <w:szCs w:val="22"/>
        </w:rPr>
        <w:t xml:space="preserve">₹ 400 Crore term loan to partially fund the construction of Tower-7 at Infosys Electronic City campus, Bengaluru. Total project cost: ₹ 950 Crore. Balance to be funded from internal accruals (₹ 550 Crore). The facility is earmarked exclusively for construction, fitout, and infrastructure; no diversion of funds permitted.</w:t>
      </w:r>
    </w:p>
    <w:p>
      <w:pPr>
        <w:spacing w:before="0" w:after="0"/>
      </w:pPr>
      <w:r>
        <w:rPr>
          <w:sz w:val="22"/>
          <w:szCs w:val="22"/>
        </w:rPr>
        <w:t xml:space="preserve"/>
      </w:r>
    </w:p>
    <w:p>
      <w:pPr>
        <w:spacing w:before="60" w:after="60"/>
      </w:pPr>
      <w:r>
        <w:rPr>
          <w:rFonts w:ascii="Arial" w:cs="Arial" w:eastAsia="Arial" w:hAnsi="Arial"/>
          <w:b/>
          <w:bCs/>
          <w:color w:val="000000"/>
          <w:sz w:val="22"/>
          <w:szCs w:val="22"/>
        </w:rPr>
        <w:t xml:space="preserve">Bank Guarantees:</w:t>
      </w:r>
    </w:p>
    <w:p>
      <w:pPr>
        <w:spacing w:before="60" w:after="60"/>
        <w:jc w:val="both"/>
      </w:pPr>
      <w:r>
        <w:rPr>
          <w:rFonts w:ascii="Arial" w:cs="Arial" w:eastAsia="Arial" w:hAnsi="Arial"/>
          <w:color w:val="000000"/>
          <w:sz w:val="22"/>
          <w:szCs w:val="22"/>
        </w:rPr>
        <w:t xml:space="preserve">Performance and financial BGs issued to domestic and international clients as part of master services agreements (MSAs) and government contracts. Specific guarantees include: (a) performance BG for BSNL IT modernisation project (₹ 120 Cr), (b) advance payment guarantee for a European telecom client (EUR 18 Mn equivalent), and (c) bid bonds for public sector tenders.</w:t>
      </w:r>
    </w:p>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5.3 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Pricing parameter</w:t>
            </w:r>
          </w:p>
        </w:tc>
        <w:tc>
          <w:tcPr>
            <w:tcW w:type="dxa" w:w="32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c>
          <w:tcPr>
            <w:tcW w:type="dxa" w:w="32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Remarks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Benchmark rate</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MCLR (1-year) — 8.65% (March 2025)</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As per SBI published MCLR schedule</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Spread over MCLR</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0.10%</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Reflective of SBI-1 credit rating</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Effective ROI (CC/WCDL)</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8.75% p.a.</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Subject to reset on each MCLR revision</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Term Loan ROI</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8.65% p.a. (MCLR flat)</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Concessional rate — strategic relationship</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Bank Guarantee commission</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0.25% p.a. on BG value</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Performance BGs; financial BGs at 0.40%</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LC commission</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0.20% per quarter on LC value</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Sight / usance LCs</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Processing fee</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1.00 Crore (one-time)</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Non-refundable; payable at sanction</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Prepayment penalty (TL)</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NIL</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SBI policy for AAA-rated borrowers</w:t>
            </w:r>
          </w:p>
        </w:tc>
      </w:tr>
    </w:tbl>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5.4 Drawing Power Computation (Cash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Component</w:t>
            </w:r>
          </w:p>
        </w:tc>
        <w:tc>
          <w:tcPr>
            <w:tcW w:type="dxa" w:w="31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 (₹ Crore)</w:t>
            </w:r>
          </w:p>
        </w:tc>
        <w:tc>
          <w:tcPr>
            <w:tcW w:type="dxa" w:w="31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Basis</w:t>
            </w:r>
          </w:p>
        </w:tc>
      </w:tr>
      <w:tr>
        <w:tc>
          <w:tcPr>
            <w:tcW w:type="dxa" w:w="3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Sundry debtors (&lt; 90 days)</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19,200</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75% of book value as per latest provisional balance sheet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Unbilled revenues (&lt; 60 days)</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4,500</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60% of value (eligible portion only)</w:t>
            </w:r>
          </w:p>
        </w:tc>
      </w:tr>
      <w:tr>
        <w:tc>
          <w:tcPr>
            <w:tcW w:type="dxa" w:w="3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Total eligible current assets (A)</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23,700</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Sum of eligible components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 liabilities (B)</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13,750</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As per audited balance sheet March 2024</w:t>
            </w:r>
          </w:p>
        </w:tc>
      </w:tr>
      <w:tr>
        <w:tc>
          <w:tcPr>
            <w:tcW w:type="dxa" w:w="3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Net working capital (A–B)</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9,950</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Exceeds CC limit of ₹ 800 Cr comfortably</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Drawing power (CC — 75% of debtors)</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800</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CC sanctioned limit is the binding constraint</w:t>
            </w:r>
          </w:p>
        </w:tc>
      </w:tr>
    </w:tbl>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Drawing power is calculated monthly based on stock and book debt statements submitted by the borrower. The current drawing power significantly exceeds the CC sanctioned limit, providing adequate headroom.</w:t>
      </w:r>
    </w:p>
    <w:p>
      <w:r>
        <w:br w:type="page"/>
      </w:r>
    </w:p>
    <w:p>
      <w:pPr>
        <w:pStyle w:val="Heading1"/>
        <w:spacing w:before="360" w:after="120"/>
      </w:pPr>
      <w:r>
        <w:rPr>
          <w:rFonts w:ascii="Arial" w:cs="Arial" w:eastAsia="Arial" w:hAnsi="Arial"/>
          <w:b/>
          <w:bCs/>
          <w:color w:val="1B3A6B"/>
          <w:sz w:val="36"/>
          <w:szCs w:val="36"/>
        </w:rPr>
        <w:t xml:space="preserve">6. Security &amp; Collateral</w:t>
      </w:r>
    </w:p>
    <w:p>
      <w:pPr>
        <w:pBdr>
          <w:bottom w:val="single" w:color="2E5FA3" w:sz="6"/>
        </w:pBdr>
        <w:spacing w:before="80" w:after="80"/>
      </w:pPr>
      <w:r>
        <w:t xml:space="preserve"/>
      </w:r>
    </w:p>
    <w:p>
      <w:pPr>
        <w:pStyle w:val="Heading2"/>
        <w:spacing w:before="240" w:after="80"/>
      </w:pPr>
      <w:r>
        <w:rPr>
          <w:rFonts w:ascii="Arial" w:cs="Arial" w:eastAsia="Arial" w:hAnsi="Arial"/>
          <w:b/>
          <w:bCs/>
          <w:color w:val="2E5FA3"/>
          <w:sz w:val="28"/>
          <w:szCs w:val="28"/>
        </w:rPr>
        <w:t xml:space="preserve">6.1 Security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300"/>
        <w:gridCol w:w="1780"/>
        <w:gridCol w:w="1780"/>
      </w:tblGrid>
      <w:tr>
        <w:tc>
          <w:tcPr>
            <w:tcW w:type="dxa" w:w="15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Security type</w:t>
            </w:r>
          </w:p>
        </w:tc>
        <w:tc>
          <w:tcPr>
            <w:tcW w:type="dxa" w:w="20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c>
          <w:tcPr>
            <w:tcW w:type="dxa" w:w="23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Asset details</w:t>
            </w:r>
          </w:p>
        </w:tc>
        <w:tc>
          <w:tcPr>
            <w:tcW w:type="dxa" w:w="17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Market value (₹ Cr)</w:t>
            </w:r>
          </w:p>
        </w:tc>
        <w:tc>
          <w:tcPr>
            <w:tcW w:type="dxa" w:w="17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Security cover</w:t>
            </w:r>
          </w:p>
        </w:tc>
      </w:tr>
      <w:tr>
        <w:tc>
          <w:tcPr>
            <w:tcW w:type="dxa" w:w="15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Primary</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Pari-passu first charge on current assets</w:t>
            </w:r>
          </w:p>
        </w:tc>
        <w:tc>
          <w:tcPr>
            <w:tcW w:type="dxa" w:w="23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Debtors, unbilled revenues, advances — hypothecation</w:t>
            </w:r>
          </w:p>
        </w:tc>
        <w:tc>
          <w:tcPr>
            <w:tcW w:type="dxa" w:w="17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23,700</w:t>
            </w:r>
          </w:p>
        </w:tc>
        <w:tc>
          <w:tcPr>
            <w:tcW w:type="dxa" w:w="17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9.48x on CC limit</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Primary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First charge on movable fixed assets</w:t>
            </w:r>
          </w:p>
        </w:tc>
        <w:tc>
          <w:tcPr>
            <w:tcW w:type="dxa" w:w="2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Plant &amp; machinery, computers, furniture — Electronic City campus</w:t>
            </w:r>
          </w:p>
        </w:tc>
        <w:tc>
          <w:tcPr>
            <w:tcW w:type="dxa" w:w="1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2,800</w:t>
            </w:r>
          </w:p>
        </w:tc>
        <w:tc>
          <w:tcPr>
            <w:tcW w:type="dxa" w:w="1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7.0x on TL</w:t>
            </w:r>
          </w:p>
        </w:tc>
      </w:tr>
      <w:tr>
        <w:tc>
          <w:tcPr>
            <w:tcW w:type="dxa" w:w="15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Collateral</w:t>
            </w:r>
          </w:p>
        </w:tc>
        <w:tc>
          <w:tcPr>
            <w:tcW w:type="dxa" w:w="20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Equitable mortgage — immovable property</w:t>
            </w:r>
          </w:p>
        </w:tc>
        <w:tc>
          <w:tcPr>
            <w:tcW w:type="dxa" w:w="23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Infosys BPO Limited campus, Jaipur — 42 acres</w:t>
            </w:r>
          </w:p>
        </w:tc>
        <w:tc>
          <w:tcPr>
            <w:tcW w:type="dxa" w:w="17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1,200</w:t>
            </w:r>
          </w:p>
        </w:tc>
        <w:tc>
          <w:tcPr>
            <w:tcW w:type="dxa" w:w="17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Additional comfort</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Corporate guarantee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Guarantee of Infosys BPM Limited</w:t>
            </w:r>
          </w:p>
        </w:tc>
        <w:tc>
          <w:tcPr>
            <w:tcW w:type="dxa" w:w="2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Subsidiary networth: ₹ 8,400 Cr — unconditional guarantee</w:t>
            </w:r>
          </w:p>
        </w:tc>
        <w:tc>
          <w:tcPr>
            <w:tcW w:type="dxa" w:w="1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8,400</w:t>
            </w:r>
          </w:p>
        </w:tc>
        <w:tc>
          <w:tcPr>
            <w:tcW w:type="dxa" w:w="17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N/A (guarantee)</w:t>
            </w:r>
          </w:p>
        </w:tc>
      </w:tr>
    </w:tbl>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6.2 CERSAI / ROC Compliance &amp; Encumbrance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Compliance check</w:t>
            </w:r>
          </w:p>
        </w:tc>
        <w:tc>
          <w:tcPr>
            <w:tcW w:type="dxa" w:w="31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c>
          <w:tcPr>
            <w:tcW w:type="dxa" w:w="31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Reference / Date</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CERSAI registration — current assets charge</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1A6B1A"/>
                <w:sz w:val="20"/>
                <w:szCs w:val="20"/>
              </w:rPr>
              <w:t xml:space="preserve">Registered</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CERSAI ID: MH-CC-2023-00481 | 28 March 2023</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ROC charge filing — movable fixed assets</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1A6B1A"/>
                <w:sz w:val="20"/>
                <w:szCs w:val="20"/>
              </w:rPr>
              <w:t xml:space="preserve">Registered</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CHG-001 filed with ROC Karnataka | 02 April 2023</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CERSAI — equitable mortgage (Jaipur)</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1A6B1A"/>
                <w:sz w:val="20"/>
                <w:szCs w:val="20"/>
              </w:rPr>
              <w:t xml:space="preserve">Registered</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CERSAI ID: RJ-EM-2023-00209 | 05 April 2023</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Third-party valuation — Jaipur property</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1A6B1A"/>
                <w:sz w:val="20"/>
                <w:szCs w:val="20"/>
              </w:rPr>
              <w:t xml:space="preserve">Completed</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M/s Cushman &amp; Wakefield | Valued ₹ 1,200 Cr | Jan 2025</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Legal search — title clear (Jaipur campus)</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1A6B1A"/>
                <w:sz w:val="20"/>
                <w:szCs w:val="20"/>
              </w:rPr>
              <w:t xml:space="preserve">Clear</w:t>
            </w:r>
          </w:p>
        </w:tc>
        <w:tc>
          <w:tcPr>
            <w:tcW w:type="dxa" w:w="31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M/s Khaitan &amp; Co. | Opinion dated 15 Feb 2025</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Insurance over hypothecated assets</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1A6B1A"/>
                <w:sz w:val="20"/>
                <w:szCs w:val="20"/>
              </w:rPr>
              <w:t xml:space="preserve">In force</w:t>
            </w:r>
          </w:p>
        </w:tc>
        <w:tc>
          <w:tcPr>
            <w:tcW w:type="dxa" w:w="31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Bajaj Allianz — policy valid till March 2026; SBI noted as co-insured</w:t>
            </w:r>
          </w:p>
        </w:tc>
      </w:tr>
    </w:tbl>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All security documentation is in order. No prior encumbrance or competing charge exists on the primary security assets. The Jaipur campus has been independently valued at ₹ 1,200 Crore (March 2025) against which no prior charge has been noted.</w:t>
      </w:r>
    </w:p>
    <w:p>
      <w:r>
        <w:br w:type="page"/>
      </w:r>
    </w:p>
    <w:p>
      <w:pPr>
        <w:pStyle w:val="Heading1"/>
        <w:spacing w:before="360" w:after="120"/>
      </w:pPr>
      <w:r>
        <w:rPr>
          <w:rFonts w:ascii="Arial" w:cs="Arial" w:eastAsia="Arial" w:hAnsi="Arial"/>
          <w:b/>
          <w:bCs/>
          <w:color w:val="1B3A6B"/>
          <w:sz w:val="36"/>
          <w:szCs w:val="36"/>
        </w:rPr>
        <w:t xml:space="preserve">7. Risk Assessment &amp; Internal Credit Rating</w:t>
      </w:r>
    </w:p>
    <w:p>
      <w:pPr>
        <w:pBdr>
          <w:bottom w:val="single" w:color="2E5FA3" w:sz="6"/>
        </w:pBdr>
        <w:spacing w:before="80" w:after="80"/>
      </w:pPr>
      <w:r>
        <w:t xml:space="preserve"/>
      </w:r>
    </w:p>
    <w:p>
      <w:pPr>
        <w:pStyle w:val="Heading2"/>
        <w:spacing w:before="240" w:after="80"/>
      </w:pPr>
      <w:r>
        <w:rPr>
          <w:rFonts w:ascii="Arial" w:cs="Arial" w:eastAsia="Arial" w:hAnsi="Arial"/>
          <w:b/>
          <w:bCs/>
          <w:color w:val="2E5FA3"/>
          <w:sz w:val="28"/>
          <w:szCs w:val="28"/>
        </w:rPr>
        <w:t xml:space="preserve">7.1 Internal Credit Rating — SBI Large Corporate Model (LCM v3.0)</w:t>
      </w:r>
    </w:p>
    <w:p>
      <w:pPr>
        <w:spacing w:before="60" w:after="60"/>
        <w:jc w:val="both"/>
      </w:pPr>
      <w:r>
        <w:rPr>
          <w:rFonts w:ascii="Arial" w:cs="Arial" w:eastAsia="Arial" w:hAnsi="Arial"/>
          <w:color w:val="000000"/>
          <w:sz w:val="22"/>
          <w:szCs w:val="22"/>
        </w:rPr>
        <w:t xml:space="preserve">Infosys has been rated SBI-1 under the SBI Large Corporate Rating Model (LCM v3.0), which is the highest rating on SBI's internal scale and is equivalent to AAA on the external credit rating scale. This rating is reviewed annually and is valid from 10 February 2025 to 09 February 2026.</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Rating parameter</w:t>
            </w:r>
          </w:p>
        </w:tc>
        <w:tc>
          <w:tcPr>
            <w:tcW w:type="dxa" w:w="164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Weight</w:t>
            </w:r>
          </w:p>
        </w:tc>
        <w:tc>
          <w:tcPr>
            <w:tcW w:type="dxa" w:w="164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Score (max)</w:t>
            </w:r>
          </w:p>
        </w:tc>
        <w:tc>
          <w:tcPr>
            <w:tcW w:type="dxa" w:w="164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Score obtained</w:t>
            </w:r>
          </w:p>
        </w:tc>
        <w:tc>
          <w:tcPr>
            <w:tcW w:type="dxa" w:w="164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Weighted score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Financial performance</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24</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24.0</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Management quality</w:t>
            </w:r>
          </w:p>
        </w:tc>
        <w:tc>
          <w:tcPr>
            <w:tcW w:type="dxa" w:w="16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15%</w:t>
            </w:r>
          </w:p>
        </w:tc>
        <w:tc>
          <w:tcPr>
            <w:tcW w:type="dxa" w:w="16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15</w:t>
            </w:r>
          </w:p>
        </w:tc>
        <w:tc>
          <w:tcPr>
            <w:tcW w:type="dxa" w:w="16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14</w:t>
            </w:r>
          </w:p>
        </w:tc>
        <w:tc>
          <w:tcPr>
            <w:tcW w:type="dxa" w:w="16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14.0</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Industry &amp; business risk</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15%</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15</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12</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12.0</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Account conduct &amp; repayment history</w:t>
            </w:r>
          </w:p>
        </w:tc>
        <w:tc>
          <w:tcPr>
            <w:tcW w:type="dxa" w:w="16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w:t>
            </w:r>
          </w:p>
        </w:tc>
        <w:tc>
          <w:tcPr>
            <w:tcW w:type="dxa" w:w="16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w:t>
            </w:r>
          </w:p>
        </w:tc>
        <w:tc>
          <w:tcPr>
            <w:tcW w:type="dxa" w:w="16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20</w:t>
            </w:r>
          </w:p>
        </w:tc>
        <w:tc>
          <w:tcPr>
            <w:tcW w:type="dxa" w:w="16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20.0</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External rating &amp; market standing</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10</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10.0</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Compliance &amp; governance</w:t>
            </w:r>
          </w:p>
        </w:tc>
        <w:tc>
          <w:tcPr>
            <w:tcW w:type="dxa" w:w="16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16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16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9</w:t>
            </w:r>
          </w:p>
        </w:tc>
        <w:tc>
          <w:tcPr>
            <w:tcW w:type="dxa" w:w="16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9.0</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Security &amp; collateral</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3</w:t>
            </w:r>
          </w:p>
        </w:tc>
        <w:tc>
          <w:tcPr>
            <w:tcW w:type="dxa" w:w="16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3.0</w:t>
            </w:r>
          </w:p>
        </w:tc>
      </w:tr>
      <w:tr>
        <w:tc>
          <w:tcPr>
            <w:tcW w:type="dxa" w:w="28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TOTAL</w:t>
            </w:r>
          </w:p>
        </w:tc>
        <w:tc>
          <w:tcPr>
            <w:tcW w:type="dxa" w:w="164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100%</w:t>
            </w:r>
          </w:p>
        </w:tc>
        <w:tc>
          <w:tcPr>
            <w:tcW w:type="dxa" w:w="164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100</w:t>
            </w:r>
          </w:p>
        </w:tc>
        <w:tc>
          <w:tcPr>
            <w:tcW w:type="dxa" w:w="164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92</w:t>
            </w:r>
          </w:p>
        </w:tc>
        <w:tc>
          <w:tcPr>
            <w:tcW w:type="dxa" w:w="164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92.0</w:t>
            </w:r>
          </w:p>
        </w:tc>
      </w:tr>
    </w:tbl>
    <w:p>
      <w:pPr>
        <w:spacing w:before="0" w:after="0"/>
      </w:pPr>
      <w:r>
        <w:rPr>
          <w:sz w:val="22"/>
          <w:szCs w:val="22"/>
        </w:rPr>
        <w:t xml:space="preserve"/>
      </w:r>
    </w:p>
    <w:p>
      <w:pPr>
        <w:spacing w:before="60" w:after="60"/>
        <w:jc w:val="both"/>
      </w:pPr>
      <w:r>
        <w:rPr>
          <w:rFonts w:ascii="Arial" w:cs="Arial" w:eastAsia="Arial" w:hAnsi="Arial"/>
          <w:color w:val="000000"/>
          <w:sz w:val="22"/>
          <w:szCs w:val="22"/>
        </w:rPr>
        <w:t xml:space="preserve">Score of 92/100 places Infosys in the 'Exceptional' credit quality band (90–100). The account has maintained SBI-1 rating for 7 consecutive years. No material downgrade risk is foreseen given the company's balance sheet strength.</w:t>
      </w:r>
    </w:p>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7.2 External Credit Ratings</w:t>
      </w:r>
    </w:p>
    <w:p>
      <w:pPr>
        <w:pStyle w:val="ListParagraph"/>
        <w:numPr>
          <w:ilvl w:val="0"/>
          <w:numId w:val="2"/>
        </w:numPr>
        <w:spacing w:before="40" w:after="40"/>
      </w:pPr>
      <w:r>
        <w:rPr>
          <w:rFonts w:ascii="Arial" w:cs="Arial" w:eastAsia="Arial" w:hAnsi="Arial"/>
          <w:sz w:val="22"/>
          <w:szCs w:val="22"/>
        </w:rPr>
        <w:t xml:space="preserve">CRISIL: AAA / Stable — Highest rating — lowest credit risk</w:t>
      </w:r>
    </w:p>
    <w:p>
      <w:pPr>
        <w:pStyle w:val="ListParagraph"/>
        <w:numPr>
          <w:ilvl w:val="0"/>
          <w:numId w:val="2"/>
        </w:numPr>
        <w:spacing w:before="40" w:after="40"/>
      </w:pPr>
      <w:r>
        <w:rPr>
          <w:rFonts w:ascii="Arial" w:cs="Arial" w:eastAsia="Arial" w:hAnsi="Arial"/>
          <w:sz w:val="22"/>
          <w:szCs w:val="22"/>
        </w:rPr>
        <w:t xml:space="preserve">ICRA: AAA / Stable — Reaffirmed February 2025</w:t>
      </w:r>
    </w:p>
    <w:p>
      <w:pPr>
        <w:pStyle w:val="ListParagraph"/>
        <w:numPr>
          <w:ilvl w:val="0"/>
          <w:numId w:val="2"/>
        </w:numPr>
        <w:spacing w:before="40" w:after="40"/>
      </w:pPr>
      <w:r>
        <w:rPr>
          <w:rFonts w:ascii="Arial" w:cs="Arial" w:eastAsia="Arial" w:hAnsi="Arial"/>
          <w:sz w:val="22"/>
          <w:szCs w:val="22"/>
        </w:rPr>
        <w:t xml:space="preserve">India Ratings (Fitch): AAA / Stable — Reaffirmed January 2025</w:t>
      </w:r>
    </w:p>
    <w:p>
      <w:pPr>
        <w:pStyle w:val="ListParagraph"/>
        <w:numPr>
          <w:ilvl w:val="0"/>
          <w:numId w:val="2"/>
        </w:numPr>
        <w:spacing w:before="40" w:after="40"/>
      </w:pPr>
      <w:r>
        <w:rPr>
          <w:rFonts w:ascii="Arial" w:cs="Arial" w:eastAsia="Arial" w:hAnsi="Arial"/>
          <w:sz w:val="22"/>
          <w:szCs w:val="22"/>
        </w:rPr>
        <w:t xml:space="preserve">S&amp;P Global (on ADR programme): BBB+ / Stable — Investment grade — consistent with peers</w:t>
      </w:r>
    </w:p>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7.3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800"/>
        <w:gridCol w:w="1800"/>
        <w:gridCol w:w="1800"/>
      </w:tblGrid>
      <w:tr>
        <w:tc>
          <w:tcPr>
            <w:tcW w:type="dxa" w:w="18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Risk factor</w:t>
            </w:r>
          </w:p>
        </w:tc>
        <w:tc>
          <w:tcPr>
            <w:tcW w:type="dxa" w:w="21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c>
          <w:tcPr>
            <w:tcW w:type="dxa" w:w="18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Probability</w:t>
            </w:r>
          </w:p>
        </w:tc>
        <w:tc>
          <w:tcPr>
            <w:tcW w:type="dxa" w:w="18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Impact</w:t>
            </w:r>
          </w:p>
        </w:tc>
        <w:tc>
          <w:tcPr>
            <w:tcW w:type="dxa" w:w="18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Mitigant</w:t>
            </w:r>
          </w:p>
        </w:tc>
      </w:tr>
      <w:tr>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Revenue concentration</w:t>
            </w:r>
          </w:p>
        </w:tc>
        <w:tc>
          <w:tcPr>
            <w:tcW w:type="dxa" w:w="2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 revenue from North America; slowdown risk</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8B6914"/>
                <w:sz w:val="20"/>
                <w:szCs w:val="20"/>
              </w:rPr>
              <w:t xml:space="preserve">Medium</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8B6914"/>
                <w:sz w:val="20"/>
                <w:szCs w:val="20"/>
              </w:rPr>
              <w:t xml:space="preserve">Medium</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Diversification into APAC/India; new deal ramp-up</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Currency risk</w:t>
            </w:r>
          </w:p>
        </w:tc>
        <w:tc>
          <w:tcPr>
            <w:tcW w:type="dxa" w:w="2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Appreciating INR reduces USD revenue realisations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8B6914"/>
                <w:sz w:val="20"/>
                <w:szCs w:val="20"/>
              </w:rPr>
              <w:t xml:space="preserve">Medium</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8B6914"/>
                <w:sz w:val="20"/>
                <w:szCs w:val="20"/>
              </w:rPr>
              <w:t xml:space="preserve">Medium</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Natural hedge via onshore costs; forward contracts</w:t>
            </w:r>
          </w:p>
        </w:tc>
      </w:tr>
      <w:tr>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Attrition risk</w:t>
            </w:r>
          </w:p>
        </w:tc>
        <w:tc>
          <w:tcPr>
            <w:tcW w:type="dxa" w:w="2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Talent attrition increases delivery costs</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Low</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Low-Medium</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Variable pay structures; Employee Stock Option Plans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Credit client risk</w:t>
            </w:r>
          </w:p>
        </w:tc>
        <w:tc>
          <w:tcPr>
            <w:tcW w:type="dxa" w:w="2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Revenue recognition on unbilled basis — collection risk</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Low</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Low</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Investment-grade global clients; DSO &lt; 80 days</w:t>
            </w:r>
          </w:p>
        </w:tc>
      </w:tr>
      <w:tr>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Cyber risk</w:t>
            </w:r>
          </w:p>
        </w:tc>
        <w:tc>
          <w:tcPr>
            <w:tcW w:type="dxa" w:w="2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Data breach at client site — reputational / liability risk</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Low</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C0392B"/>
                <w:sz w:val="20"/>
                <w:szCs w:val="20"/>
              </w:rPr>
              <w:t xml:space="preserve">High</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ISO 27001 certified; cyber insurance USD 100 Mn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Visa/immigration risk</w:t>
            </w:r>
          </w:p>
        </w:tc>
        <w:tc>
          <w:tcPr>
            <w:tcW w:type="dxa" w:w="2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 H-1B restrictions raise onshore cost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8B6914"/>
                <w:sz w:val="20"/>
                <w:szCs w:val="20"/>
              </w:rPr>
              <w:t xml:space="preserve">Medium</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8B6914"/>
                <w:sz w:val="20"/>
                <w:szCs w:val="20"/>
              </w:rPr>
              <w:t xml:space="preserve">Medium</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Local hiring drive in US (&gt;60% local in 2 years)</w:t>
            </w:r>
          </w:p>
        </w:tc>
      </w:tr>
      <w:tr>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AI displacement risk</w:t>
            </w:r>
          </w:p>
        </w:tc>
        <w:tc>
          <w:tcPr>
            <w:tcW w:type="dxa" w:w="21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Gen AI reduces IT services headcount needs</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20"/>
                <w:szCs w:val="20"/>
              </w:rPr>
              <w:t xml:space="preserve">Low</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C0392B"/>
                <w:sz w:val="20"/>
                <w:szCs w:val="20"/>
              </w:rPr>
              <w:t xml:space="preserve">High</w:t>
            </w:r>
          </w:p>
        </w:tc>
        <w:tc>
          <w:tcPr>
            <w:tcW w:type="dxa" w:w="1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Infosys Topaz — AI-first offering repositioning</w:t>
            </w:r>
          </w:p>
        </w:tc>
      </w:tr>
    </w:tbl>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Overall risk profile is assessed as LOW. The combination of balance sheet strength, strong free cash flow generation, diverse revenue base, and consistent account conduct makes this one of SBI's lowest-risk corporate credit exposures.</w:t>
      </w:r>
    </w:p>
    <w:p>
      <w:r>
        <w:br w:type="page"/>
      </w:r>
    </w:p>
    <w:p>
      <w:pPr>
        <w:pStyle w:val="Heading1"/>
        <w:spacing w:before="360" w:after="120"/>
      </w:pPr>
      <w:r>
        <w:rPr>
          <w:rFonts w:ascii="Arial" w:cs="Arial" w:eastAsia="Arial" w:hAnsi="Arial"/>
          <w:b/>
          <w:bCs/>
          <w:color w:val="1B3A6B"/>
          <w:sz w:val="36"/>
          <w:szCs w:val="36"/>
        </w:rPr>
        <w:t xml:space="preserve">8. Compliance &amp; Regulatory Checks</w:t>
      </w:r>
    </w:p>
    <w:p>
      <w:pPr>
        <w:pBdr>
          <w:bottom w:val="single" w:color="2E5FA3" w:sz="6"/>
        </w:pBdr>
        <w:spacing w:before="80" w:after="80"/>
      </w:pPr>
      <w:r>
        <w:t xml:space="preserve"/>
      </w:r>
    </w:p>
    <w:p>
      <w:pPr>
        <w:spacing w:before="60" w:after="60"/>
        <w:jc w:val="both"/>
      </w:pPr>
      <w:r>
        <w:rPr>
          <w:rFonts w:ascii="Arial" w:cs="Arial" w:eastAsia="Arial" w:hAnsi="Arial"/>
          <w:color w:val="000000"/>
          <w:sz w:val="22"/>
          <w:szCs w:val="22"/>
        </w:rPr>
        <w:t xml:space="preserve">All regulatory, statutory, and internal compliance checks have been carried out as part of this credit appraisal. Results are tabulated below. No material compliance deficiencies have been identified that would prevent sanction of the proposed credit facility.</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c>
          <w:tcPr>
            <w:tcW w:type="dxa" w:w="30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Compliance parameter</w:t>
            </w:r>
          </w:p>
        </w:tc>
        <w:tc>
          <w:tcPr>
            <w:tcW w:type="dxa" w:w="28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c>
          <w:tcPr>
            <w:tcW w:type="dxa" w:w="34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Remarks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KYC / AML compliance</w:t>
            </w:r>
          </w:p>
        </w:tc>
        <w:tc>
          <w:tcPr>
            <w:tcW w:type="dxa" w:w="2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COMPLIANT</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KYC freshly verified March 2025. CDD completed. No PEP flag.</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Directors' identification (DIN/PAN)</w:t>
            </w:r>
          </w:p>
        </w:tc>
        <w:tc>
          <w:tcPr>
            <w:tcW w:type="dxa" w:w="2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VERIFIED</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12 Board members' DIN verified with MCA21 portal.</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CIBIL / CRIF — borrower</w:t>
            </w:r>
          </w:p>
        </w:tc>
        <w:tc>
          <w:tcPr>
            <w:tcW w:type="dxa" w:w="2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No adverse report</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Credit score: 900+ (corporate scale). No overdue/NPA record.</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CIBIL — guarantor (Infosys BPM)</w:t>
            </w:r>
          </w:p>
        </w:tc>
        <w:tc>
          <w:tcPr>
            <w:tcW w:type="dxa" w:w="2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No adverse report</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Infosys BPM — clean credit report. No defaults.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Wilful defaulter list (RBI / CIBIL)</w:t>
            </w:r>
          </w:p>
        </w:tc>
        <w:tc>
          <w:tcPr>
            <w:tcW w:type="dxa" w:w="2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8B6914"/>
                <w:sz w:val="20"/>
                <w:szCs w:val="20"/>
              </w:rPr>
              <w:t xml:space="preserve">NOT LISTED</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Checked as on 10 March 2025. Neither borrower nor guarantor listed.</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ECGC Caution List</w:t>
            </w:r>
          </w:p>
        </w:tc>
        <w:tc>
          <w:tcPr>
            <w:tcW w:type="dxa" w:w="2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8B6914"/>
                <w:sz w:val="20"/>
                <w:szCs w:val="20"/>
              </w:rPr>
              <w:t xml:space="preserve">NOT LISTED</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Verified with ECGC database March 2025.</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RBI defaulter list</w:t>
            </w:r>
          </w:p>
        </w:tc>
        <w:tc>
          <w:tcPr>
            <w:tcW w:type="dxa" w:w="2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8B6914"/>
                <w:sz w:val="20"/>
                <w:szCs w:val="20"/>
              </w:rPr>
              <w:t xml:space="preserve">NOT LISTED</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Verified March 2025.</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Large Exposure Framework (LEF)</w:t>
            </w:r>
          </w:p>
        </w:tc>
        <w:tc>
          <w:tcPr>
            <w:tcW w:type="dxa" w:w="2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WITHIN LIMIT</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Single borrower limit: 25% of Tier-I capital. SBI Tier-I: ₹ 5,20,000 Cr. LEF limit: ₹ 1,30,000 Cr. Proposed exposure: ₹ 2,500 Cr — 0.05% of Tier-I. Well within threshold.</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Group exposure (aggregate)</w:t>
            </w:r>
          </w:p>
        </w:tc>
        <w:tc>
          <w:tcPr>
            <w:tcW w:type="dxa" w:w="2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WITHIN LIMIT</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Total Infosys group exposure: ₹ 2,750 Cr vs SBI internal group ceiling of ₹ 5,000 Cr. Utilisation: 55%.</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Sectoral exposure (IT Services)</w:t>
            </w:r>
          </w:p>
        </w:tc>
        <w:tc>
          <w:tcPr>
            <w:tcW w:type="dxa" w:w="2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WITHIN LIMIT</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SBI's IT sector exposure ceiling: ₹ 75,000 Cr. Current IT sector book: ₹ 38,400 Cr (post proposal: ₹ 38,650 Cr). Within limit.</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IRAC compliance</w:t>
            </w:r>
          </w:p>
        </w:tc>
        <w:tc>
          <w:tcPr>
            <w:tcW w:type="dxa" w:w="2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STANDARD</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Account classified Standard since inception. No overdues. Interest serviced on due dates consistently.</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Income Tax — PAN verification</w:t>
            </w:r>
          </w:p>
        </w:tc>
        <w:tc>
          <w:tcPr>
            <w:tcW w:type="dxa" w:w="2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VERIFIED</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PAN AAACI7406E confirmed with TRACES. No tax arrears or litigation as per Form 26AS.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GST compliance</w:t>
            </w:r>
          </w:p>
        </w:tc>
        <w:tc>
          <w:tcPr>
            <w:tcW w:type="dxa" w:w="2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COMPLIANT</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GST returns filed timely (GSTR-1, GSTR-3B). No demand orders. Annual turnover matches banking statements.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FEMA compliance</w:t>
            </w:r>
          </w:p>
        </w:tc>
        <w:tc>
          <w:tcPr>
            <w:tcW w:type="dxa" w:w="2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COMPLIANT</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overseas remittances / investments conform to FEMA 1999. AD bank: HDFC Bank. No FEMA violation reported.</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Companies Act (2013) — filings</w:t>
            </w:r>
          </w:p>
        </w:tc>
        <w:tc>
          <w:tcPr>
            <w:tcW w:type="dxa" w:w="2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COMPLIANT</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annual returns, financial statements filed with ROC Karnataka on time. MCA21 status: Active.</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RBI Circular — prudential norms</w:t>
            </w:r>
          </w:p>
        </w:tc>
        <w:tc>
          <w:tcPr>
            <w:tcW w:type="dxa" w:w="28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1A6B1A"/>
                <w:sz w:val="20"/>
                <w:szCs w:val="20"/>
              </w:rPr>
              <w:t xml:space="preserve">COMPLIANT</w:t>
            </w:r>
          </w:p>
        </w:tc>
        <w:tc>
          <w:tcPr>
            <w:tcW w:type="dxa" w:w="3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Credit extended in compliance with RBI Master Circular on Loans &amp; Advances — Large &amp; Medium Enterprises (updated Oct 2024).</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Environment clearances (TL — campus project)</w:t>
            </w:r>
          </w:p>
        </w:tc>
        <w:tc>
          <w:tcPr>
            <w:tcW w:type="dxa" w:w="28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8B6914"/>
                <w:sz w:val="20"/>
                <w:szCs w:val="20"/>
              </w:rPr>
              <w:t xml:space="preserve">IN PROCESS</w:t>
            </w:r>
          </w:p>
        </w:tc>
        <w:tc>
          <w:tcPr>
            <w:tcW w:type="dxa" w:w="3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Environmental clearance applied for Bengaluru campus expansion. First tranche of TL to be disbursed only after EC receipt. Conditioned accordingly.</w:t>
            </w:r>
          </w:p>
        </w:tc>
      </w:tr>
    </w:tbl>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Note: Environmental clearance for the Term Loan is a pre-disbursement condition; the CC/WCDL/BG/LC facilities are not contingent on this clearance. A separate tranche-disbursement schedule for the TL has been structured accordingly.</w:t>
      </w:r>
    </w:p>
    <w:p>
      <w:r>
        <w:br w:type="page"/>
      </w:r>
    </w:p>
    <w:p>
      <w:pPr>
        <w:pStyle w:val="Heading1"/>
        <w:spacing w:before="360" w:after="120"/>
      </w:pPr>
      <w:r>
        <w:rPr>
          <w:rFonts w:ascii="Arial" w:cs="Arial" w:eastAsia="Arial" w:hAnsi="Arial"/>
          <w:b/>
          <w:bCs/>
          <w:color w:val="1B3A6B"/>
          <w:sz w:val="36"/>
          <w:szCs w:val="36"/>
        </w:rPr>
        <w:t xml:space="preserve">9. Terms, Conditions &amp; Covenants</w:t>
      </w:r>
    </w:p>
    <w:p>
      <w:pPr>
        <w:pBdr>
          <w:bottom w:val="single" w:color="2E5FA3" w:sz="6"/>
        </w:pBdr>
        <w:spacing w:before="80" w:after="80"/>
      </w:pPr>
      <w:r>
        <w:t xml:space="preserve"/>
      </w:r>
    </w:p>
    <w:p>
      <w:pPr>
        <w:spacing w:before="60" w:after="60"/>
        <w:jc w:val="both"/>
      </w:pPr>
      <w:r>
        <w:rPr>
          <w:rFonts w:ascii="Arial" w:cs="Arial" w:eastAsia="Arial" w:hAnsi="Arial"/>
          <w:color w:val="000000"/>
          <w:sz w:val="22"/>
          <w:szCs w:val="22"/>
        </w:rPr>
        <w:t xml:space="preserve">The credit facilities shall be governed by the following terms and conditions, as stipulated by SBI's Credit Policy and applicable RBI guidelines. These conditions are in addition to SBI's standard terms and conditions for corporate credit.</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Condition category</w:t>
            </w:r>
          </w:p>
        </w:tc>
        <w:tc>
          <w:tcPr>
            <w:tcW w:type="dxa" w:w="63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Specific conditions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Pre-sanction conditions</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Submission of latest board resolution authorising the credit facility and borrowing limits.
2. Execution of sanction letter and return of duly accepted copy within 30 days of sanction.
3. Submission of latest ROC filings and Memorandum &amp; Articles of Association.</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Pre-disbursement conditions (all facilities)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Execution of all facility agreements, hypothecation deeds, and guarantee documents to the satisfaction of SBI's legal counsel.
2. Creation and registration of charge with CERSAI and ROC within 30 days of first disbursement.
3. Submission of insurance policies with SBI noted as co-insured/loss payee.
4. Payment of processing fee of ₹ 1.00 Crore.
5. Submission of stock and book debt statement (QIS I &amp; II format) for working capital assessment.</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Pre-disbursement conditions (Term Loan only)</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Receipt and submission of environment clearance from Ministry of Environment, Forest and Climate Change (MoEFCC) for Bengaluru campus expansion project.
2. Submission of construction contract with M/s L&amp;T Construction and approved building plan from BBMP/BDA.
3. Independent technical evaluation of project by SBI's empanelled engineer (M/s RITES Ltd.).</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Financial covenants (annual maintenance)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Debt-Equity ratio to remain below 1.0x on a standalone basis.
2. Current ratio to remain above 1.25x at all times.
3. Interest coverage ratio (EBIT/Interest) to remain above 5.0x.
4. Total outside liabilities to net worth: not to exceed 1.5x.
5. Net cash and investment position to remain positive at all times.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Reporting covenants</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Submission of audited annual financial statements within 180 days of financial year end.
2. Submission of un-audited quarterly results (Ind AS) within 60 days of quarter end.
3. Monthly stock and book debt statements for CC drawing power computation — due by 15th of each month.
4. Immediate intimation of any material adverse change, litigation, regulatory order, or event of default under any other credit agreement.
5. Annual review of credit rating (SBI-LCM model) to be submitted by 31st May each year.</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Account conduct conditions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All cash inflows from Indian operations to be routed through SBI account.
2. Minimum average credit balance in CC account: ₹ 50 Crore per month.
3. No diversion of Term Loan funds from approved campus project purpose.
4. Any change in management / key managerial personnel to be notified within 30 days.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Negative covenants</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Borrower shall not create any further charge / encumbrance on hypothecated assets without prior written consent of SBI.
2. Borrower shall not effect any merger, acquisition, or demerger of material scale (&gt;10% of net worth) without prior intimation to SBI.
3. No reduction in authorized / paid-up share capital without prior approval.
4. Shall not declare interim dividend if CC account is overdrawn / irregular.</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Events of default</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Failure to pay principal or interest within 30 days of due date.
2. Breach of any financial or reporting covenant not remedied within 60 days.
3. Material misrepresentation in financial statements.
4. Insolvency proceedings initiated under IBC 2016.
5. Downgrade of internal rating below SBI-4 for two consecutive quarters.</w:t>
            </w:r>
          </w:p>
        </w:tc>
      </w:tr>
    </w:tbl>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All conditions are subject to final vetting by SBI's Legal Department. Execution of standard facility agreements (Cash Credit Agreement, Hypothecation Deed, Bank Guarantee Agreement, Term Loan Agreement) is mandatory prior to disbursement of any facility.</w:t>
      </w:r>
    </w:p>
    <w:p>
      <w:r>
        <w:br w:type="page"/>
      </w:r>
    </w:p>
    <w:p>
      <w:pPr>
        <w:pStyle w:val="Heading1"/>
        <w:spacing w:before="360" w:after="120"/>
      </w:pPr>
      <w:r>
        <w:rPr>
          <w:rFonts w:ascii="Arial" w:cs="Arial" w:eastAsia="Arial" w:hAnsi="Arial"/>
          <w:b/>
          <w:bCs/>
          <w:color w:val="1B3A6B"/>
          <w:sz w:val="36"/>
          <w:szCs w:val="36"/>
        </w:rPr>
        <w:t xml:space="preserve">10. Account Conduct &amp; Relationship Review</w:t>
      </w:r>
    </w:p>
    <w:p>
      <w:pPr>
        <w:pBdr>
          <w:bottom w:val="single" w:color="2E5FA3" w:sz="6"/>
        </w:pBdr>
        <w:spacing w:before="80" w:after="80"/>
      </w:pPr>
      <w:r>
        <w:t xml:space="preserve"/>
      </w:r>
    </w:p>
    <w:p>
      <w:pPr>
        <w:spacing w:before="60" w:after="60"/>
        <w:jc w:val="both"/>
      </w:pPr>
      <w:r>
        <w:rPr>
          <w:rFonts w:ascii="Arial" w:cs="Arial" w:eastAsia="Arial" w:hAnsi="Arial"/>
          <w:color w:val="000000"/>
          <w:sz w:val="22"/>
          <w:szCs w:val="22"/>
        </w:rPr>
        <w:t xml:space="preserve">Infosys has maintained an exemplary banking relationship with State Bank of India over the past 20 years. The account has been consistently standard, with no credit events, defaults, or irregular conduct. Key account conduct parameters are summarised below.</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63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Observations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Account opening date</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 October 2005 — relationship vintage of 20 years with SBI.</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CC account utilisation (12M avg)</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Average utilisation: ₹ 780 Crore against limit of ₹ 1,200 Crore (65%). No instances of excess drawings.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Interest servicing</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Interest on CC and WCDL paid on due dates without exception. No instances of interest capitalisation.</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Overdue / NPA history</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Nil overdue across all facilities in the last 5 years. IRAC classification: Standard throughout.</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SMA status</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SMA-0: Nil. SMA-1: Nil. SMA-2: Nil. Account has never been classified SMA in the last 10 years.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BG devolvements (last 5 years)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Nil devolvement. All BGs either expired normally or were returned by beneficiaries.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LC devolvements</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Nil devolvement. All LCs retired on due date.</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Forex business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Annual forex throughput: USD 520 Mn (FY2024) through SBI — major beneficiary bank for hedging operations.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Fee income to SBI (FY2024)</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18.4 Crore — comprising BG commission (₹ 8.2 Cr), LC commission (₹ 3.1 Cr), forex fees (₹ 5.6 Cr), and other charges (₹ 1.5 Cr).</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Average deposit balances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Average CASA deposits maintained with SBI: ₹ 620 Crore per month. Strategic importance to SBI deposit franchise.</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Complaints / escalations</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Nil formal complaints or regulatory escalations in the last 3 years.</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Site visit / annual review</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Annual inspection of Electronic City campus conducted in January 2025 by RM and credit team. Operations assessed as normal.</w:t>
            </w:r>
          </w:p>
        </w:tc>
      </w:tr>
    </w:tbl>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10.1 Business Reciprocity &amp; Fee Income</w:t>
      </w:r>
    </w:p>
    <w:p>
      <w:pPr>
        <w:spacing w:before="60" w:after="60"/>
        <w:jc w:val="both"/>
      </w:pPr>
      <w:r>
        <w:rPr>
          <w:rFonts w:ascii="Arial" w:cs="Arial" w:eastAsia="Arial" w:hAnsi="Arial"/>
          <w:color w:val="000000"/>
          <w:sz w:val="22"/>
          <w:szCs w:val="22"/>
        </w:rPr>
        <w:t xml:space="preserve">The Infosys relationship is among SBI's top-20 fee-generating corporate accounts at the Mumbai Corporate Banking Group. The strategic value of the account extends beyond credit — significant forex, cash management, and employee banking business is routed through SBI. Employee salary accounts: approximately 42,000 Infosys employees hold SBI salary accounts under a corporate tie-up.</w:t>
      </w:r>
    </w:p>
    <w:p>
      <w:r>
        <w:br w:type="page"/>
      </w:r>
    </w:p>
    <w:p>
      <w:pPr>
        <w:pStyle w:val="Heading1"/>
        <w:spacing w:before="360" w:after="120"/>
      </w:pPr>
      <w:r>
        <w:rPr>
          <w:rFonts w:ascii="Arial" w:cs="Arial" w:eastAsia="Arial" w:hAnsi="Arial"/>
          <w:b/>
          <w:bCs/>
          <w:color w:val="1B3A6B"/>
          <w:sz w:val="36"/>
          <w:szCs w:val="36"/>
        </w:rPr>
        <w:t xml:space="preserve">11. Peer Comparison &amp; Benchmarking</w:t>
      </w:r>
    </w:p>
    <w:p>
      <w:pPr>
        <w:pBdr>
          <w:bottom w:val="single" w:color="2E5FA3" w:sz="6"/>
        </w:pBdr>
        <w:spacing w:before="80" w:after="80"/>
      </w:pPr>
      <w:r>
        <w:t xml:space="preserve"/>
      </w:r>
    </w:p>
    <w:p>
      <w:pPr>
        <w:spacing w:before="60" w:after="60"/>
        <w:jc w:val="both"/>
      </w:pPr>
      <w:r>
        <w:rPr>
          <w:rFonts w:ascii="Arial" w:cs="Arial" w:eastAsia="Arial" w:hAnsi="Arial"/>
          <w:color w:val="000000"/>
          <w:sz w:val="22"/>
          <w:szCs w:val="22"/>
        </w:rPr>
        <w:t xml:space="preserve">Infosys is benchmarked against the top five listed Indian IT services companies. The comparison confirms that Infosys occupies a superior credit quality position relative to sector peers on most financial metrics.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80"/>
        <w:gridCol w:w="1480"/>
        <w:gridCol w:w="1480"/>
        <w:gridCol w:w="1460"/>
        <w:gridCol w:w="1460"/>
        <w:gridCol w:w="1200"/>
      </w:tblGrid>
      <w:tr>
        <w:tc>
          <w:tcPr>
            <w:tcW w:type="dxa" w:w="20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 (FY2024)</w:t>
            </w:r>
          </w:p>
        </w:tc>
        <w:tc>
          <w:tcPr>
            <w:tcW w:type="dxa" w:w="14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Infosys</w:t>
            </w:r>
          </w:p>
        </w:tc>
        <w:tc>
          <w:tcPr>
            <w:tcW w:type="dxa" w:w="14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TCS</w:t>
            </w:r>
          </w:p>
        </w:tc>
        <w:tc>
          <w:tcPr>
            <w:tcW w:type="dxa" w:w="14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Wipro</w:t>
            </w:r>
          </w:p>
        </w:tc>
        <w:tc>
          <w:tcPr>
            <w:tcW w:type="dxa" w:w="14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HCLTech</w:t>
            </w:r>
          </w:p>
        </w:tc>
        <w:tc>
          <w:tcPr>
            <w:tcW w:type="dxa" w:w="14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Tech Mahindra</w:t>
            </w:r>
          </w:p>
        </w:tc>
        <w:tc>
          <w:tcPr>
            <w:tcW w:type="dxa" w:w="12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Remark</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Revenue (₹ Cr)</w:t>
            </w:r>
          </w:p>
        </w:tc>
        <w:tc>
          <w:tcPr>
            <w:tcW w:type="dxa" w:w="148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87,246</w:t>
            </w:r>
          </w:p>
        </w:tc>
        <w:tc>
          <w:tcPr>
            <w:tcW w:type="dxa" w:w="1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2,40,893</w:t>
            </w:r>
          </w:p>
        </w:tc>
        <w:tc>
          <w:tcPr>
            <w:tcW w:type="dxa" w:w="1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88,462</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1,07,331</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50,640</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20"/>
                <w:szCs w:val="20"/>
              </w:rPr>
              <w:t xml:space="preserve">Infosys #2</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EBIT margin (%)</w:t>
            </w:r>
          </w:p>
        </w:tc>
        <w:tc>
          <w:tcPr>
            <w:tcW w:type="dxa" w:w="148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26.1%</w:t>
            </w:r>
          </w:p>
        </w:tc>
        <w:tc>
          <w:tcPr>
            <w:tcW w:type="dxa" w:w="1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27.3%</w:t>
            </w:r>
          </w:p>
        </w:tc>
        <w:tc>
          <w:tcPr>
            <w:tcW w:type="dxa" w:w="1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16.4%</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18.8%</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7.5%</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20"/>
                <w:szCs w:val="20"/>
              </w:rPr>
              <w:t xml:space="preserve">Among best</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PAT (₹ Cr)</w:t>
            </w:r>
          </w:p>
        </w:tc>
        <w:tc>
          <w:tcPr>
            <w:tcW w:type="dxa" w:w="148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19,697</w:t>
            </w:r>
          </w:p>
        </w:tc>
        <w:tc>
          <w:tcPr>
            <w:tcW w:type="dxa" w:w="1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46,099</w:t>
            </w:r>
          </w:p>
        </w:tc>
        <w:tc>
          <w:tcPr>
            <w:tcW w:type="dxa" w:w="1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10,825</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14,934</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2,386</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20"/>
                <w:szCs w:val="20"/>
              </w:rPr>
              <w:t xml:space="preserve">Strong</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Debt-equity ratio</w:t>
            </w:r>
          </w:p>
        </w:tc>
        <w:tc>
          <w:tcPr>
            <w:tcW w:type="dxa" w:w="148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0.02x</w:t>
            </w:r>
          </w:p>
        </w:tc>
        <w:tc>
          <w:tcPr>
            <w:tcW w:type="dxa" w:w="1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0.00x</w:t>
            </w:r>
          </w:p>
        </w:tc>
        <w:tc>
          <w:tcPr>
            <w:tcW w:type="dxa" w:w="1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0.11x</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0.08x</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0.19x</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20"/>
                <w:szCs w:val="20"/>
              </w:rPr>
              <w:t xml:space="preserve">Near-zero</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Current ratio</w:t>
            </w:r>
          </w:p>
        </w:tc>
        <w:tc>
          <w:tcPr>
            <w:tcW w:type="dxa" w:w="148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2.45x</w:t>
            </w:r>
          </w:p>
        </w:tc>
        <w:tc>
          <w:tcPr>
            <w:tcW w:type="dxa" w:w="1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2.28x</w:t>
            </w:r>
          </w:p>
        </w:tc>
        <w:tc>
          <w:tcPr>
            <w:tcW w:type="dxa" w:w="1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1.97x</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2.10x</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1.68x</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20"/>
                <w:szCs w:val="20"/>
              </w:rPr>
              <w:t xml:space="preserve">Best</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RoE (%)</w:t>
            </w:r>
          </w:p>
        </w:tc>
        <w:tc>
          <w:tcPr>
            <w:tcW w:type="dxa" w:w="148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27.0%</w:t>
            </w:r>
          </w:p>
        </w:tc>
        <w:tc>
          <w:tcPr>
            <w:tcW w:type="dxa" w:w="1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51.5%</w:t>
            </w:r>
          </w:p>
        </w:tc>
        <w:tc>
          <w:tcPr>
            <w:tcW w:type="dxa" w:w="1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13.6%</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22.1%</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20"/>
                <w:szCs w:val="20"/>
              </w:rPr>
              <w:t xml:space="preserve">Strong</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Dividend payout (%)</w:t>
            </w:r>
          </w:p>
        </w:tc>
        <w:tc>
          <w:tcPr>
            <w:tcW w:type="dxa" w:w="148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88%</w:t>
            </w:r>
          </w:p>
        </w:tc>
        <w:tc>
          <w:tcPr>
            <w:tcW w:type="dxa" w:w="1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75%</w:t>
            </w:r>
          </w:p>
        </w:tc>
        <w:tc>
          <w:tcPr>
            <w:tcW w:type="dxa" w:w="14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40%</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55%</w:t>
            </w:r>
          </w:p>
        </w:tc>
        <w:tc>
          <w:tcPr>
            <w:tcW w:type="dxa" w:w="14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w:t>
            </w:r>
          </w:p>
        </w:tc>
        <w:tc>
          <w:tcPr>
            <w:tcW w:type="dxa" w:w="12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1A5276"/>
                <w:sz w:val="20"/>
                <w:szCs w:val="20"/>
              </w:rPr>
              <w:t xml:space="preserve">Highest</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External credit rating</w:t>
            </w:r>
          </w:p>
        </w:tc>
        <w:tc>
          <w:tcPr>
            <w:tcW w:type="dxa" w:w="148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AAA</w:t>
            </w:r>
          </w:p>
        </w:tc>
        <w:tc>
          <w:tcPr>
            <w:tcW w:type="dxa" w:w="1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AAA</w:t>
            </w:r>
          </w:p>
        </w:tc>
        <w:tc>
          <w:tcPr>
            <w:tcW w:type="dxa" w:w="14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AAA</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AAA</w:t>
            </w:r>
          </w:p>
        </w:tc>
        <w:tc>
          <w:tcPr>
            <w:tcW w:type="dxa" w:w="1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AA+</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5276"/>
                <w:sz w:val="20"/>
                <w:szCs w:val="20"/>
              </w:rPr>
              <w:t xml:space="preserve">Top tier</w:t>
            </w:r>
          </w:p>
        </w:tc>
      </w:tr>
    </w:tbl>
    <w:p>
      <w:pPr>
        <w:spacing w:before="0" w:after="0"/>
      </w:pPr>
      <w:r>
        <w:rPr>
          <w:sz w:val="22"/>
          <w:szCs w:val="22"/>
        </w:rPr>
        <w:t xml:space="preserve"/>
      </w:r>
    </w:p>
    <w:p>
      <w:pPr>
        <w:spacing w:before="60" w:after="60"/>
        <w:jc w:val="both"/>
      </w:pPr>
      <w:r>
        <w:rPr>
          <w:rFonts w:ascii="Arial" w:cs="Arial" w:eastAsia="Arial" w:hAnsi="Arial"/>
          <w:color w:val="000000"/>
          <w:sz w:val="22"/>
          <w:szCs w:val="22"/>
        </w:rPr>
        <w:t xml:space="preserve">Infosys ranks first among peers on current ratio and is second only to TCS on PAT absolute. Its near-zero debt profile, combined with the highest dividend payout in the sector, underscores a balance sheet built on shareholder value creation with minimal financial risk to creditors.</w:t>
      </w:r>
    </w:p>
    <w:p>
      <w:r>
        <w:br w:type="page"/>
      </w:r>
    </w:p>
    <w:p>
      <w:pPr>
        <w:pStyle w:val="Heading1"/>
        <w:spacing w:before="360" w:after="120"/>
      </w:pPr>
      <w:r>
        <w:rPr>
          <w:rFonts w:ascii="Arial" w:cs="Arial" w:eastAsia="Arial" w:hAnsi="Arial"/>
          <w:b/>
          <w:bCs/>
          <w:color w:val="1B3A6B"/>
          <w:sz w:val="36"/>
          <w:szCs w:val="36"/>
        </w:rPr>
        <w:t xml:space="preserve">12. Recommendation &amp; Approving Authority</w:t>
      </w:r>
    </w:p>
    <w:p>
      <w:pPr>
        <w:pBdr>
          <w:bottom w:val="single" w:color="2E5FA3" w:sz="6"/>
        </w:pBdr>
        <w:spacing w:before="80" w:after="80"/>
      </w:pPr>
      <w:r>
        <w:t xml:space="preserve"/>
      </w:r>
    </w:p>
    <w:p>
      <w:pPr>
        <w:spacing w:before="60" w:after="60"/>
        <w:jc w:val="both"/>
      </w:pPr>
      <w:r>
        <w:rPr>
          <w:rFonts w:ascii="Arial" w:cs="Arial" w:eastAsia="Arial" w:hAnsi="Arial"/>
          <w:color w:val="000000"/>
          <w:sz w:val="22"/>
          <w:szCs w:val="22"/>
        </w:rPr>
        <w:t xml:space="preserve">Based on a comprehensive appraisal of the borrower's financial position, account conduct, industry outlook, risk profile, security coverage, and regulatory compliance, the following recommendation is placed before the Credit Committee: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Aspect</w:t>
            </w:r>
          </w:p>
        </w:tc>
        <w:tc>
          <w:tcPr>
            <w:tcW w:type="dxa" w:w="636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Recommendation</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RM recommendation</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Approval recommended. The proposed enhancement is operationally justified, financially supported, and within SBI's risk appetite for this account. Enhancement strengthens the relationship and creates additional cross-sell opportunity. Submitted by: Shri Arvind Kumar Sharma (AGM, CBG Mumbai)</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Independent credit review</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Approval recommended with conditions. The independent credit team concurs with the RM's assessment. Financial risk is minimal; primary credit risk is relationship continuity and sector cyclicality, both of which are well-managed. Review by: Smt. Priya Venkataraman (DGM, Credit Risk Unit, CBG)</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Circle head endorsement</w:t>
            </w:r>
          </w:p>
        </w:tc>
        <w:tc>
          <w:tcPr>
            <w:tcW w:type="dxa" w:w="636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Endorsed for approval by Credit Committee. This is a flagship relationship and one of the highest-rated corporate accounts in SBI's corporate book. The enhancement is prudent and commercially justified. Endorsed by: Shri R. Subramaniam (GM, Corporate Banking Group, Mumbai)</w:t>
            </w:r>
          </w:p>
        </w:tc>
      </w:tr>
      <w:tr>
        <w:tc>
          <w:tcPr>
            <w:tcW w:type="dxa" w:w="3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Approval authority</w:t>
            </w:r>
          </w:p>
        </w:tc>
        <w:tc>
          <w:tcPr>
            <w:tcW w:type="dxa" w:w="6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Credit Committee (CC) at Corporate Centre / Mumbai CGM level. Proposed credit exposure of ₹ 2,500 Crore exceeds the GM's discretionary limit of ₹ 1,500 Crore, hence placed before the CC.</w:t>
            </w:r>
          </w:p>
        </w:tc>
      </w:tr>
    </w:tbl>
    <w:p>
      <w:pPr>
        <w:spacing w:before="0" w:after="0"/>
      </w:pPr>
      <w:r>
        <w:rPr>
          <w:sz w:val="22"/>
          <w:szCs w:val="22"/>
        </w:rPr>
        <w:t xml:space="preserve"/>
      </w:r>
    </w:p>
    <w:p>
      <w:pPr>
        <w:pStyle w:val="Heading2"/>
        <w:spacing w:before="240" w:after="80"/>
      </w:pPr>
      <w:r>
        <w:rPr>
          <w:rFonts w:ascii="Arial" w:cs="Arial" w:eastAsia="Arial" w:hAnsi="Arial"/>
          <w:b/>
          <w:bCs/>
          <w:color w:val="2E5FA3"/>
          <w:sz w:val="28"/>
          <w:szCs w:val="28"/>
        </w:rPr>
        <w:t xml:space="preserve">12.1 Summary Recommendation</w:t>
      </w:r>
    </w:p>
    <w:p>
      <w:pPr>
        <w:spacing w:before="60" w:after="60"/>
        <w:jc w:val="both"/>
      </w:pPr>
      <w:r>
        <w:rPr>
          <w:rFonts w:ascii="Arial" w:cs="Arial" w:eastAsia="Arial" w:hAnsi="Arial"/>
          <w:color w:val="000000"/>
          <w:sz w:val="22"/>
          <w:szCs w:val="22"/>
        </w:rPr>
        <w:t xml:space="preserve">The Credit Committee is requested to APPROVE the renewal and enhancement of credit facilities to Infosys Limited as under:</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Cash Credit (CC): ₹ 800 Crore (enhanced from ₹ 600 Crore) @ MCLR + 0.10% p.a.</w:t>
      </w:r>
    </w:p>
    <w:p>
      <w:pPr>
        <w:pStyle w:val="ListParagraph"/>
        <w:numPr>
          <w:ilvl w:val="0"/>
          <w:numId w:val="2"/>
        </w:numPr>
        <w:spacing w:before="40" w:after="40"/>
      </w:pPr>
      <w:r>
        <w:rPr>
          <w:rFonts w:ascii="Arial" w:cs="Arial" w:eastAsia="Arial" w:hAnsi="Arial"/>
          <w:sz w:val="22"/>
          <w:szCs w:val="22"/>
        </w:rPr>
        <w:t xml:space="preserve">WCDL: ₹ 600 Crore (enhanced from ₹ 400 Crore) @ MCLR + 0.10% p.a.</w:t>
      </w:r>
    </w:p>
    <w:p>
      <w:pPr>
        <w:pStyle w:val="ListParagraph"/>
        <w:numPr>
          <w:ilvl w:val="0"/>
          <w:numId w:val="2"/>
        </w:numPr>
        <w:spacing w:before="40" w:after="40"/>
      </w:pPr>
      <w:r>
        <w:rPr>
          <w:rFonts w:ascii="Arial" w:cs="Arial" w:eastAsia="Arial" w:hAnsi="Arial"/>
          <w:sz w:val="22"/>
          <w:szCs w:val="22"/>
        </w:rPr>
        <w:t xml:space="preserve">Term Loan: ₹ 400 Crore (fresh) @ MCLR p.a. | 5 years with 6-month moratorium.</w:t>
      </w:r>
    </w:p>
    <w:p>
      <w:pPr>
        <w:pStyle w:val="ListParagraph"/>
        <w:numPr>
          <w:ilvl w:val="0"/>
          <w:numId w:val="2"/>
        </w:numPr>
        <w:spacing w:before="40" w:after="40"/>
      </w:pPr>
      <w:r>
        <w:rPr>
          <w:rFonts w:ascii="Arial" w:cs="Arial" w:eastAsia="Arial" w:hAnsi="Arial"/>
          <w:sz w:val="22"/>
          <w:szCs w:val="22"/>
        </w:rPr>
        <w:t xml:space="preserve">Bank Guarantee: ₹ 500 Crore (enhanced from ₹ 400 Crore) @ 0.25% / 0.40% commission.</w:t>
      </w:r>
    </w:p>
    <w:p>
      <w:pPr>
        <w:pStyle w:val="ListParagraph"/>
        <w:numPr>
          <w:ilvl w:val="0"/>
          <w:numId w:val="2"/>
        </w:numPr>
        <w:spacing w:before="40" w:after="40"/>
      </w:pPr>
      <w:r>
        <w:rPr>
          <w:rFonts w:ascii="Arial" w:cs="Arial" w:eastAsia="Arial" w:hAnsi="Arial"/>
          <w:sz w:val="22"/>
          <w:szCs w:val="22"/>
        </w:rPr>
        <w:t xml:space="preserve">Letter of Credit: ₹ 200 Crore (retained) @ 0.20% per quarter.</w:t>
      </w:r>
    </w:p>
    <w:p>
      <w:pPr>
        <w:pStyle w:val="ListParagraph"/>
        <w:numPr>
          <w:ilvl w:val="0"/>
          <w:numId w:val="2"/>
        </w:numPr>
        <w:spacing w:before="40" w:after="40"/>
      </w:pPr>
      <w:r>
        <w:rPr>
          <w:rFonts w:ascii="Arial" w:cs="Arial" w:eastAsia="Arial" w:hAnsi="Arial"/>
          <w:sz w:val="22"/>
          <w:szCs w:val="22"/>
        </w:rPr>
        <w:t xml:space="preserve">Total proposed credit exposure: ₹ 2,500 Crore.</w:t>
      </w:r>
    </w:p>
    <w:p>
      <w:pPr>
        <w:spacing w:before="0" w:after="0"/>
      </w:pPr>
      <w:r>
        <w:rPr>
          <w:sz w:val="22"/>
          <w:szCs w:val="22"/>
        </w:rPr>
        <w:t xml:space="preserve"/>
      </w:r>
    </w:p>
    <w:p>
      <w:pPr>
        <w:spacing w:before="60" w:after="60"/>
        <w:jc w:val="both"/>
      </w:pPr>
      <w:r>
        <w:rPr>
          <w:rFonts w:ascii="Arial" w:cs="Arial" w:eastAsia="Arial" w:hAnsi="Arial"/>
          <w:color w:val="000000"/>
          <w:sz w:val="22"/>
          <w:szCs w:val="22"/>
        </w:rPr>
        <w:t xml:space="preserve">The approval is subject to all pre-sanction and pre-disbursement conditions as detailed in Section 9 of this CAM.</w:t>
      </w:r>
    </w:p>
    <w:p>
      <w:pPr>
        <w:spacing w:before="0" w:after="0"/>
      </w:pPr>
      <w:r>
        <w:rPr>
          <w:sz w:val="22"/>
          <w:szCs w:val="22"/>
        </w:rPr>
        <w:t xml:space="preserve"/>
      </w:r>
    </w:p>
    <w:p>
      <w:pPr>
        <w:pBdr>
          <w:bottom w:val="single" w:color="2E5FA3" w:sz="6"/>
        </w:pBdr>
        <w:spacing w:before="80" w:after="80"/>
      </w:pPr>
      <w:r>
        <w:t xml:space="preserve"/>
      </w:r>
    </w:p>
    <w:p>
      <w:pPr>
        <w:pStyle w:val="Heading2"/>
        <w:spacing w:before="240" w:after="80"/>
      </w:pPr>
      <w:r>
        <w:rPr>
          <w:rFonts w:ascii="Arial" w:cs="Arial" w:eastAsia="Arial" w:hAnsi="Arial"/>
          <w:b/>
          <w:bCs/>
          <w:color w:val="2E5FA3"/>
          <w:sz w:val="28"/>
          <w:szCs w:val="28"/>
        </w:rPr>
        <w:t xml:space="preserve">Signatures</w:t>
      </w:r>
    </w:p>
    <w:p>
      <w:pPr>
        <w:spacing w:before="0" w:after="0"/>
      </w:pPr>
      <w:r>
        <w:rPr>
          <w:sz w:val="22"/>
          <w:szCs w:val="22"/>
        </w:rPr>
        <w:t xml:space="preserve"/>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Prepared by:
Shri Arvind Kumar Sharma
AGM — Relationship Manager
Corporate Banking Group, Mumbai
Date: 15 March 2025</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Reviewed by:
Smt. Priya Venkataraman
DGM — Credit Risk Unit
Corporate Banking Group, Mumbai
Date: 17 March 2025</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Approved / Endorsed by:
Shri R. Subramaniam
GM — Corporate Banking Group
Mumbai
Date: 18 March 2025</w:t>
            </w:r>
          </w:p>
        </w:tc>
      </w:tr>
    </w:tbl>
    <w:p>
      <w:pPr>
        <w:spacing w:before="0" w:after="0"/>
      </w:pPr>
      <w:r>
        <w:rPr>
          <w:sz w:val="22"/>
          <w:szCs w:val="22"/>
        </w:rPr>
        <w:t xml:space="preserve"/>
      </w:r>
    </w:p>
    <w:p>
      <w:pPr>
        <w:spacing w:before="0" w:after="0"/>
      </w:pPr>
      <w:r>
        <w:rPr>
          <w:sz w:val="22"/>
          <w:szCs w:val="22"/>
        </w:rPr>
        <w:t xml:space="preserve"/>
      </w:r>
    </w:p>
    <w:p>
      <w:r>
        <w:br w:type="page"/>
      </w:r>
    </w:p>
    <w:p>
      <w:pPr>
        <w:pStyle w:val="Heading1"/>
        <w:spacing w:before="360" w:after="120"/>
      </w:pPr>
      <w:r>
        <w:rPr>
          <w:rFonts w:ascii="Arial" w:cs="Arial" w:eastAsia="Arial" w:hAnsi="Arial"/>
          <w:b/>
          <w:bCs/>
          <w:color w:val="1B3A6B"/>
          <w:sz w:val="36"/>
          <w:szCs w:val="36"/>
        </w:rPr>
        <w:t xml:space="preserve">Annexure A — Document Checklist</w:t>
      </w:r>
    </w:p>
    <w:p>
      <w:pPr>
        <w:pBdr>
          <w:bottom w:val="single" w:color="2E5FA3" w:sz="6"/>
        </w:pBdr>
        <w:spacing w:before="80" w:after="80"/>
      </w:pPr>
      <w:r>
        <w:t xml:space="preserve"/>
      </w:r>
    </w:p>
    <w:p>
      <w:pPr>
        <w:spacing w:before="60" w:after="60"/>
        <w:jc w:val="both"/>
      </w:pPr>
      <w:r>
        <w:rPr>
          <w:rFonts w:ascii="Arial" w:cs="Arial" w:eastAsia="Arial" w:hAnsi="Arial"/>
          <w:color w:val="000000"/>
          <w:sz w:val="22"/>
          <w:szCs w:val="22"/>
        </w:rPr>
        <w:t xml:space="preserve">The following documents have been collected, verified, and are held on record at SBI Corporate Banking Group, Mumbai. Copies are available for inspection by the Credit Committee.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Document</w:t>
            </w:r>
          </w:p>
        </w:tc>
        <w:tc>
          <w:tcPr>
            <w:tcW w:type="dxa" w:w="32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Date / Version</w:t>
            </w:r>
          </w:p>
        </w:tc>
        <w:tc>
          <w:tcPr>
            <w:tcW w:type="dxa" w:w="328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Source</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Memorandum &amp; Articles of Association</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Amended as of 01 June 2022</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MCA21 — certified copy</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Certificate of Incorporation</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02 July 1981 (Original)</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ROC Karnataka</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Board resolution — borrowing powers</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Resolution dated 12 March 2025</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Company Secretary certified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Audited financial statements FY2024</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31 March 2024 — Standalone &amp; Consolidated</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Deloitte certified</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Audited financial statements FY2023</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31 March 2023</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Deloitte certified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Audited financial statements FY2022</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31 March 2022</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Deloitte certified</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Provisional financials (Apr–Dec 2024)</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31 December 2024 — unaudited</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Company MIS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Stock and book debt statement</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28 February 2025</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Signed by CFO / Company Secretary</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CIBIL report — borrower</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Obtained 10 March 2025</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CIBIL / TransUnion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CIBIL report — guarantor (Infosys BPM)</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Obtained 10 March 2025</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CIBIL / TransUnion</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CERSAI search certificate</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 March 2025</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CERSAI portal</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ROC charge status — borrower</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 March 2025</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MCA21 portal</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Legal opinion — title (Jaipur campus)</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15 February 2025</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M/s Khaitan &amp; Co.</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Valuation report — Jaipur campus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January 2025</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M/s Cushman &amp; Wakefield</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Insurance schedule — hypothecated assets</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Policy year April 2024 – March 2025</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Bajaj Allianz General Insurance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KYC documents — all directors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As of March 2025</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Collected and verified by branch</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ECGC / Wilful defaulter check</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 March 2025</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ECGC / RBI / CIBIL databases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Internal credit rating sheet (LCM v3.0)</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 February 2025</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SBI Credit Risk Unit</w:t>
            </w:r>
          </w:p>
        </w:tc>
      </w:tr>
      <w:tr>
        <w:tc>
          <w:tcPr>
            <w:tcW w:type="dxa" w:w="280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Annual inspection note — Electronic City</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January 2025</w:t>
            </w:r>
          </w:p>
        </w:tc>
        <w:tc>
          <w:tcPr>
            <w:tcW w:type="dxa" w:w="328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RM &amp; Credit team</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Project report — campus expansion (TL)</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December 2024</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Infosys Infrastructure team</w:t>
            </w:r>
          </w:p>
        </w:tc>
      </w:tr>
    </w:tbl>
    <w:p>
      <w:pPr>
        <w:spacing w:before="0" w:after="0"/>
      </w:pPr>
      <w:r>
        <w:rPr>
          <w:sz w:val="22"/>
          <w:szCs w:val="22"/>
        </w:rPr>
        <w:t xml:space="preserve"/>
      </w:r>
    </w:p>
    <w:p>
      <w:r>
        <w:br w:type="page"/>
      </w:r>
    </w:p>
    <w:p>
      <w:pPr>
        <w:pStyle w:val="Heading1"/>
        <w:spacing w:before="360" w:after="120"/>
      </w:pPr>
      <w:r>
        <w:rPr>
          <w:rFonts w:ascii="Arial" w:cs="Arial" w:eastAsia="Arial" w:hAnsi="Arial"/>
          <w:b/>
          <w:bCs/>
          <w:color w:val="1B3A6B"/>
          <w:sz w:val="36"/>
          <w:szCs w:val="36"/>
        </w:rPr>
        <w:t xml:space="preserve">Annexure B — Quarterly Performance Trend (FY2025)</w:t>
      </w:r>
    </w:p>
    <w:p>
      <w:pPr>
        <w:pBdr>
          <w:bottom w:val="single" w:color="2E5FA3" w:sz="6"/>
        </w:pBdr>
        <w:spacing w:before="80" w:after="80"/>
      </w:pPr>
      <w:r>
        <w:t xml:space="preserve"/>
      </w:r>
    </w:p>
    <w:p>
      <w:pPr>
        <w:spacing w:before="60" w:after="60"/>
        <w:jc w:val="both"/>
      </w:pPr>
      <w:r>
        <w:rPr>
          <w:rFonts w:ascii="Arial" w:cs="Arial" w:eastAsia="Arial" w:hAnsi="Arial"/>
          <w:color w:val="000000"/>
          <w:sz w:val="22"/>
          <w:szCs w:val="22"/>
        </w:rPr>
        <w:t xml:space="preserve">Quarterly financial performance (unaudited, Ind AS) confirming trajectory of revenue recovery in FY2025.</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 (₹ Crore / %)</w:t>
            </w:r>
          </w:p>
        </w:tc>
        <w:tc>
          <w:tcPr>
            <w:tcW w:type="dxa" w:w="184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Q1 FY2025</w:t>
            </w:r>
          </w:p>
        </w:tc>
        <w:tc>
          <w:tcPr>
            <w:tcW w:type="dxa" w:w="184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Q2 FY2025</w:t>
            </w:r>
          </w:p>
        </w:tc>
        <w:tc>
          <w:tcPr>
            <w:tcW w:type="dxa" w:w="184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Q3 FY2025</w:t>
            </w:r>
          </w:p>
        </w:tc>
        <w:tc>
          <w:tcPr>
            <w:tcW w:type="dxa" w:w="1840"/>
            <w:gridSpan w:val="1"/>
            <w:tcBorders>
              <w:top w:val="single" w:color="AAAAAA" w:sz="4"/>
              <w:left w:val="single" w:color="AAAAAA" w:sz="4"/>
              <w:bottom w:val="single" w:color="AAAAAA" w:sz="4"/>
              <w:right w:val="single" w:color="AAAAAA" w:sz="4"/>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Q4 FY2025E</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Revenue</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21,204</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21,609</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22,046</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22,600</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Revenue growth QoQ</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+1.4%</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+1.9%</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+2.0%</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+2.5%</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EBIT</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5,491</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5,618</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5,692</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5,849</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EBIT margin %</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25.9%</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26.0%</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25.8%</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25.9%</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PAT</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4,978</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5,248</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5,440</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5,600</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EPS (₹)</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12.0</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12.7</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13.1</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13.5</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Large deal TCV (USD Mn)</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4,100</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3,100</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2,100</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2,500</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Headcount (nos.)</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3,14,015</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3,16,964</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3,17,240</w:t>
            </w:r>
          </w:p>
        </w:tc>
        <w:tc>
          <w:tcPr>
            <w:tcW w:type="dxa" w:w="18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3,18,000</w:t>
            </w:r>
          </w:p>
        </w:tc>
      </w:tr>
      <w:tr>
        <w:tc>
          <w:tcPr>
            <w:tcW w:type="dxa" w:w="2000"/>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Attrition (LTM %)</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12.7%</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12.9%</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13.1%</w:t>
            </w:r>
          </w:p>
        </w:tc>
        <w:tc>
          <w:tcPr>
            <w:tcW w:type="dxa" w:w="1840"/>
            <w:tcBorders>
              <w:top w:val="single" w:color="AAAAAA" w:sz="4"/>
              <w:left w:val="single" w:color="AAAAAA" w:sz="4"/>
              <w:bottom w:val="single" w:color="AAAAAA" w:sz="4"/>
              <w:right w:val="single" w:color="AAAAAA" w:sz="4"/>
            </w:tcBorders>
            <w:shd w:fill="EBF2FB" w:val="clear"/>
            <w:tcMar>
              <w:top w:type="dxa" w:w="80"/>
              <w:left w:type="dxa" w:w="140"/>
              <w:bottom w:type="dxa" w:w="80"/>
              <w:right w:type="dxa" w:w="140"/>
            </w:tcMar>
            <w:vAlign w:val="center"/>
          </w:tcPr>
          <w:p>
            <w:pPr>
              <w:jc w:val="center"/>
            </w:pPr>
            <w:r>
              <w:rPr>
                <w:rFonts w:ascii="Arial" w:cs="Arial" w:eastAsia="Arial" w:hAnsi="Arial"/>
                <w:b w:val="false"/>
                <w:bCs w:val="false"/>
                <w:color w:val="1A5276"/>
                <w:sz w:val="20"/>
                <w:szCs w:val="20"/>
              </w:rPr>
              <w:t xml:space="preserve">12.8%</w:t>
            </w:r>
          </w:p>
        </w:tc>
      </w:tr>
    </w:tbl>
    <w:p>
      <w:pPr>
        <w:spacing w:before="0" w:after="0"/>
      </w:pPr>
      <w:r>
        <w:rPr>
          <w:sz w:val="22"/>
          <w:szCs w:val="22"/>
        </w:rPr>
        <w:t xml:space="preserve"/>
      </w:r>
    </w:p>
    <w:p>
      <w:pPr>
        <w:spacing w:before="60" w:after="60"/>
      </w:pPr>
      <w:r>
        <w:rPr>
          <w:rFonts w:ascii="Arial" w:cs="Arial" w:eastAsia="Arial" w:hAnsi="Arial"/>
          <w:i/>
          <w:iCs/>
          <w:color w:val="666666"/>
          <w:sz w:val="20"/>
          <w:szCs w:val="20"/>
        </w:rPr>
        <w:t xml:space="preserve">Q4 FY2025 figures are management estimates. Final audited Q4 results to be submitted within 60 days of financial year end as per reporting covenant.</w:t>
      </w:r>
    </w:p>
    <w:p>
      <w:pPr>
        <w:spacing w:before="0" w:after="0"/>
      </w:pPr>
      <w:r>
        <w:rPr>
          <w:sz w:val="22"/>
          <w:szCs w:val="22"/>
        </w:rPr>
        <w:t xml:space="preserve"/>
      </w:r>
    </w:p>
    <w:p>
      <w:r>
        <w:br w:type="page"/>
      </w:r>
    </w:p>
    <w:p>
      <w:pPr>
        <w:pStyle w:val="Heading1"/>
        <w:spacing w:before="360" w:after="120"/>
      </w:pPr>
      <w:r>
        <w:rPr>
          <w:rFonts w:ascii="Arial" w:cs="Arial" w:eastAsia="Arial" w:hAnsi="Arial"/>
          <w:b/>
          <w:bCs/>
          <w:color w:val="1B3A6B"/>
          <w:sz w:val="36"/>
          <w:szCs w:val="36"/>
        </w:rPr>
        <w:t xml:space="preserve">Annexure C — Glossary</w:t>
      </w:r>
    </w:p>
    <w:p>
      <w:pPr>
        <w:pBdr>
          <w:bottom w:val="single" w:color="2E5FA3" w:sz="6"/>
        </w:pBd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CC: Cash Credit — revolving working capital facility</w:t>
      </w:r>
    </w:p>
    <w:p>
      <w:pPr>
        <w:pStyle w:val="ListParagraph"/>
        <w:numPr>
          <w:ilvl w:val="0"/>
          <w:numId w:val="2"/>
        </w:numPr>
        <w:spacing w:before="40" w:after="40"/>
      </w:pPr>
      <w:r>
        <w:rPr>
          <w:rFonts w:ascii="Arial" w:cs="Arial" w:eastAsia="Arial" w:hAnsi="Arial"/>
          <w:sz w:val="22"/>
          <w:szCs w:val="22"/>
        </w:rPr>
        <w:t xml:space="preserve">WCDL: Working Capital Demand Loan — short-tenor fixed-rate WC facility</w:t>
      </w:r>
    </w:p>
    <w:p>
      <w:pPr>
        <w:pStyle w:val="ListParagraph"/>
        <w:numPr>
          <w:ilvl w:val="0"/>
          <w:numId w:val="2"/>
        </w:numPr>
        <w:spacing w:before="40" w:after="40"/>
      </w:pPr>
      <w:r>
        <w:rPr>
          <w:rFonts w:ascii="Arial" w:cs="Arial" w:eastAsia="Arial" w:hAnsi="Arial"/>
          <w:sz w:val="22"/>
          <w:szCs w:val="22"/>
        </w:rPr>
        <w:t xml:space="preserve">TL: Term Loan — medium-to-long-term credit for capital expenditure</w:t>
      </w:r>
    </w:p>
    <w:p>
      <w:pPr>
        <w:pStyle w:val="ListParagraph"/>
        <w:numPr>
          <w:ilvl w:val="0"/>
          <w:numId w:val="2"/>
        </w:numPr>
        <w:spacing w:before="40" w:after="40"/>
      </w:pPr>
      <w:r>
        <w:rPr>
          <w:rFonts w:ascii="Arial" w:cs="Arial" w:eastAsia="Arial" w:hAnsi="Arial"/>
          <w:sz w:val="22"/>
          <w:szCs w:val="22"/>
        </w:rPr>
        <w:t xml:space="preserve">BG: Bank Guarantee — contingent non-fund-based credit</w:t>
      </w:r>
    </w:p>
    <w:p>
      <w:pPr>
        <w:pStyle w:val="ListParagraph"/>
        <w:numPr>
          <w:ilvl w:val="0"/>
          <w:numId w:val="2"/>
        </w:numPr>
        <w:spacing w:before="40" w:after="40"/>
      </w:pPr>
      <w:r>
        <w:rPr>
          <w:rFonts w:ascii="Arial" w:cs="Arial" w:eastAsia="Arial" w:hAnsi="Arial"/>
          <w:sz w:val="22"/>
          <w:szCs w:val="22"/>
        </w:rPr>
        <w:t xml:space="preserve">LC: Letter of Credit — non-fund-based trade finance instrument</w:t>
      </w:r>
    </w:p>
    <w:p>
      <w:pPr>
        <w:pStyle w:val="ListParagraph"/>
        <w:numPr>
          <w:ilvl w:val="0"/>
          <w:numId w:val="2"/>
        </w:numPr>
        <w:spacing w:before="40" w:after="40"/>
      </w:pPr>
      <w:r>
        <w:rPr>
          <w:rFonts w:ascii="Arial" w:cs="Arial" w:eastAsia="Arial" w:hAnsi="Arial"/>
          <w:sz w:val="22"/>
          <w:szCs w:val="22"/>
        </w:rPr>
        <w:t xml:space="preserve">MCLR: Marginal Cost of Funds-based Lending Rate — RBI-mandated benchmark</w:t>
      </w:r>
    </w:p>
    <w:p>
      <w:pPr>
        <w:pStyle w:val="ListParagraph"/>
        <w:numPr>
          <w:ilvl w:val="0"/>
          <w:numId w:val="2"/>
        </w:numPr>
        <w:spacing w:before="40" w:after="40"/>
      </w:pPr>
      <w:r>
        <w:rPr>
          <w:rFonts w:ascii="Arial" w:cs="Arial" w:eastAsia="Arial" w:hAnsi="Arial"/>
          <w:sz w:val="22"/>
          <w:szCs w:val="22"/>
        </w:rPr>
        <w:t xml:space="preserve">CERSAI: Central Registry of Securitisation Asset Reconstruction and Security Interest</w:t>
      </w:r>
    </w:p>
    <w:p>
      <w:pPr>
        <w:pStyle w:val="ListParagraph"/>
        <w:numPr>
          <w:ilvl w:val="0"/>
          <w:numId w:val="2"/>
        </w:numPr>
        <w:spacing w:before="40" w:after="40"/>
      </w:pPr>
      <w:r>
        <w:rPr>
          <w:rFonts w:ascii="Arial" w:cs="Arial" w:eastAsia="Arial" w:hAnsi="Arial"/>
          <w:sz w:val="22"/>
          <w:szCs w:val="22"/>
        </w:rPr>
        <w:t xml:space="preserve">IRAC: Income Recognition and Asset Classification — RBI prudential norms</w:t>
      </w:r>
    </w:p>
    <w:p>
      <w:pPr>
        <w:pStyle w:val="ListParagraph"/>
        <w:numPr>
          <w:ilvl w:val="0"/>
          <w:numId w:val="2"/>
        </w:numPr>
        <w:spacing w:before="40" w:after="40"/>
      </w:pPr>
      <w:r>
        <w:rPr>
          <w:rFonts w:ascii="Arial" w:cs="Arial" w:eastAsia="Arial" w:hAnsi="Arial"/>
          <w:sz w:val="22"/>
          <w:szCs w:val="22"/>
        </w:rPr>
        <w:t xml:space="preserve">SMA: Special Mention Account — early warning classification</w:t>
      </w:r>
    </w:p>
    <w:p>
      <w:pPr>
        <w:pStyle w:val="ListParagraph"/>
        <w:numPr>
          <w:ilvl w:val="0"/>
          <w:numId w:val="2"/>
        </w:numPr>
        <w:spacing w:before="40" w:after="40"/>
      </w:pPr>
      <w:r>
        <w:rPr>
          <w:rFonts w:ascii="Arial" w:cs="Arial" w:eastAsia="Arial" w:hAnsi="Arial"/>
          <w:sz w:val="22"/>
          <w:szCs w:val="22"/>
        </w:rPr>
        <w:t xml:space="preserve">LEF: Large Exposure Framework — RBI's single / group borrower limits</w:t>
      </w:r>
    </w:p>
    <w:p>
      <w:pPr>
        <w:pStyle w:val="ListParagraph"/>
        <w:numPr>
          <w:ilvl w:val="0"/>
          <w:numId w:val="2"/>
        </w:numPr>
        <w:spacing w:before="40" w:after="40"/>
      </w:pPr>
      <w:r>
        <w:rPr>
          <w:rFonts w:ascii="Arial" w:cs="Arial" w:eastAsia="Arial" w:hAnsi="Arial"/>
          <w:sz w:val="22"/>
          <w:szCs w:val="22"/>
        </w:rPr>
        <w:t xml:space="preserve">KYC: Know Your Customer — AML / CFT compliance requirement</w:t>
      </w:r>
    </w:p>
    <w:p>
      <w:pPr>
        <w:pStyle w:val="ListParagraph"/>
        <w:numPr>
          <w:ilvl w:val="0"/>
          <w:numId w:val="2"/>
        </w:numPr>
        <w:spacing w:before="40" w:after="40"/>
      </w:pPr>
      <w:r>
        <w:rPr>
          <w:rFonts w:ascii="Arial" w:cs="Arial" w:eastAsia="Arial" w:hAnsi="Arial"/>
          <w:sz w:val="22"/>
          <w:szCs w:val="22"/>
        </w:rPr>
        <w:t xml:space="preserve">CRILC: Central Repository of Information on Large Credits — RBI database</w:t>
      </w:r>
    </w:p>
    <w:p>
      <w:pPr>
        <w:pStyle w:val="ListParagraph"/>
        <w:numPr>
          <w:ilvl w:val="0"/>
          <w:numId w:val="2"/>
        </w:numPr>
        <w:spacing w:before="40" w:after="40"/>
      </w:pPr>
      <w:r>
        <w:rPr>
          <w:rFonts w:ascii="Arial" w:cs="Arial" w:eastAsia="Arial" w:hAnsi="Arial"/>
          <w:sz w:val="22"/>
          <w:szCs w:val="22"/>
        </w:rPr>
        <w:t xml:space="preserve">LCM: Large Corporate Model — SBI's internal credit rating model for large corporates</w:t>
      </w:r>
    </w:p>
    <w:p>
      <w:pPr>
        <w:pStyle w:val="ListParagraph"/>
        <w:numPr>
          <w:ilvl w:val="0"/>
          <w:numId w:val="2"/>
        </w:numPr>
        <w:spacing w:before="40" w:after="40"/>
      </w:pPr>
      <w:r>
        <w:rPr>
          <w:rFonts w:ascii="Arial" w:cs="Arial" w:eastAsia="Arial" w:hAnsi="Arial"/>
          <w:sz w:val="22"/>
          <w:szCs w:val="22"/>
        </w:rPr>
        <w:t xml:space="preserve">TCV: Total Contract Value — aggregate value of IT service contracts won</w:t>
      </w:r>
    </w:p>
    <w:p>
      <w:pPr>
        <w:pStyle w:val="ListParagraph"/>
        <w:numPr>
          <w:ilvl w:val="0"/>
          <w:numId w:val="2"/>
        </w:numPr>
        <w:spacing w:before="40" w:after="40"/>
      </w:pPr>
      <w:r>
        <w:rPr>
          <w:rFonts w:ascii="Arial" w:cs="Arial" w:eastAsia="Arial" w:hAnsi="Arial"/>
          <w:sz w:val="22"/>
          <w:szCs w:val="22"/>
        </w:rPr>
        <w:t xml:space="preserve">DSO: Days Sales Outstanding — debtors collection period in days</w:t>
      </w:r>
    </w:p>
    <w:p>
      <w:pPr>
        <w:pStyle w:val="ListParagraph"/>
        <w:numPr>
          <w:ilvl w:val="0"/>
          <w:numId w:val="2"/>
        </w:numPr>
        <w:spacing w:before="40" w:after="40"/>
      </w:pPr>
      <w:r>
        <w:rPr>
          <w:rFonts w:ascii="Arial" w:cs="Arial" w:eastAsia="Arial" w:hAnsi="Arial"/>
          <w:sz w:val="22"/>
          <w:szCs w:val="22"/>
        </w:rPr>
        <w:t xml:space="preserve">ADM: Application Development and Maintenance — core IT services offering</w:t>
      </w:r>
    </w:p>
    <w:p>
      <w:pPr>
        <w:pStyle w:val="ListParagraph"/>
        <w:numPr>
          <w:ilvl w:val="0"/>
          <w:numId w:val="2"/>
        </w:numPr>
        <w:spacing w:before="40" w:after="40"/>
      </w:pPr>
      <w:r>
        <w:rPr>
          <w:rFonts w:ascii="Arial" w:cs="Arial" w:eastAsia="Arial" w:hAnsi="Arial"/>
          <w:sz w:val="22"/>
          <w:szCs w:val="22"/>
        </w:rPr>
        <w:t xml:space="preserve">BPM: Business Process Management — outsourced business operations</w:t>
      </w:r>
    </w:p>
    <w:p>
      <w:pPr>
        <w:pStyle w:val="ListParagraph"/>
        <w:numPr>
          <w:ilvl w:val="0"/>
          <w:numId w:val="2"/>
        </w:numPr>
        <w:spacing w:before="40" w:after="40"/>
      </w:pPr>
      <w:r>
        <w:rPr>
          <w:rFonts w:ascii="Arial" w:cs="Arial" w:eastAsia="Arial" w:hAnsi="Arial"/>
          <w:sz w:val="22"/>
          <w:szCs w:val="22"/>
        </w:rPr>
        <w:t xml:space="preserve">EPS: Earnings per Share — indicator of profitability on a per-share basis</w:t>
      </w:r>
    </w:p>
    <w:p>
      <w:pPr>
        <w:pStyle w:val="ListParagraph"/>
        <w:numPr>
          <w:ilvl w:val="0"/>
          <w:numId w:val="2"/>
        </w:numPr>
        <w:spacing w:before="40" w:after="40"/>
      </w:pPr>
      <w:r>
        <w:rPr>
          <w:rFonts w:ascii="Arial" w:cs="Arial" w:eastAsia="Arial" w:hAnsi="Arial"/>
          <w:sz w:val="22"/>
          <w:szCs w:val="22"/>
        </w:rPr>
        <w:t xml:space="preserve">RoE: Return on Equity — PAT as a percentage of average shareholders' equity</w:t>
      </w:r>
    </w:p>
    <w:p>
      <w:pPr>
        <w:pStyle w:val="ListParagraph"/>
        <w:numPr>
          <w:ilvl w:val="0"/>
          <w:numId w:val="2"/>
        </w:numPr>
        <w:spacing w:before="40" w:after="40"/>
      </w:pPr>
      <w:r>
        <w:rPr>
          <w:rFonts w:ascii="Arial" w:cs="Arial" w:eastAsia="Arial" w:hAnsi="Arial"/>
          <w:sz w:val="22"/>
          <w:szCs w:val="22"/>
        </w:rPr>
        <w:t xml:space="preserve">RoCE: Return on Capital Employed — EBIT as % of capital employed</w:t>
      </w:r>
    </w:p>
    <w:p>
      <w:pPr>
        <w:spacing w:before="0" w:after="0"/>
      </w:pPr>
      <w:r>
        <w:rPr>
          <w:sz w:val="22"/>
          <w:szCs w:val="22"/>
        </w:rPr>
        <w:t xml:space="preserve"/>
      </w:r>
    </w:p>
    <w:p>
      <w:pPr>
        <w:spacing w:before="0" w:after="0"/>
      </w:pPr>
      <w:r>
        <w:rPr>
          <w:sz w:val="22"/>
          <w:szCs w:val="22"/>
        </w:rPr>
        <w:t xml:space="preserve"/>
      </w:r>
    </w:p>
    <w:p>
      <w:pPr>
        <w:pBdr>
          <w:bottom w:val="single" w:color="2E5FA3" w:sz="6"/>
        </w:pBdr>
        <w:spacing w:before="80" w:after="80"/>
      </w:pPr>
      <w:r>
        <w:t xml:space="preserve"/>
      </w:r>
    </w:p>
    <w:p>
      <w:pPr>
        <w:spacing w:before="120" w:after="120"/>
        <w:jc w:val="center"/>
      </w:pPr>
      <w:r>
        <w:rPr>
          <w:rFonts w:ascii="Arial" w:cs="Arial" w:eastAsia="Arial" w:hAnsi="Arial"/>
          <w:b/>
          <w:bCs/>
          <w:i/>
          <w:iCs/>
          <w:color w:val="1B3A6B"/>
          <w:sz w:val="22"/>
          <w:szCs w:val="22"/>
        </w:rPr>
        <w:t xml:space="preserve">— End of Credit Appraisal Memorandum —</w:t>
      </w:r>
    </w:p>
    <w:p>
      <w:pPr>
        <w:spacing w:before="0" w:after="0"/>
        <w:jc w:val="center"/>
      </w:pPr>
      <w:r>
        <w:rPr>
          <w:rFonts w:ascii="Arial" w:cs="Arial" w:eastAsia="Arial" w:hAnsi="Arial"/>
          <w:color w:val="888888"/>
          <w:sz w:val="18"/>
          <w:szCs w:val="18"/>
        </w:rPr>
        <w:t xml:space="preserve">State Bank of India | Corporate Banking Group | Mumbai | March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pBdr>
      <w:tabs>
        <w:tab w:val="left" w:pos="0"/>
        <w:tab w:val="right" w:pos="9360"/>
      </w:tabs>
      <w:spacing w:before="80" w:after="0"/>
      <w:jc w:val="center"/>
    </w:pPr>
    <w:r>
      <w:rPr>
        <w:rFonts w:ascii="Arial" w:cs="Arial" w:eastAsia="Arial" w:hAnsi="Arial"/>
        <w:color w:val="888888"/>
        <w:sz w:val="16"/>
        <w:szCs w:val="16"/>
      </w:rPr>
      <w:t xml:space="preserve">SBI Corporate Banking Group — For Internal Use Only</w:t>
    </w:r>
    <w:r>
      <w:rPr>
        <w:rFonts w:ascii="Arial" w:cs="Arial" w:eastAsia="Arial" w:hAnsi="Arial"/>
        <w:color w:val="888888"/>
        <w:sz w:val="16"/>
        <w:szCs w:val="16"/>
      </w:rPr>
      <w:t xml:space="preserve">	 Page </w:t>
    </w:r>
    <w:r>
      <w:rPr>
        <w:rFonts w:ascii="Arial" w:cs="Arial" w:eastAsia="Arial" w:hAnsi="Arial"/>
        <w:color w:val="888888"/>
        <w:sz w:val="16"/>
        <w:szCs w:val="16"/>
      </w:rPr>
      <w:t xml:space="preserve"> </w:t>
    </w:r>
    <w:r>
      <w:rPr>
        <w:rFonts w:ascii="Arial" w:cs="Arial" w:eastAsia="Arial" w:hAnsi="Arial"/>
        <w:color w:val="888888"/>
        <w:sz w:val="16"/>
        <w:szCs w:val="16"/>
      </w:rPr>
      <w:t xml:space="preserve"> of 55 (approx.)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spacing w:before="0" w:after="80"/>
      <w:jc w:val="right"/>
    </w:pPr>
    <w:r>
      <w:rPr>
        <w:rFonts w:ascii="Arial" w:cs="Arial" w:eastAsia="Arial" w:hAnsi="Arial"/>
        <w:color w:val="888888"/>
        <w:sz w:val="16"/>
        <w:szCs w:val="16"/>
      </w:rPr>
      <w:t xml:space="preserve">CONFIDENTIAL  |  Credit Appraisal Memorandum — Infosys Limited  |  State Bank of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2026-03-17T04:52:00.027Z</dcterms:created>
  <dcterms:modified xsi:type="dcterms:W3CDTF">2026-03-17T04:52:00.028Z</dcterms:modified>
</cp:coreProperties>
</file>

<file path=docProps/custom.xml><?xml version="1.0" encoding="utf-8"?>
<Properties xmlns="http://schemas.openxmlformats.org/officeDocument/2006/custom-properties" xmlns:vt="http://schemas.openxmlformats.org/officeDocument/2006/docPropsVTypes"/>
</file>