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0A91A" w14:textId="1524D744" w:rsidR="003025B1" w:rsidRDefault="00053CFC" w:rsidP="004C05B9">
      <w:pPr>
        <w:jc w:val="center"/>
        <w:rPr>
          <w:b/>
          <w:bCs/>
        </w:rPr>
      </w:pPr>
      <w:r>
        <w:rPr>
          <w:b/>
          <w:bCs/>
        </w:rPr>
        <w:t xml:space="preserve">MPHISE </w:t>
      </w:r>
      <w:r w:rsidR="004C05B9" w:rsidRPr="004C05B9">
        <w:rPr>
          <w:b/>
          <w:bCs/>
        </w:rPr>
        <w:t xml:space="preserve">IA Health and </w:t>
      </w:r>
      <w:r w:rsidR="00222956">
        <w:rPr>
          <w:b/>
          <w:bCs/>
        </w:rPr>
        <w:t xml:space="preserve">MPHISE </w:t>
      </w:r>
      <w:r w:rsidR="004C05B9" w:rsidRPr="004C05B9">
        <w:rPr>
          <w:b/>
          <w:bCs/>
        </w:rPr>
        <w:t>Indicators Service</w:t>
      </w:r>
    </w:p>
    <w:p w14:paraId="5B583CE7" w14:textId="77777777" w:rsidR="00DA5450" w:rsidRPr="00DA5450" w:rsidRDefault="004C05B9" w:rsidP="00DA5450">
      <w:r>
        <w:t xml:space="preserve">MPHISE IA Health </w:t>
      </w:r>
      <w:r w:rsidR="00DA5450" w:rsidRPr="00DA5450">
        <w:t>creates valuable opportunities for early identification and timely response to a wide range of health conditions. By using the Intake Screening CareFlow and/or the Sick Visit encounter, care teams gain visibility into key clinical data that serve as meaningful indicators of patient health.</w:t>
      </w:r>
    </w:p>
    <w:p w14:paraId="6325639A" w14:textId="4C27F6F3" w:rsidR="00DA5450" w:rsidRPr="00DA5450" w:rsidRDefault="00DA5450" w:rsidP="00DA5450">
      <w:r w:rsidRPr="00DA5450">
        <w:t xml:space="preserve">These indicators—captured directly in </w:t>
      </w:r>
      <w:r w:rsidR="0069428A">
        <w:t>MPHISE IA Health</w:t>
      </w:r>
      <w:r w:rsidRPr="00DA5450">
        <w:t xml:space="preserve"> through structured documentation—help transform routine patient responses into actionable insights. When combined with </w:t>
      </w:r>
      <w:r>
        <w:t>MPHISE</w:t>
      </w:r>
      <w:r w:rsidRPr="00DA5450">
        <w:t xml:space="preserve"> Indicators, this information </w:t>
      </w:r>
      <w:r w:rsidR="00995B8D" w:rsidRPr="00995B8D">
        <w:t>can also be analyzed for patterns and anomalies, such as unusual symptom clusters, unexpected increases in specific conditions, or deviations from normal trends. Identifying these anomalies early supports timely intervention, outbreak prevention, and informed planning for staffing and supply needs.</w:t>
      </w:r>
    </w:p>
    <w:p w14:paraId="719D3640" w14:textId="5928E5BF" w:rsidR="00DA5450" w:rsidRDefault="00DA5450" w:rsidP="00DA5450">
      <w:r w:rsidRPr="00DA5450">
        <w:t xml:space="preserve">Below, we explore three scenarios that demonstrate how data captured in </w:t>
      </w:r>
      <w:r w:rsidR="00222956">
        <w:t xml:space="preserve">MPHISE IA </w:t>
      </w:r>
      <w:r w:rsidRPr="00DA5450">
        <w:t xml:space="preserve">Health, when integrated with </w:t>
      </w:r>
      <w:r>
        <w:t xml:space="preserve">MPHISE </w:t>
      </w:r>
      <w:r w:rsidRPr="00DA5450">
        <w:t xml:space="preserve">Indicators, can help illuminate potential health conditions during the intake and evaluation process. For the purposes of this discussion, </w:t>
      </w:r>
      <w:r>
        <w:t xml:space="preserve">illegal aliens (IAs) </w:t>
      </w:r>
      <w:r w:rsidRPr="00DA5450">
        <w:t>will be referred to as “patients.”</w:t>
      </w:r>
    </w:p>
    <w:p w14:paraId="5D4F8B7E" w14:textId="77777777" w:rsidR="00DA5450" w:rsidRPr="00DA5450" w:rsidRDefault="00DA5450" w:rsidP="00DA5450">
      <w:pPr>
        <w:rPr>
          <w:b/>
          <w:bCs/>
        </w:rPr>
      </w:pPr>
      <w:r w:rsidRPr="00DA5450">
        <w:rPr>
          <w:b/>
          <w:bCs/>
        </w:rPr>
        <w:t>Intake Screening Example</w:t>
      </w:r>
    </w:p>
    <w:p w14:paraId="4FA73E6F" w14:textId="77777777" w:rsidR="00DA5450" w:rsidRDefault="00DA5450" w:rsidP="00DA5450">
      <w:r w:rsidRPr="00DA5450">
        <w:t>During the Intake Screening, patients are asked, “In the past two months, have you experienced any of the following symptoms continuously for more than two weeks?” If a patient selects a response other than “No,” this information becomes an important early indicator. When reviewed alongside follow-up questions, it can help the clinical team assess possible exposure to communicable diseases.</w:t>
      </w:r>
    </w:p>
    <w:p w14:paraId="5C1A53CF" w14:textId="16AE6A53" w:rsidR="00531E51" w:rsidRPr="00DA5450" w:rsidRDefault="000613CD" w:rsidP="00DA5450">
      <w:r w:rsidRPr="000613CD">
        <w:t>When multiple patients report similar symptoms within a short period, this may represent an anomaly—an unexpected pattern that warrants closer review. For example, a sudden increase in prolonged respiratory symptoms may suggest emerging infection trends or environmental concerns.</w:t>
      </w:r>
    </w:p>
    <w:p w14:paraId="5FCDFC3E" w14:textId="77777777" w:rsidR="005113DA" w:rsidRDefault="005113DA" w:rsidP="00DA5450">
      <w:r w:rsidRPr="005113DA">
        <w:t>The question “Have you completed treatment for TB?” provides additional clinical context. If a patient responds “No,” this indicator may prompt the care team to review treatment history, consider resuming therapy, or initiate an alternative treatment plan when appropriate. A higher-than-expected number of “No” responses may also signal a system-wide gap in follow-up care, representing another type of anomaly that requires attention.</w:t>
      </w:r>
    </w:p>
    <w:p w14:paraId="1A919392" w14:textId="42194DE4" w:rsidR="00DA5450" w:rsidRPr="00DA5450" w:rsidRDefault="00DA5450" w:rsidP="00DA5450">
      <w:pPr>
        <w:rPr>
          <w:b/>
          <w:bCs/>
        </w:rPr>
      </w:pPr>
      <w:r w:rsidRPr="00DA5450">
        <w:rPr>
          <w:b/>
          <w:bCs/>
        </w:rPr>
        <w:t>Sick Visit Encounter Example</w:t>
      </w:r>
    </w:p>
    <w:p w14:paraId="5DD70302" w14:textId="77777777" w:rsidR="00DA5450" w:rsidRPr="00DA5450" w:rsidRDefault="00DA5450" w:rsidP="00DA5450">
      <w:r w:rsidRPr="00DA5450">
        <w:lastRenderedPageBreak/>
        <w:t>Within the Sick Visit encounter, providers can use documented chief complaints, diagnoses, and symptom responses as early indicators of emerging health concerns. These structured data elements allow patterns to be identified across patients and encounters.</w:t>
      </w:r>
    </w:p>
    <w:p w14:paraId="1C9B3BB2" w14:textId="2E6E5112" w:rsidR="00DA5450" w:rsidRPr="00DA5450" w:rsidRDefault="00DA5450" w:rsidP="00DA5450">
      <w:r w:rsidRPr="00DA5450">
        <w:t xml:space="preserve">Questions such as “Has the non-citizen reported any of the following conditions? Check all that apply,” and “For the current patient encounter, did this patient exhibit any of the following symptoms? Check all that </w:t>
      </w:r>
      <w:proofErr w:type="gramStart"/>
      <w:r w:rsidRPr="00DA5450">
        <w:t>apply,”</w:t>
      </w:r>
      <w:proofErr w:type="gramEnd"/>
      <w:r w:rsidRPr="00DA5450">
        <w:t xml:space="preserve"> help capture detailed clinical information in a consistent format. </w:t>
      </w:r>
      <w:r w:rsidR="00075375" w:rsidRPr="00075375">
        <w:t xml:space="preserve">When </w:t>
      </w:r>
      <w:r w:rsidR="00222956">
        <w:t>MPHISE</w:t>
      </w:r>
      <w:r w:rsidR="00075375" w:rsidRPr="00075375">
        <w:t xml:space="preserve"> Indicators </w:t>
      </w:r>
      <w:proofErr w:type="gramStart"/>
      <w:r w:rsidR="00075375" w:rsidRPr="00075375">
        <w:t>detects</w:t>
      </w:r>
      <w:proofErr w:type="gramEnd"/>
      <w:r w:rsidR="00075375" w:rsidRPr="00075375">
        <w:t xml:space="preserve"> unusual combinations of symptoms or unexpected increases in specific complaints, these anomalies can trigger further clinical review.</w:t>
      </w:r>
    </w:p>
    <w:p w14:paraId="0A4DD896" w14:textId="728404AF" w:rsidR="00DA5450" w:rsidRPr="00DA5450" w:rsidRDefault="00DA5450" w:rsidP="00DA5450">
      <w:r w:rsidRPr="00DA5450">
        <w:t xml:space="preserve">When this information is analyzed through </w:t>
      </w:r>
      <w:r>
        <w:t>MPHISE</w:t>
      </w:r>
      <w:r w:rsidRPr="00DA5450">
        <w:t xml:space="preserve"> Indicators, it can also contribute to real-time dashboards, alerts, and trend monitoring—helping teams respond quickly to potential health threats.</w:t>
      </w:r>
    </w:p>
    <w:p w14:paraId="034B352A" w14:textId="3CAF0A32" w:rsidR="00512451" w:rsidRPr="00512451" w:rsidRDefault="00512451" w:rsidP="00512451">
      <w:pPr>
        <w:rPr>
          <w:b/>
          <w:bCs/>
        </w:rPr>
      </w:pPr>
      <w:r w:rsidRPr="00512451">
        <w:rPr>
          <w:b/>
          <w:bCs/>
        </w:rPr>
        <w:t>Conclusion</w:t>
      </w:r>
    </w:p>
    <w:p w14:paraId="2A22C7FB" w14:textId="2A02BFDB" w:rsidR="00512451" w:rsidRPr="00512451" w:rsidRDefault="00512451" w:rsidP="00512451">
      <w:r>
        <w:t>T</w:t>
      </w:r>
      <w:r w:rsidRPr="00512451">
        <w:t xml:space="preserve">hese examples highlight how </w:t>
      </w:r>
      <w:r w:rsidR="0028307A">
        <w:t xml:space="preserve">MPHISE IA Health </w:t>
      </w:r>
      <w:r w:rsidRPr="00512451">
        <w:t>supports the capture of high-quality, standardized clinical data that can be transformed into meaningful indicators and anomaly signals. By linking intake and encounter documentation with analytics and reporting tools, organizations can move from simple data collection to proactive surveillance and early response.</w:t>
      </w:r>
    </w:p>
    <w:p w14:paraId="135EAA33" w14:textId="78BA64BE" w:rsidR="00512451" w:rsidRPr="00512451" w:rsidRDefault="00512451" w:rsidP="00512451">
      <w:r w:rsidRPr="00512451">
        <w:t xml:space="preserve">In practice, this connection helps teams recognize emerging risks, investigate unusual trends, and intervene before issues escalate. By using both indicators and anomaly detection, </w:t>
      </w:r>
      <w:r w:rsidR="00222956">
        <w:t xml:space="preserve">MPHISE IA </w:t>
      </w:r>
      <w:r w:rsidRPr="00512451">
        <w:t>Health enables more informed decision-making, targeted resource planning, and stronger, more coordinated patient care.</w:t>
      </w:r>
    </w:p>
    <w:p w14:paraId="1D11D8A3" w14:textId="77777777" w:rsidR="001634F1" w:rsidRDefault="001634F1" w:rsidP="004C05B9"/>
    <w:p w14:paraId="269E7945" w14:textId="77777777" w:rsidR="001634F1" w:rsidRDefault="001634F1" w:rsidP="004C05B9"/>
    <w:sectPr w:rsidR="00163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5B9"/>
    <w:rsid w:val="00053CFC"/>
    <w:rsid w:val="000613CD"/>
    <w:rsid w:val="00075375"/>
    <w:rsid w:val="000C5114"/>
    <w:rsid w:val="001634F1"/>
    <w:rsid w:val="00222956"/>
    <w:rsid w:val="0028307A"/>
    <w:rsid w:val="003025B1"/>
    <w:rsid w:val="003E48BD"/>
    <w:rsid w:val="004C05B9"/>
    <w:rsid w:val="004C4D95"/>
    <w:rsid w:val="005113DA"/>
    <w:rsid w:val="00512451"/>
    <w:rsid w:val="00531E51"/>
    <w:rsid w:val="00537B19"/>
    <w:rsid w:val="00631420"/>
    <w:rsid w:val="0069428A"/>
    <w:rsid w:val="006A3135"/>
    <w:rsid w:val="006C0CB2"/>
    <w:rsid w:val="0079149E"/>
    <w:rsid w:val="007A42BD"/>
    <w:rsid w:val="00973BD0"/>
    <w:rsid w:val="00995B8D"/>
    <w:rsid w:val="00A30DE9"/>
    <w:rsid w:val="00BA60ED"/>
    <w:rsid w:val="00CE5AEA"/>
    <w:rsid w:val="00DA3DB3"/>
    <w:rsid w:val="00DA5450"/>
    <w:rsid w:val="00FC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FAC2"/>
  <w15:chartTrackingRefBased/>
  <w15:docId w15:val="{800758A7-8EF3-4720-B434-4D54F22E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5B9"/>
    <w:rPr>
      <w:rFonts w:eastAsiaTheme="majorEastAsia" w:cstheme="majorBidi"/>
      <w:color w:val="272727" w:themeColor="text1" w:themeTint="D8"/>
    </w:rPr>
  </w:style>
  <w:style w:type="paragraph" w:styleId="Title">
    <w:name w:val="Title"/>
    <w:basedOn w:val="Normal"/>
    <w:next w:val="Normal"/>
    <w:link w:val="TitleChar"/>
    <w:uiPriority w:val="10"/>
    <w:qFormat/>
    <w:rsid w:val="004C0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5B9"/>
    <w:pPr>
      <w:spacing w:before="160"/>
      <w:jc w:val="center"/>
    </w:pPr>
    <w:rPr>
      <w:i/>
      <w:iCs/>
      <w:color w:val="404040" w:themeColor="text1" w:themeTint="BF"/>
    </w:rPr>
  </w:style>
  <w:style w:type="character" w:customStyle="1" w:styleId="QuoteChar">
    <w:name w:val="Quote Char"/>
    <w:basedOn w:val="DefaultParagraphFont"/>
    <w:link w:val="Quote"/>
    <w:uiPriority w:val="29"/>
    <w:rsid w:val="004C05B9"/>
    <w:rPr>
      <w:i/>
      <w:iCs/>
      <w:color w:val="404040" w:themeColor="text1" w:themeTint="BF"/>
    </w:rPr>
  </w:style>
  <w:style w:type="paragraph" w:styleId="ListParagraph">
    <w:name w:val="List Paragraph"/>
    <w:basedOn w:val="Normal"/>
    <w:uiPriority w:val="34"/>
    <w:qFormat/>
    <w:rsid w:val="004C05B9"/>
    <w:pPr>
      <w:ind w:left="720"/>
      <w:contextualSpacing/>
    </w:pPr>
  </w:style>
  <w:style w:type="character" w:styleId="IntenseEmphasis">
    <w:name w:val="Intense Emphasis"/>
    <w:basedOn w:val="DefaultParagraphFont"/>
    <w:uiPriority w:val="21"/>
    <w:qFormat/>
    <w:rsid w:val="004C05B9"/>
    <w:rPr>
      <w:i/>
      <w:iCs/>
      <w:color w:val="0F4761" w:themeColor="accent1" w:themeShade="BF"/>
    </w:rPr>
  </w:style>
  <w:style w:type="paragraph" w:styleId="IntenseQuote">
    <w:name w:val="Intense Quote"/>
    <w:basedOn w:val="Normal"/>
    <w:next w:val="Normal"/>
    <w:link w:val="IntenseQuoteChar"/>
    <w:uiPriority w:val="30"/>
    <w:qFormat/>
    <w:rsid w:val="004C0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5B9"/>
    <w:rPr>
      <w:i/>
      <w:iCs/>
      <w:color w:val="0F4761" w:themeColor="accent1" w:themeShade="BF"/>
    </w:rPr>
  </w:style>
  <w:style w:type="character" w:styleId="IntenseReference">
    <w:name w:val="Intense Reference"/>
    <w:basedOn w:val="DefaultParagraphFont"/>
    <w:uiPriority w:val="32"/>
    <w:qFormat/>
    <w:rsid w:val="004C05B9"/>
    <w:rPr>
      <w:b/>
      <w:bCs/>
      <w:smallCaps/>
      <w:color w:val="0F4761" w:themeColor="accent1" w:themeShade="BF"/>
      <w:spacing w:val="5"/>
    </w:rPr>
  </w:style>
  <w:style w:type="character" w:styleId="Hyperlink">
    <w:name w:val="Hyperlink"/>
    <w:basedOn w:val="DefaultParagraphFont"/>
    <w:uiPriority w:val="99"/>
    <w:unhideWhenUsed/>
    <w:rsid w:val="001634F1"/>
    <w:rPr>
      <w:color w:val="467886" w:themeColor="hyperlink"/>
      <w:u w:val="single"/>
    </w:rPr>
  </w:style>
  <w:style w:type="character" w:styleId="UnresolvedMention">
    <w:name w:val="Unresolved Mention"/>
    <w:basedOn w:val="DefaultParagraphFont"/>
    <w:uiPriority w:val="99"/>
    <w:semiHidden/>
    <w:unhideWhenUsed/>
    <w:rsid w:val="00163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Roberts</dc:creator>
  <cp:keywords/>
  <dc:description/>
  <cp:lastModifiedBy>Kerry Roberts</cp:lastModifiedBy>
  <cp:revision>12</cp:revision>
  <dcterms:created xsi:type="dcterms:W3CDTF">2026-02-04T19:45:00Z</dcterms:created>
  <dcterms:modified xsi:type="dcterms:W3CDTF">2026-02-04T22:37:00Z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0de57810-e942-402c-ad31-ef43de8d4906</vt:lpwstr>
  </property>
</Properties>
</file>