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3A7BBF" w:sz="6" w:space="8"/>
        </w:pBdr>
        <w:spacing w:after="200" w:before="80"/>
      </w:pPr>
      <w:r>
        <w:rPr>
          <w:rFonts w:ascii="Arial" w:cs="Arial" w:eastAsia="Arial" w:hAnsi="Arial"/>
          <w:b/>
          <w:bCs/>
          <w:color w:val="1B3A5C"/>
          <w:sz w:val="36"/>
          <w:szCs w:val="36"/>
        </w:rPr>
        <w:t xml:space="preserve">Accelerate Mission-Critical Operations at the Tactical Edge</w:t>
      </w:r>
    </w:p>
    <w:tbl>
      <w:tblPr>
        <w:tblW w:type="dxa" w:w="9746"/>
        <w:tblBorders>
          <w:top w:val="none" w:sz="0"/>
          <w:left w:val="none" w:sz="0"/>
          <w:bottom w:val="none" w:sz="0"/>
          <w:right w:val="none" w:sz="0"/>
          <w:insideH w:val="single" w:color="auto" w:sz="4"/>
          <w:insideV w:val="single" w:color="auto" w:sz="4"/>
        </w:tblBorders>
      </w:tblPr>
      <w:tblGrid>
        <w:gridCol w:w="4678"/>
        <w:gridCol w:w="5068"/>
      </w:tblGrid>
      <w:tr>
        <w:tc>
          <w:tcPr>
            <w:tcW w:type="dxa" w:w="4678"/>
            <w:tcBorders>
              <w:top w:val="none" w:sz="0"/>
              <w:left w:val="none" w:sz="0"/>
              <w:bottom w:val="none" w:sz="0"/>
              <w:right w:val="none" w:sz="0"/>
            </w:tcBorders>
            <w:tcMar>
              <w:top w:type="dxa" w:w="40"/>
              <w:left w:type="dxa" w:w="0"/>
              <w:bottom w:type="dxa" w:w="40"/>
              <w:right w:type="dxa" w:w="200"/>
            </w:tcMar>
          </w:tcPr>
          <w:p>
            <w:pPr>
              <w:spacing w:after="120"/>
            </w:pPr>
            <w:r>
              <w:rPr>
                <w:rFonts w:ascii="Arial" w:cs="Arial" w:eastAsia="Arial" w:hAnsi="Arial"/>
                <w:b/>
                <w:bCs/>
                <w:color w:val="1B3A5C"/>
                <w:sz w:val="26"/>
                <w:szCs w:val="26"/>
              </w:rPr>
              <w:t xml:space="preserve">Monkton UK</w:t>
            </w:r>
          </w:p>
          <w:p>
            <w:pPr>
              <w:spacing w:after="120"/>
            </w:pPr>
            <w:r>
              <w:rPr>
                <w:rFonts w:ascii="Arial" w:cs="Arial" w:eastAsia="Arial" w:hAnsi="Arial"/>
                <w:color w:val="333333"/>
                <w:sz w:val="19"/>
                <w:szCs w:val="19"/>
              </w:rPr>
              <w:t xml:space="preserve">Monkton is a cloud managed services provider operating in the UK. We deliver pre-vetted security and compliance solutions for the Five Eyes community, NATO member nations and partners.</w:t>
            </w:r>
          </w:p>
          <w:p>
            <w:pPr>
              <w:spacing w:after="120"/>
            </w:pPr>
            <w:r>
              <w:rPr>
                <w:rFonts w:ascii="Arial" w:cs="Arial" w:eastAsia="Arial" w:hAnsi="Arial"/>
                <w:color w:val="333333"/>
                <w:sz w:val="19"/>
                <w:szCs w:val="19"/>
              </w:rPr>
              <w:t xml:space="preserve">Solving global challenges – ranging from emerging cyber threats and cross-domain intelligence to delivering mobile apps at the tactical edge of the battlefield – drives the core mission. Accelerating the development and refinement of these solutions involves close collaboration with industry, academia, and other expert organisations that complement a rigorous design philosophy.</w:t>
            </w:r>
          </w:p>
          <w:p>
            <w:pPr>
              <w:spacing w:after="120"/>
            </w:pPr>
            <w:r>
              <w:rPr>
                <w:rFonts w:ascii="Arial" w:cs="Arial" w:eastAsia="Arial" w:hAnsi="Arial"/>
                <w:color w:val="333333"/>
                <w:sz w:val="19"/>
                <w:szCs w:val="19"/>
              </w:rPr>
              <w:t xml:space="preserve">A comprehensive suite of professional services supports the implementation, configuration, and maintenance of solutions across eight distinct domain management areas. Personnel drawn from Five Eyes member nations work collaboratively to ensure every deployment aligns with governmental policies, procedures, and cybersecurity best practices.</w:t>
            </w:r>
          </w:p>
        </w:tc>
        <w:tc>
          <w:tcPr>
            <w:tcW w:type="dxa" w:w="5068"/>
            <w:tcBorders>
              <w:top w:val="none" w:sz="0"/>
              <w:left w:val="none" w:sz="0"/>
              <w:bottom w:val="none" w:sz="0"/>
              <w:right w:val="none" w:sz="0"/>
            </w:tcBorders>
            <w:tcMar>
              <w:top w:type="dxa" w:w="40"/>
              <w:left w:type="dxa" w:w="200"/>
              <w:bottom w:type="dxa" w:w="40"/>
              <w:right w:type="dxa" w:w="0"/>
            </w:tcMar>
          </w:tcPr>
          <w:p>
            <w:pPr>
              <w:spacing w:after="80"/>
            </w:pPr>
            <w:r>
              <w:rPr>
                <w:rFonts w:ascii="Arial" w:cs="Arial" w:eastAsia="Arial" w:hAnsi="Arial"/>
                <w:b/>
                <w:bCs/>
                <w:color w:val="3A7BBF"/>
                <w:sz w:val="22"/>
                <w:szCs w:val="22"/>
              </w:rPr>
              <w:t xml:space="preserve">No-Code Workflow</w:t>
            </w:r>
          </w:p>
          <w:p>
            <w:pPr>
              <w:spacing w:after="60"/>
            </w:pPr>
            <w:r>
              <w:rPr>
                <w:rFonts w:ascii="Arial" w:cs="Arial" w:eastAsia="Arial" w:hAnsi="Arial"/>
                <w:b/>
                <w:bCs/>
                <w:color w:val="2E5A88"/>
                <w:sz w:val="20"/>
                <w:szCs w:val="20"/>
              </w:rPr>
              <w:t xml:space="preserve">Rapid Configuration for Evolving Operational Needs</w:t>
            </w:r>
          </w:p>
          <w:p>
            <w:pPr>
              <w:spacing w:after="100"/>
            </w:pPr>
            <w:r>
              <w:rPr>
                <w:rFonts w:ascii="Arial" w:cs="Arial" w:eastAsia="Arial" w:hAnsi="Arial"/>
                <w:color w:val="333333"/>
                <w:sz w:val="19"/>
                <w:szCs w:val="19"/>
              </w:rPr>
              <w:t xml:space="preserve">Monkton ISE (Information Sharing Environment) is a secure, cloud-hosted platform purpose-built for mission-critical information management across defence, security, and coalition operations. Whether tracking the health of prisoners of war, managing detainee processing, coordinating inter-agency intelligence on irregular migration, or supporting humanitarian obligations under international law – the ISE adapts to each mission with speed and precision.</w:t>
            </w:r>
          </w:p>
          <w:p>
            <w:pPr>
              <w:spacing w:after="100"/>
            </w:pPr>
            <w:r>
              <w:rPr>
                <w:rFonts w:ascii="Arial" w:cs="Arial" w:eastAsia="Arial" w:hAnsi="Arial"/>
                <w:color w:val="333333"/>
                <w:sz w:val="19"/>
                <w:szCs w:val="19"/>
              </w:rPr>
              <w:t xml:space="preserve">Using the platform’s no-code configuration tools, operational leads and program managers can design, modify, and deploy data capture and workflow pathways through a straightforward web-based interface – without the need for specialist software development skills or dedicated IT teams. Where conventional systems typically require weeks or months of custom coding, Monkton ISE can be tailored and made operational within hours or days.</w:t>
            </w:r>
          </w:p>
        </w:tc>
      </w:tr>
    </w:tbl>
    <w:p>
      <w:pPr>
        <w:spacing w:after="80" w:before="160"/>
      </w:pPr>
    </w:p>
    <w:tbl>
      <w:tblPr>
        <w:tblW w:type="dxa" w:w="9746"/>
        <w:tblBorders>
          <w:top w:val="none" w:sz="0"/>
          <w:left w:val="none" w:sz="0"/>
          <w:bottom w:val="none" w:sz="0"/>
          <w:right w:val="none" w:sz="0"/>
          <w:insideH w:val="single" w:color="auto" w:sz="4"/>
          <w:insideV w:val="single" w:color="auto" w:sz="4"/>
        </w:tblBorders>
      </w:tblPr>
      <w:tblGrid>
        <w:gridCol w:w="1949"/>
        <w:gridCol w:w="1949"/>
        <w:gridCol w:w="1949"/>
        <w:gridCol w:w="1949"/>
        <w:gridCol w:w="1949"/>
      </w:tblGrid>
      <w:tr>
        <w:tc>
          <w:tcPr>
            <w:tcW w:type="dxa" w:w="1949"/>
            <w:tcBorders>
              <w:top w:val="none" w:sz="0"/>
              <w:left w:val="none" w:sz="0"/>
              <w:bottom w:val="none" w:sz="0"/>
              <w:right w:val="none" w:sz="0"/>
            </w:tcBorders>
            <w:shd w:fill="1B3A5C" w:val="clear"/>
            <w:tcMar>
              <w:top w:type="dxa" w:w="100"/>
              <w:left w:type="dxa" w:w="60"/>
              <w:bottom w:type="dxa" w:w="100"/>
              <w:right w:type="dxa" w:w="60"/>
            </w:tcMar>
          </w:tcPr>
          <w:p>
            <w:pPr>
              <w:jc w:val="center"/>
            </w:pPr>
            <w:r>
              <w:rPr>
                <w:rFonts w:ascii="Arial" w:cs="Arial" w:eastAsia="Arial" w:hAnsi="Arial"/>
                <w:b/>
                <w:bCs/>
                <w:color w:val="FFFFFF"/>
                <w:sz w:val="18"/>
                <w:szCs w:val="18"/>
              </w:rPr>
              <w:t xml:space="preserve">FAST</w:t>
            </w:r>
          </w:p>
        </w:tc>
        <w:tc>
          <w:tcPr>
            <w:tcW w:type="dxa" w:w="1949"/>
            <w:tcBorders>
              <w:top w:val="none" w:sz="0"/>
              <w:left w:val="none" w:sz="0"/>
              <w:bottom w:val="none" w:sz="0"/>
              <w:right w:val="none" w:sz="0"/>
            </w:tcBorders>
            <w:shd w:fill="1B3A5C" w:val="clear"/>
            <w:tcMar>
              <w:top w:type="dxa" w:w="100"/>
              <w:left w:type="dxa" w:w="60"/>
              <w:bottom w:type="dxa" w:w="100"/>
              <w:right w:type="dxa" w:w="60"/>
            </w:tcMar>
          </w:tcPr>
          <w:p>
            <w:pPr>
              <w:jc w:val="center"/>
            </w:pPr>
            <w:r>
              <w:rPr>
                <w:rFonts w:ascii="Arial" w:cs="Arial" w:eastAsia="Arial" w:hAnsi="Arial"/>
                <w:b/>
                <w:bCs/>
                <w:color w:val="FFFFFF"/>
                <w:sz w:val="18"/>
                <w:szCs w:val="18"/>
              </w:rPr>
              <w:t xml:space="preserve">EASY</w:t>
            </w:r>
          </w:p>
        </w:tc>
        <w:tc>
          <w:tcPr>
            <w:tcW w:type="dxa" w:w="1949"/>
            <w:tcBorders>
              <w:top w:val="none" w:sz="0"/>
              <w:left w:val="none" w:sz="0"/>
              <w:bottom w:val="none" w:sz="0"/>
              <w:right w:val="none" w:sz="0"/>
            </w:tcBorders>
            <w:shd w:fill="1B3A5C" w:val="clear"/>
            <w:tcMar>
              <w:top w:type="dxa" w:w="100"/>
              <w:left w:type="dxa" w:w="60"/>
              <w:bottom w:type="dxa" w:w="100"/>
              <w:right w:type="dxa" w:w="60"/>
            </w:tcMar>
          </w:tcPr>
          <w:p>
            <w:pPr>
              <w:jc w:val="center"/>
            </w:pPr>
            <w:r>
              <w:rPr>
                <w:rFonts w:ascii="Arial" w:cs="Arial" w:eastAsia="Arial" w:hAnsi="Arial"/>
                <w:b/>
                <w:bCs/>
                <w:color w:val="FFFFFF"/>
                <w:sz w:val="18"/>
                <w:szCs w:val="18"/>
              </w:rPr>
              <w:t xml:space="preserve">MAINTAINABLE</w:t>
            </w:r>
          </w:p>
        </w:tc>
        <w:tc>
          <w:tcPr>
            <w:tcW w:type="dxa" w:w="1949"/>
            <w:tcBorders>
              <w:top w:val="none" w:sz="0"/>
              <w:left w:val="none" w:sz="0"/>
              <w:bottom w:val="none" w:sz="0"/>
              <w:right w:val="none" w:sz="0"/>
            </w:tcBorders>
            <w:shd w:fill="1B3A5C" w:val="clear"/>
            <w:tcMar>
              <w:top w:type="dxa" w:w="100"/>
              <w:left w:type="dxa" w:w="60"/>
              <w:bottom w:type="dxa" w:w="100"/>
              <w:right w:type="dxa" w:w="60"/>
            </w:tcMar>
          </w:tcPr>
          <w:p>
            <w:pPr>
              <w:jc w:val="center"/>
            </w:pPr>
            <w:r>
              <w:rPr>
                <w:rFonts w:ascii="Arial" w:cs="Arial" w:eastAsia="Arial" w:hAnsi="Arial"/>
                <w:b/>
                <w:bCs/>
                <w:color w:val="FFFFFF"/>
                <w:sz w:val="18"/>
                <w:szCs w:val="18"/>
              </w:rPr>
              <w:t xml:space="preserve">FLEXIBLE</w:t>
            </w:r>
          </w:p>
        </w:tc>
        <w:tc>
          <w:tcPr>
            <w:tcW w:type="dxa" w:w="1949"/>
            <w:tcBorders>
              <w:top w:val="none" w:sz="0"/>
              <w:left w:val="none" w:sz="0"/>
              <w:bottom w:val="none" w:sz="0"/>
              <w:right w:val="none" w:sz="0"/>
            </w:tcBorders>
            <w:shd w:fill="1B3A5C" w:val="clear"/>
            <w:tcMar>
              <w:top w:type="dxa" w:w="100"/>
              <w:left w:type="dxa" w:w="60"/>
              <w:bottom w:type="dxa" w:w="100"/>
              <w:right w:type="dxa" w:w="60"/>
            </w:tcMar>
          </w:tcPr>
          <w:p>
            <w:pPr>
              <w:jc w:val="center"/>
            </w:pPr>
            <w:r>
              <w:rPr>
                <w:rFonts w:ascii="Arial" w:cs="Arial" w:eastAsia="Arial" w:hAnsi="Arial"/>
                <w:b/>
                <w:bCs/>
                <w:color w:val="FFFFFF"/>
                <w:sz w:val="18"/>
                <w:szCs w:val="18"/>
              </w:rPr>
              <w:t xml:space="preserve">NO CODING</w:t>
            </w:r>
          </w:p>
        </w:tc>
      </w:tr>
      <w:tr>
        <w:tc>
          <w:tcPr>
            <w:tcW w:type="dxa" w:w="1949"/>
            <w:tcBorders>
              <w:top w:val="none" w:sz="0"/>
              <w:left w:val="none" w:sz="0"/>
              <w:bottom w:val="none" w:sz="0"/>
              <w:right w:val="none" w:sz="0"/>
            </w:tcBorders>
            <w:shd w:fill="E8F0F8" w:val="clear"/>
            <w:tcMar>
              <w:top w:type="dxa" w:w="60"/>
              <w:left w:type="dxa" w:w="80"/>
              <w:bottom w:type="dxa" w:w="60"/>
              <w:right w:type="dxa" w:w="80"/>
            </w:tcMar>
          </w:tcPr>
          <w:p>
            <w:pPr>
              <w:jc w:val="center"/>
            </w:pPr>
            <w:r>
              <w:rPr>
                <w:rFonts w:ascii="Arial" w:cs="Arial" w:eastAsia="Arial" w:hAnsi="Arial"/>
                <w:color w:val="222222"/>
                <w:sz w:val="15"/>
                <w:szCs w:val="15"/>
              </w:rPr>
              <w:t xml:space="preserve">Operators can configure workflows in near real time</w:t>
            </w:r>
          </w:p>
        </w:tc>
        <w:tc>
          <w:tcPr>
            <w:tcW w:type="dxa" w:w="1949"/>
            <w:tcBorders>
              <w:top w:val="none" w:sz="0"/>
              <w:left w:val="none" w:sz="0"/>
              <w:bottom w:val="none" w:sz="0"/>
              <w:right w:val="none" w:sz="0"/>
            </w:tcBorders>
            <w:shd w:fill="E8F0F8" w:val="clear"/>
            <w:tcMar>
              <w:top w:type="dxa" w:w="60"/>
              <w:left w:type="dxa" w:w="80"/>
              <w:bottom w:type="dxa" w:w="60"/>
              <w:right w:type="dxa" w:w="80"/>
            </w:tcMar>
          </w:tcPr>
          <w:p>
            <w:pPr>
              <w:jc w:val="center"/>
            </w:pPr>
            <w:r>
              <w:rPr>
                <w:rFonts w:ascii="Arial" w:cs="Arial" w:eastAsia="Arial" w:hAnsi="Arial"/>
                <w:color w:val="222222"/>
                <w:sz w:val="15"/>
                <w:szCs w:val="15"/>
              </w:rPr>
              <w:t xml:space="preserve">Most user interface updates can be made via web browser</w:t>
            </w:r>
          </w:p>
        </w:tc>
        <w:tc>
          <w:tcPr>
            <w:tcW w:type="dxa" w:w="1949"/>
            <w:tcBorders>
              <w:top w:val="none" w:sz="0"/>
              <w:left w:val="none" w:sz="0"/>
              <w:bottom w:val="none" w:sz="0"/>
              <w:right w:val="none" w:sz="0"/>
            </w:tcBorders>
            <w:shd w:fill="E8F0F8" w:val="clear"/>
            <w:tcMar>
              <w:top w:type="dxa" w:w="60"/>
              <w:left w:type="dxa" w:w="80"/>
              <w:bottom w:type="dxa" w:w="60"/>
              <w:right w:type="dxa" w:w="80"/>
            </w:tcMar>
          </w:tcPr>
          <w:p>
            <w:pPr>
              <w:jc w:val="center"/>
            </w:pPr>
            <w:r>
              <w:rPr>
                <w:rFonts w:ascii="Arial" w:cs="Arial" w:eastAsia="Arial" w:hAnsi="Arial"/>
                <w:color w:val="222222"/>
                <w:sz w:val="15"/>
                <w:szCs w:val="15"/>
              </w:rPr>
              <w:t xml:space="preserve">No-code workflows don’t require updates or upgrades</w:t>
            </w:r>
          </w:p>
        </w:tc>
        <w:tc>
          <w:tcPr>
            <w:tcW w:type="dxa" w:w="1949"/>
            <w:tcBorders>
              <w:top w:val="none" w:sz="0"/>
              <w:left w:val="none" w:sz="0"/>
              <w:bottom w:val="none" w:sz="0"/>
              <w:right w:val="none" w:sz="0"/>
            </w:tcBorders>
            <w:shd w:fill="E8F0F8" w:val="clear"/>
            <w:tcMar>
              <w:top w:type="dxa" w:w="60"/>
              <w:left w:type="dxa" w:w="80"/>
              <w:bottom w:type="dxa" w:w="60"/>
              <w:right w:type="dxa" w:w="80"/>
            </w:tcMar>
          </w:tcPr>
          <w:p>
            <w:pPr>
              <w:jc w:val="center"/>
            </w:pPr>
            <w:r>
              <w:rPr>
                <w:rFonts w:ascii="Arial" w:cs="Arial" w:eastAsia="Arial" w:hAnsi="Arial"/>
                <w:color w:val="222222"/>
                <w:sz w:val="15"/>
                <w:szCs w:val="15"/>
              </w:rPr>
              <w:t xml:space="preserve">Changes can be evaluated quickly and reverted easily</w:t>
            </w:r>
          </w:p>
        </w:tc>
        <w:tc>
          <w:tcPr>
            <w:tcW w:type="dxa" w:w="1949"/>
            <w:tcBorders>
              <w:top w:val="none" w:sz="0"/>
              <w:left w:val="none" w:sz="0"/>
              <w:bottom w:val="none" w:sz="0"/>
              <w:right w:val="none" w:sz="0"/>
            </w:tcBorders>
            <w:shd w:fill="E8F0F8" w:val="clear"/>
            <w:tcMar>
              <w:top w:type="dxa" w:w="60"/>
              <w:left w:type="dxa" w:w="80"/>
              <w:bottom w:type="dxa" w:w="60"/>
              <w:right w:type="dxa" w:w="80"/>
            </w:tcMar>
          </w:tcPr>
          <w:p>
            <w:pPr>
              <w:jc w:val="center"/>
            </w:pPr>
            <w:r>
              <w:rPr>
                <w:rFonts w:ascii="Arial" w:cs="Arial" w:eastAsia="Arial" w:hAnsi="Arial"/>
                <w:color w:val="222222"/>
                <w:sz w:val="15"/>
                <w:szCs w:val="15"/>
              </w:rPr>
              <w:t xml:space="preserve">Limited source code decreases the total cost of ownership</w:t>
            </w:r>
          </w:p>
        </w:tc>
      </w:tr>
    </w:tbl>
    <w:p>
      <w:pPr>
        <w:spacing w:after="80" w:before="200"/>
      </w:pPr>
    </w:p>
    <w:tbl>
      <w:tblPr>
        <w:tblW w:type="dxa" w:w="9746"/>
        <w:tblBorders>
          <w:top w:val="none" w:sz="0"/>
          <w:left w:val="none" w:sz="0"/>
          <w:bottom w:val="none" w:sz="0"/>
          <w:right w:val="none" w:sz="0"/>
          <w:insideH w:val="single" w:color="auto" w:sz="4"/>
          <w:insideV w:val="single" w:color="auto" w:sz="4"/>
        </w:tblBorders>
      </w:tblPr>
      <w:tblGrid>
        <w:gridCol w:w="4678"/>
        <w:gridCol w:w="5068"/>
      </w:tblGrid>
      <w:tr>
        <w:tc>
          <w:tcPr>
            <w:tcW w:type="dxa" w:w="4678"/>
            <w:tcBorders>
              <w:top w:val="none" w:sz="0"/>
              <w:left w:val="none" w:sz="0"/>
              <w:bottom w:val="none" w:sz="0"/>
              <w:right w:val="none" w:sz="0"/>
            </w:tcBorders>
            <w:tcMar>
              <w:top w:type="dxa" w:w="40"/>
              <w:left w:type="dxa" w:w="0"/>
              <w:bottom w:type="dxa" w:w="40"/>
              <w:right w:type="dxa" w:w="200"/>
            </w:tcMar>
          </w:tcPr>
          <w:p>
            <w:pPr>
              <w:spacing w:after="80"/>
            </w:pPr>
            <w:r>
              <w:rPr>
                <w:rFonts w:ascii="Arial" w:cs="Arial" w:eastAsia="Arial" w:hAnsi="Arial"/>
                <w:b/>
                <w:bCs/>
                <w:color w:val="2E5A88"/>
                <w:sz w:val="24"/>
                <w:szCs w:val="24"/>
              </w:rPr>
              <w:t xml:space="preserve">Mission-Ready Agility</w:t>
            </w:r>
          </w:p>
          <w:p>
            <w:pPr>
              <w:spacing w:after="100"/>
            </w:pPr>
            <w:r>
              <w:rPr>
                <w:rFonts w:ascii="Arial" w:cs="Arial" w:eastAsia="Arial" w:hAnsi="Arial"/>
                <w:color w:val="333333"/>
                <w:sz w:val="19"/>
                <w:szCs w:val="19"/>
              </w:rPr>
              <w:t xml:space="preserve">Bridging the gap between operational mandates and ground-level reality, Monkton ISE allows authorised personnel to configure information capture and sharing workflows in near real-time. This ensures that changes to screening protocols, tracking procedures, or reporting pathways are evaluated and deployed without the overhead of traditional software development cycles.</w:t>
            </w:r>
          </w:p>
          <w:p>
            <w:pPr>
              <w:spacing w:after="60"/>
            </w:pPr>
            <w:r>
              <w:rPr>
                <w:rFonts w:ascii="Arial" w:cs="Arial" w:eastAsia="Arial" w:hAnsi="Arial"/>
                <w:color w:val="333333"/>
                <w:sz w:val="19"/>
                <w:szCs w:val="19"/>
              </w:rPr>
              <w:t xml:space="preserve">This reduces total cost of ownership while keeping the mission focused on operational outcomes, not technical constraints.</w:t>
            </w:r>
          </w:p>
        </w:tc>
        <w:tc>
          <w:tcPr>
            <w:tcW w:type="dxa" w:w="5068"/>
            <w:tcBorders>
              <w:top w:val="none" w:sz="0"/>
              <w:left w:val="none" w:sz="0"/>
              <w:bottom w:val="none" w:sz="0"/>
              <w:right w:val="none" w:sz="0"/>
            </w:tcBorders>
            <w:tcMar>
              <w:top w:type="dxa" w:w="40"/>
              <w:left w:type="dxa" w:w="200"/>
              <w:bottom w:type="dxa" w:w="40"/>
              <w:right w:type="dxa" w:w="0"/>
            </w:tcMar>
          </w:tcPr>
          <w:p>
            <w:pPr>
              <w:spacing w:after="80"/>
            </w:pPr>
            <w:r>
              <w:rPr>
                <w:rFonts w:ascii="Arial" w:cs="Arial" w:eastAsia="Arial" w:hAnsi="Arial"/>
                <w:b/>
                <w:bCs/>
                <w:color w:val="3A7BBF"/>
                <w:sz w:val="22"/>
                <w:szCs w:val="22"/>
              </w:rPr>
              <w:t xml:space="preserve">Example Use Cases</w:t>
            </w:r>
          </w:p>
          <w:p>
            <w:pPr>
              <w:pStyle w:val="ListParagraph"/>
              <w:numPr>
                <w:ilvl w:val="0"/>
                <w:numId w:val="2"/>
              </w:numPr>
              <w:spacing w:after="60"/>
            </w:pPr>
            <w:r>
              <w:rPr>
                <w:rFonts w:ascii="Arial" w:cs="Arial" w:eastAsia="Arial" w:hAnsi="Arial"/>
                <w:b/>
                <w:bCs/>
                <w:color w:val="2E5A88"/>
                <w:sz w:val="19"/>
                <w:szCs w:val="19"/>
              </w:rPr>
              <w:t xml:space="preserve">POW Health Management: </w:t>
            </w:r>
            <w:r>
              <w:rPr>
                <w:rFonts w:ascii="Arial" w:cs="Arial" w:eastAsia="Arial" w:hAnsi="Arial"/>
                <w:color w:val="333333"/>
                <w:sz w:val="19"/>
                <w:szCs w:val="19"/>
              </w:rPr>
              <w:t xml:space="preserve">Track medical care obligations under GC III including screenings, treatment, and monthly inspections.</w:t>
            </w:r>
          </w:p>
          <w:p>
            <w:pPr>
              <w:pStyle w:val="ListParagraph"/>
              <w:numPr>
                <w:ilvl w:val="0"/>
                <w:numId w:val="2"/>
              </w:numPr>
              <w:spacing w:after="60"/>
            </w:pPr>
            <w:r>
              <w:rPr>
                <w:rFonts w:ascii="Arial" w:cs="Arial" w:eastAsia="Arial" w:hAnsi="Arial"/>
                <w:b/>
                <w:bCs/>
                <w:color w:val="2E5A88"/>
                <w:sz w:val="19"/>
                <w:szCs w:val="19"/>
              </w:rPr>
              <w:t xml:space="preserve">Detainee Tracking &amp; Processing: </w:t>
            </w:r>
            <w:r>
              <w:rPr>
                <w:rFonts w:ascii="Arial" w:cs="Arial" w:eastAsia="Arial" w:hAnsi="Arial"/>
                <w:color w:val="333333"/>
                <w:sz w:val="19"/>
                <w:szCs w:val="19"/>
              </w:rPr>
              <w:t xml:space="preserve">Manage intake, transfer, status changes, and reporting for detained persons across multiple facilities.</w:t>
            </w:r>
          </w:p>
          <w:p>
            <w:pPr>
              <w:pStyle w:val="ListParagraph"/>
              <w:numPr>
                <w:ilvl w:val="0"/>
                <w:numId w:val="2"/>
              </w:numPr>
              <w:spacing w:after="60"/>
            </w:pPr>
            <w:r>
              <w:rPr>
                <w:rFonts w:ascii="Arial" w:cs="Arial" w:eastAsia="Arial" w:hAnsi="Arial"/>
                <w:b/>
                <w:bCs/>
                <w:color w:val="2E5A88"/>
                <w:sz w:val="19"/>
                <w:szCs w:val="19"/>
              </w:rPr>
              <w:t xml:space="preserve">Irregular Migration &amp; Border Operations: </w:t>
            </w:r>
            <w:r>
              <w:rPr>
                <w:rFonts w:ascii="Arial" w:cs="Arial" w:eastAsia="Arial" w:hAnsi="Arial"/>
                <w:color w:val="333333"/>
                <w:sz w:val="19"/>
                <w:szCs w:val="19"/>
              </w:rPr>
              <w:t xml:space="preserve">Share information between agencies for tracking, processing, and managing irregular migrants.</w:t>
            </w:r>
          </w:p>
          <w:p>
            <w:pPr>
              <w:pStyle w:val="ListParagraph"/>
              <w:numPr>
                <w:ilvl w:val="0"/>
                <w:numId w:val="2"/>
              </w:numPr>
              <w:spacing w:after="60"/>
            </w:pPr>
            <w:r>
              <w:rPr>
                <w:rFonts w:ascii="Arial" w:cs="Arial" w:eastAsia="Arial" w:hAnsi="Arial"/>
                <w:b/>
                <w:bCs/>
                <w:color w:val="2E5A88"/>
                <w:sz w:val="19"/>
                <w:szCs w:val="19"/>
              </w:rPr>
              <w:t xml:space="preserve">Inter-Agency Intelligence Sharing: </w:t>
            </w:r>
            <w:r>
              <w:rPr>
                <w:rFonts w:ascii="Arial" w:cs="Arial" w:eastAsia="Arial" w:hAnsi="Arial"/>
                <w:color w:val="333333"/>
                <w:sz w:val="19"/>
                <w:szCs w:val="19"/>
              </w:rPr>
              <w:t xml:space="preserve">Enable secure, auditable information exchange between coalition partners and allied agencies.</w:t>
            </w:r>
          </w:p>
          <w:p>
            <w:pPr>
              <w:pStyle w:val="ListParagraph"/>
              <w:numPr>
                <w:ilvl w:val="0"/>
                <w:numId w:val="2"/>
              </w:numPr>
              <w:spacing w:after="60"/>
            </w:pPr>
            <w:r>
              <w:rPr>
                <w:rFonts w:ascii="Arial" w:cs="Arial" w:eastAsia="Arial" w:hAnsi="Arial"/>
                <w:b/>
                <w:bCs/>
                <w:color w:val="2E5A88"/>
                <w:sz w:val="19"/>
                <w:szCs w:val="19"/>
              </w:rPr>
              <w:t xml:space="preserve">Humanitarian Compliance &amp; Oversight: </w:t>
            </w:r>
            <w:r>
              <w:rPr>
                <w:rFonts w:ascii="Arial" w:cs="Arial" w:eastAsia="Arial" w:hAnsi="Arial"/>
                <w:color w:val="333333"/>
                <w:sz w:val="19"/>
                <w:szCs w:val="19"/>
              </w:rPr>
              <w:t xml:space="preserve">Create auditable records to demonstrate compliance with international legal obligations to oversight bodies.</w:t>
            </w:r>
          </w:p>
        </w:tc>
      </w:tr>
    </w:tbl>
    <w:p>
      <w:pPr>
        <w:pBdr>
          <w:top w:val="single" w:color="3A7BBF" w:sz="2" w:space="8"/>
          <w:bottom w:val="single" w:color="3A7BBF" w:sz="2" w:space="8"/>
        </w:pBdr>
        <w:shd w:fill="E8F0F8" w:val="clear"/>
        <w:spacing w:after="0" w:before="200"/>
        <w:jc w:val="center"/>
      </w:pPr>
      <w:r>
        <w:rPr>
          <w:rFonts w:ascii="Arial" w:cs="Arial" w:eastAsia="Arial" w:hAnsi="Arial"/>
          <w:b/>
          <w:bCs/>
          <w:i/>
          <w:iCs/>
          <w:color w:val="1B3A5C"/>
          <w:sz w:val="22"/>
          <w:szCs w:val="22"/>
        </w:rPr>
        <w:t xml:space="preserve">We turn operational compliance into proactive mission intelligence</w:t>
      </w:r>
    </w:p>
    <w:p>
      <w:pPr>
        <w:sectPr>
          <w:headerReference w:type="default" r:id="rId7"/>
          <w:footerReference w:type="default" r:id="rId8"/>
          <w:pgSz w:w="11906" w:h="16838" w:orient="portrait"/>
          <w:pgMar w:top="900" w:right="1080" w:bottom="900" w:left="1080" w:header="708" w:footer="708" w:gutter="0"/>
          <w:pgNumType/>
          <w:docGrid w:linePitch="360"/>
        </w:sectPr>
      </w:pPr>
    </w:p>
    <w:p>
      <w:pPr>
        <w:pBdr>
          <w:bottom w:val="single" w:color="3A7BBF" w:sz="6" w:space="8"/>
        </w:pBdr>
        <w:spacing w:after="200" w:before="80"/>
      </w:pPr>
      <w:r>
        <w:rPr>
          <w:rFonts w:ascii="Arial" w:cs="Arial" w:eastAsia="Arial" w:hAnsi="Arial"/>
          <w:b/>
          <w:bCs/>
          <w:color w:val="1B3A5C"/>
          <w:sz w:val="36"/>
          <w:szCs w:val="36"/>
        </w:rPr>
        <w:t xml:space="preserve">Bridge the Gap Between Auditable Data and Actionable Insight</w:t>
      </w:r>
    </w:p>
    <w:tbl>
      <w:tblPr>
        <w:tblW w:type="dxa" w:w="9746"/>
        <w:tblBorders>
          <w:top w:val="none" w:sz="0"/>
          <w:left w:val="none" w:sz="0"/>
          <w:bottom w:val="none" w:sz="0"/>
          <w:right w:val="none" w:sz="0"/>
          <w:insideH w:val="single" w:color="auto" w:sz="4"/>
          <w:insideV w:val="single" w:color="auto" w:sz="4"/>
        </w:tblBorders>
      </w:tblPr>
      <w:tblGrid>
        <w:gridCol w:w="4873"/>
        <w:gridCol w:w="4873"/>
      </w:tblGrid>
      <w:tr>
        <w:tc>
          <w:tcPr>
            <w:tcW w:type="dxa" w:w="4873"/>
            <w:tcBorders>
              <w:top w:val="none" w:sz="0"/>
              <w:left w:val="none" w:sz="0"/>
              <w:bottom w:val="none" w:sz="0"/>
              <w:right w:val="none" w:sz="0"/>
            </w:tcBorders>
            <w:tcMar>
              <w:top w:type="dxa" w:w="40"/>
              <w:left w:type="dxa" w:w="0"/>
              <w:bottom w:type="dxa" w:w="40"/>
              <w:right w:type="dxa" w:w="200"/>
            </w:tcMar>
          </w:tcPr>
          <w:p>
            <w:pPr>
              <w:spacing w:after="80"/>
            </w:pPr>
            <w:r>
              <w:rPr>
                <w:rFonts w:ascii="Arial" w:cs="Arial" w:eastAsia="Arial" w:hAnsi="Arial"/>
                <w:b/>
                <w:bCs/>
                <w:color w:val="2E5A88"/>
                <w:sz w:val="24"/>
                <w:szCs w:val="24"/>
              </w:rPr>
              <w:t xml:space="preserve">A Secure Platform for Accountable, Auditable Operations</w:t>
            </w:r>
          </w:p>
          <w:p>
            <w:pPr>
              <w:spacing w:after="100"/>
            </w:pPr>
            <w:r>
              <w:rPr>
                <w:rFonts w:ascii="Arial" w:cs="Arial" w:eastAsia="Arial" w:hAnsi="Arial"/>
                <w:color w:val="333333"/>
                <w:sz w:val="19"/>
                <w:szCs w:val="19"/>
              </w:rPr>
              <w:t xml:space="preserve">In any operational context – from detainee management to coalition intelligence sharing – the ability to demonstrate accountability to oversight bodies is paramount. Monkton ISE provides a proven, cloud-hosted platform for the secure capture, management, and sharing of sensitive operational information, creating the auditable record that legal and regulatory obligations demand.</w:t>
            </w:r>
          </w:p>
          <w:p>
            <w:pPr>
              <w:spacing w:after="100"/>
            </w:pPr>
            <w:r>
              <w:rPr>
                <w:rFonts w:ascii="Arial" w:cs="Arial" w:eastAsia="Arial" w:hAnsi="Arial"/>
                <w:color w:val="333333"/>
                <w:sz w:val="19"/>
                <w:szCs w:val="19"/>
              </w:rPr>
              <w:t xml:space="preserve">The platform handles sensitive PII, classified information, and operationally critical data by design, with walled-garden security architecture, FIPS 140-2 encryption, role-based access control, and multi-factor authentication. All activity is monitored and logged. Its architecture aligns with Five Eyes and NATO interoperability standards for coalition operations.</w:t>
            </w:r>
          </w:p>
        </w:tc>
        <w:tc>
          <w:tcPr>
            <w:tcW w:type="dxa" w:w="4873"/>
            <w:tcBorders>
              <w:top w:val="none" w:sz="0"/>
              <w:left w:val="none" w:sz="0"/>
              <w:bottom w:val="none" w:sz="0"/>
              <w:right w:val="none" w:sz="0"/>
            </w:tcBorders>
            <w:tcMar>
              <w:top w:type="dxa" w:w="40"/>
              <w:left w:type="dxa" w:w="200"/>
              <w:bottom w:type="dxa" w:w="40"/>
              <w:right w:type="dxa" w:w="0"/>
            </w:tcMar>
          </w:tcPr>
          <w:p>
            <w:pPr>
              <w:spacing w:after="80"/>
            </w:pPr>
            <w:r>
              <w:rPr>
                <w:rFonts w:ascii="Arial" w:cs="Arial" w:eastAsia="Arial" w:hAnsi="Arial"/>
                <w:b/>
                <w:bCs/>
                <w:color w:val="2E5A88"/>
                <w:sz w:val="24"/>
                <w:szCs w:val="24"/>
              </w:rPr>
              <w:t xml:space="preserve">Intelligent Analytics and Early Warning for Proactive Surveillance</w:t>
            </w:r>
          </w:p>
          <w:p>
            <w:pPr>
              <w:spacing w:after="100"/>
            </w:pPr>
            <w:r>
              <w:rPr>
                <w:rFonts w:ascii="Arial" w:cs="Arial" w:eastAsia="Arial" w:hAnsi="Arial"/>
                <w:color w:val="333333"/>
                <w:sz w:val="19"/>
                <w:szCs w:val="19"/>
              </w:rPr>
              <w:t xml:space="preserve">Whether monitoring health trends in a detainee population, tracking movement patterns across facilities, or identifying emerging security risks within a theatre of operations – Monkton ISE delivers integrated analytical tools that transform routine data into actionable intelligence.</w:t>
            </w:r>
          </w:p>
          <w:p>
            <w:pPr>
              <w:spacing w:after="100"/>
            </w:pPr>
            <w:r>
              <w:rPr>
                <w:rFonts w:ascii="Arial" w:cs="Arial" w:eastAsia="Arial" w:hAnsi="Arial"/>
                <w:color w:val="333333"/>
                <w:sz w:val="19"/>
                <w:szCs w:val="19"/>
              </w:rPr>
              <w:t xml:space="preserve">Data captured through the ISE – intake records, status updates, inspections, and inter-agency communications – is analysed using local AI and machine learning to detect patterns, anomalies, and emerging risks. The system continuously monitors data streams and generates alerts, helping operational teams intervene before issues escalate.</w:t>
            </w:r>
          </w:p>
        </w:tc>
      </w:tr>
    </w:tbl>
    <w:p>
      <w:pPr>
        <w:spacing w:after="100" w:before="160"/>
      </w:pPr>
    </w:p>
    <w:p>
      <w:pPr>
        <w:spacing w:after="120"/>
      </w:pPr>
      <w:r>
        <w:rPr>
          <w:rFonts w:ascii="Arial" w:cs="Arial" w:eastAsia="Arial" w:hAnsi="Arial"/>
          <w:b/>
          <w:bCs/>
          <w:color w:val="1B3A5C"/>
          <w:sz w:val="28"/>
          <w:szCs w:val="28"/>
        </w:rPr>
        <w:t xml:space="preserve">Platform Capabilities</w:t>
      </w:r>
    </w:p>
    <w:tbl>
      <w:tblPr>
        <w:tblW w:type="dxa" w:w="9746"/>
        <w:tblBorders>
          <w:top w:val="none" w:sz="0"/>
          <w:left w:val="none" w:sz="0"/>
          <w:bottom w:val="none" w:sz="0"/>
          <w:right w:val="none" w:sz="0"/>
          <w:insideH w:val="single" w:color="auto" w:sz="4"/>
          <w:insideV w:val="single" w:color="auto" w:sz="4"/>
        </w:tblBorders>
      </w:tblPr>
      <w:tblGrid>
        <w:gridCol w:w="3249"/>
        <w:gridCol w:w="3249"/>
        <w:gridCol w:w="3249"/>
      </w:tblGrid>
      <w:tr>
        <w:tc>
          <w:tcPr>
            <w:tcW w:type="dxa" w:w="3249"/>
            <w:tcBorders>
              <w:top w:val="single" w:color="BBBBBB" w:sz="1"/>
              <w:left w:val="single" w:color="BBBBBB" w:sz="1"/>
              <w:bottom w:val="single" w:color="BBBBBB" w:sz="1"/>
              <w:right w:val="none" w:sz="0"/>
            </w:tcBorders>
            <w:shd w:fill="E8F0F8" w:val="clear"/>
            <w:tcMar>
              <w:top w:type="dxa" w:w="100"/>
              <w:left w:type="dxa" w:w="120"/>
              <w:bottom w:type="dxa" w:w="100"/>
              <w:right w:type="dxa" w:w="120"/>
            </w:tcMar>
          </w:tcPr>
          <w:p>
            <w:pPr>
              <w:spacing w:after="60"/>
            </w:pPr>
            <w:r>
              <w:rPr>
                <w:rFonts w:ascii="Arial" w:cs="Arial" w:eastAsia="Arial" w:hAnsi="Arial"/>
                <w:b/>
                <w:bCs/>
                <w:color w:val="2E5A88"/>
                <w:sz w:val="20"/>
                <w:szCs w:val="20"/>
              </w:rPr>
              <w:t xml:space="preserve">Configurable Data Capture</w:t>
            </w:r>
          </w:p>
          <w:p>
            <w:r>
              <w:rPr>
                <w:rFonts w:ascii="Arial" w:cs="Arial" w:eastAsia="Arial" w:hAnsi="Arial"/>
                <w:color w:val="333333"/>
                <w:sz w:val="17"/>
                <w:szCs w:val="17"/>
              </w:rPr>
              <w:t xml:space="preserve">Create appointment types, intake forms, and data capture workflows to suit operational needs. Full support for scheduled and ad-hoc interactions.</w:t>
            </w:r>
          </w:p>
        </w:tc>
        <w:tc>
          <w:tcPr>
            <w:tcW w:type="dxa" w:w="3249"/>
            <w:tcBorders>
              <w:top w:val="single" w:color="BBBBBB" w:sz="1"/>
              <w:left w:val="none" w:sz="0"/>
              <w:bottom w:val="single" w:color="BBBBBB" w:sz="1"/>
              <w:right w:val="none" w:sz="0"/>
            </w:tcBorders>
            <w:shd w:fill="E8F0F8" w:val="clear"/>
            <w:tcMar>
              <w:top w:type="dxa" w:w="100"/>
              <w:left w:type="dxa" w:w="120"/>
              <w:bottom w:type="dxa" w:w="100"/>
              <w:right w:type="dxa" w:w="120"/>
            </w:tcMar>
          </w:tcPr>
          <w:p>
            <w:pPr>
              <w:spacing w:after="60"/>
            </w:pPr>
            <w:r>
              <w:rPr>
                <w:rFonts w:ascii="Arial" w:cs="Arial" w:eastAsia="Arial" w:hAnsi="Arial"/>
                <w:b/>
                <w:bCs/>
                <w:color w:val="2E5A88"/>
                <w:sz w:val="20"/>
                <w:szCs w:val="20"/>
              </w:rPr>
              <w:t xml:space="preserve">Operational Dashboards</w:t>
            </w:r>
          </w:p>
          <w:p>
            <w:r>
              <w:rPr>
                <w:rFonts w:ascii="Arial" w:cs="Arial" w:eastAsia="Arial" w:hAnsi="Arial"/>
                <w:color w:val="333333"/>
                <w:sz w:val="17"/>
                <w:szCs w:val="17"/>
              </w:rPr>
              <w:t xml:space="preserve">View analytic dashboards of trends in encounters, statuses, incidents, and key indicators from within your own agency or across coalition organisations.</w:t>
            </w:r>
          </w:p>
        </w:tc>
        <w:tc>
          <w:tcPr>
            <w:tcW w:type="dxa" w:w="3249"/>
            <w:tcBorders>
              <w:top w:val="single" w:color="BBBBBB" w:sz="1"/>
              <w:left w:val="none" w:sz="0"/>
              <w:bottom w:val="single" w:color="BBBBBB" w:sz="1"/>
              <w:right w:val="single" w:color="BBBBBB" w:sz="1"/>
            </w:tcBorders>
            <w:shd w:fill="E8F0F8" w:val="clear"/>
            <w:tcMar>
              <w:top w:type="dxa" w:w="100"/>
              <w:left w:type="dxa" w:w="120"/>
              <w:bottom w:type="dxa" w:w="100"/>
              <w:right w:type="dxa" w:w="120"/>
            </w:tcMar>
          </w:tcPr>
          <w:p>
            <w:pPr>
              <w:spacing w:after="60"/>
            </w:pPr>
            <w:r>
              <w:rPr>
                <w:rFonts w:ascii="Arial" w:cs="Arial" w:eastAsia="Arial" w:hAnsi="Arial"/>
                <w:b/>
                <w:bCs/>
                <w:color w:val="2E5A88"/>
                <w:sz w:val="20"/>
                <w:szCs w:val="20"/>
              </w:rPr>
              <w:t xml:space="preserve">Secure Portal Access</w:t>
            </w:r>
          </w:p>
          <w:p>
            <w:r>
              <w:rPr>
                <w:rFonts w:ascii="Arial" w:cs="Arial" w:eastAsia="Arial" w:hAnsi="Arial"/>
                <w:color w:val="333333"/>
                <w:sz w:val="17"/>
                <w:szCs w:val="17"/>
              </w:rPr>
              <w:t xml:space="preserve">Accessible from any device or browser. Built with a mobile-first mindset but scales seamlessly on larger screens.</w:t>
            </w:r>
          </w:p>
        </w:tc>
      </w:tr>
      <w:tr>
        <w:tc>
          <w:tcPr>
            <w:tcW w:type="dxa" w:w="3249"/>
            <w:tcBorders>
              <w:top w:val="none" w:sz="0"/>
              <w:left w:val="single" w:color="BBBBBB" w:sz="1"/>
              <w:bottom w:val="single" w:color="BBBBBB" w:sz="1"/>
              <w:right w:val="none" w:sz="0"/>
            </w:tcBorders>
            <w:shd w:fill="FFFFFF" w:val="clear"/>
            <w:tcMar>
              <w:top w:type="dxa" w:w="100"/>
              <w:left w:type="dxa" w:w="120"/>
              <w:bottom w:type="dxa" w:w="100"/>
              <w:right w:type="dxa" w:w="120"/>
            </w:tcMar>
          </w:tcPr>
          <w:p>
            <w:pPr>
              <w:spacing w:after="60"/>
            </w:pPr>
            <w:r>
              <w:rPr>
                <w:rFonts w:ascii="Arial" w:cs="Arial" w:eastAsia="Arial" w:hAnsi="Arial"/>
                <w:b/>
                <w:bCs/>
                <w:color w:val="2E5A88"/>
                <w:sz w:val="20"/>
                <w:szCs w:val="20"/>
              </w:rPr>
              <w:t xml:space="preserve">Documentation &amp; Workflow</w:t>
            </w:r>
          </w:p>
          <w:p>
            <w:r>
              <w:rPr>
                <w:rFonts w:ascii="Arial" w:cs="Arial" w:eastAsia="Arial" w:hAnsi="Arial"/>
                <w:color w:val="333333"/>
                <w:sz w:val="17"/>
                <w:szCs w:val="17"/>
              </w:rPr>
              <w:t xml:space="preserve">Document comprehensive encounter notes with enhanced configurable decision support tools. Minimise administrative burden on operators.</w:t>
            </w:r>
          </w:p>
        </w:tc>
        <w:tc>
          <w:tcPr>
            <w:tcW w:type="dxa" w:w="3249"/>
            <w:tcBorders>
              <w:top w:val="none" w:sz="0"/>
              <w:left w:val="none" w:sz="0"/>
              <w:bottom w:val="single" w:color="BBBBBB" w:sz="1"/>
              <w:right w:val="none" w:sz="0"/>
            </w:tcBorders>
            <w:shd w:fill="FFFFFF" w:val="clear"/>
            <w:tcMar>
              <w:top w:type="dxa" w:w="100"/>
              <w:left w:type="dxa" w:w="120"/>
              <w:bottom w:type="dxa" w:w="100"/>
              <w:right w:type="dxa" w:w="120"/>
            </w:tcMar>
          </w:tcPr>
          <w:p>
            <w:pPr>
              <w:spacing w:after="60"/>
            </w:pPr>
            <w:r>
              <w:rPr>
                <w:rFonts w:ascii="Arial" w:cs="Arial" w:eastAsia="Arial" w:hAnsi="Arial"/>
                <w:b/>
                <w:bCs/>
                <w:color w:val="2E5A88"/>
                <w:sz w:val="20"/>
                <w:szCs w:val="20"/>
              </w:rPr>
              <w:t xml:space="preserve">Secure Communications</w:t>
            </w:r>
          </w:p>
          <w:p>
            <w:r>
              <w:rPr>
                <w:rFonts w:ascii="Arial" w:cs="Arial" w:eastAsia="Arial" w:hAnsi="Arial"/>
                <w:color w:val="333333"/>
                <w:sz w:val="17"/>
                <w:szCs w:val="17"/>
              </w:rPr>
              <w:t xml:space="preserve">Easy communication between operators and subjects via video, voice, or messaging from any device. Full access to records during interactions.</w:t>
            </w:r>
          </w:p>
        </w:tc>
        <w:tc>
          <w:tcPr>
            <w:tcW w:type="dxa" w:w="3249"/>
            <w:tcBorders>
              <w:top w:val="none" w:sz="0"/>
              <w:left w:val="none" w:sz="0"/>
              <w:bottom w:val="single" w:color="BBBBBB" w:sz="1"/>
              <w:right w:val="single" w:color="BBBBBB" w:sz="1"/>
            </w:tcBorders>
            <w:shd w:fill="FFFFFF" w:val="clear"/>
            <w:tcMar>
              <w:top w:type="dxa" w:w="100"/>
              <w:left w:type="dxa" w:w="120"/>
              <w:bottom w:type="dxa" w:w="100"/>
              <w:right w:type="dxa" w:w="120"/>
            </w:tcMar>
          </w:tcPr>
          <w:p>
            <w:pPr>
              <w:spacing w:after="60"/>
            </w:pPr>
            <w:r>
              <w:rPr>
                <w:rFonts w:ascii="Arial" w:cs="Arial" w:eastAsia="Arial" w:hAnsi="Arial"/>
                <w:b/>
                <w:bCs/>
                <w:color w:val="2E5A88"/>
                <w:sz w:val="20"/>
                <w:szCs w:val="20"/>
              </w:rPr>
              <w:t xml:space="preserve">Inter-Agency Sharing</w:t>
            </w:r>
          </w:p>
          <w:p>
            <w:r>
              <w:rPr>
                <w:rFonts w:ascii="Arial" w:cs="Arial" w:eastAsia="Arial" w:hAnsi="Arial"/>
                <w:color w:val="333333"/>
                <w:sz w:val="17"/>
                <w:szCs w:val="17"/>
              </w:rPr>
              <w:t xml:space="preserve">Controlled, role-based information sharing between agencies and coalition partners with full audit trails and access logging.</w:t>
            </w:r>
          </w:p>
        </w:tc>
      </w:tr>
    </w:tbl>
    <w:p>
      <w:pPr>
        <w:spacing w:after="80" w:before="160"/>
      </w:pPr>
    </w:p>
    <w:tbl>
      <w:tblPr>
        <w:tblW w:type="dxa" w:w="9746"/>
        <w:tblBorders>
          <w:top w:val="none" w:sz="0"/>
          <w:left w:val="none" w:sz="0"/>
          <w:bottom w:val="none" w:sz="0"/>
          <w:right w:val="none" w:sz="0"/>
          <w:insideH w:val="single" w:color="auto" w:sz="4"/>
          <w:insideV w:val="single" w:color="auto" w:sz="4"/>
        </w:tblBorders>
      </w:tblPr>
      <w:tblGrid>
        <w:gridCol w:w="9746"/>
      </w:tblGrid>
      <w:tr>
        <w:tc>
          <w:tcPr>
            <w:tcW w:type="dxa" w:w="9746"/>
            <w:tcBorders>
              <w:top w:val="single" w:color="3A7BBF" w:sz="4"/>
              <w:left w:val="single" w:color="3A7BBF" w:sz="4"/>
              <w:bottom w:val="single" w:color="3A7BBF" w:sz="4"/>
              <w:right w:val="single" w:color="3A7BBF" w:sz="4"/>
            </w:tcBorders>
            <w:shd w:fill="E8F0F8"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CASE STUDY: MPHISE</w:t>
            </w:r>
          </w:p>
          <w:p>
            <w:pPr>
              <w:spacing w:after="80"/>
            </w:pPr>
            <w:r>
              <w:rPr>
                <w:rFonts w:ascii="Arial" w:cs="Arial" w:eastAsia="Arial" w:hAnsi="Arial"/>
                <w:color w:val="333333"/>
                <w:sz w:val="19"/>
                <w:szCs w:val="19"/>
              </w:rPr>
              <w:t xml:space="preserve">The MPHISE implementation demonstrates the operational power of the Monkton ISE architecture in high-stakes environments:</w:t>
            </w:r>
          </w:p>
          <w:p>
            <w:pPr>
              <w:pStyle w:val="ListParagraph"/>
              <w:numPr>
                <w:ilvl w:val="0"/>
                <w:numId w:val="2"/>
              </w:numPr>
              <w:spacing w:after="40"/>
            </w:pPr>
            <w:r>
              <w:rPr>
                <w:rFonts w:ascii="Arial" w:cs="Arial" w:eastAsia="Arial" w:hAnsi="Arial"/>
                <w:b/>
                <w:bCs/>
                <w:color w:val="2E5A88"/>
                <w:sz w:val="19"/>
                <w:szCs w:val="19"/>
              </w:rPr>
              <w:t xml:space="preserve">Tactical Hub: </w:t>
            </w:r>
            <w:r>
              <w:rPr>
                <w:rFonts w:ascii="Arial" w:cs="Arial" w:eastAsia="Arial" w:hAnsi="Arial"/>
                <w:color w:val="333333"/>
                <w:sz w:val="19"/>
                <w:szCs w:val="19"/>
              </w:rPr>
              <w:t xml:space="preserve">Establishes a centralised, hardened location for operational records designed specifically for mission-focused productivity.</w:t>
            </w:r>
          </w:p>
          <w:p>
            <w:pPr>
              <w:pStyle w:val="ListParagraph"/>
              <w:numPr>
                <w:ilvl w:val="0"/>
                <w:numId w:val="2"/>
              </w:numPr>
              <w:spacing w:after="40"/>
            </w:pPr>
            <w:r>
              <w:rPr>
                <w:rFonts w:ascii="Arial" w:cs="Arial" w:eastAsia="Arial" w:hAnsi="Arial"/>
                <w:b/>
                <w:bCs/>
                <w:color w:val="2E5A88"/>
                <w:sz w:val="19"/>
                <w:szCs w:val="19"/>
              </w:rPr>
              <w:t xml:space="preserve">Operator Efficiency: </w:t>
            </w:r>
            <w:r>
              <w:rPr>
                <w:rFonts w:ascii="Arial" w:cs="Arial" w:eastAsia="Arial" w:hAnsi="Arial"/>
                <w:color w:val="333333"/>
                <w:sz w:val="19"/>
                <w:szCs w:val="19"/>
              </w:rPr>
              <w:t xml:space="preserve">Utilises enhanced configurable tools to automate documentation, significantly reducing manual administrative burdens.</w:t>
            </w:r>
          </w:p>
          <w:p>
            <w:pPr>
              <w:pStyle w:val="ListParagraph"/>
              <w:numPr>
                <w:ilvl w:val="0"/>
                <w:numId w:val="2"/>
              </w:numPr>
              <w:spacing w:after="40"/>
            </w:pPr>
            <w:r>
              <w:rPr>
                <w:rFonts w:ascii="Arial" w:cs="Arial" w:eastAsia="Arial" w:hAnsi="Arial"/>
                <w:b/>
                <w:bCs/>
                <w:color w:val="2E5A88"/>
                <w:sz w:val="19"/>
                <w:szCs w:val="19"/>
              </w:rPr>
              <w:t xml:space="preserve">Operational Agility: </w:t>
            </w:r>
            <w:r>
              <w:rPr>
                <w:rFonts w:ascii="Arial" w:cs="Arial" w:eastAsia="Arial" w:hAnsi="Arial"/>
                <w:color w:val="333333"/>
                <w:sz w:val="19"/>
                <w:szCs w:val="19"/>
              </w:rPr>
              <w:t xml:space="preserve">Delivers a mobile-first interface that scales across devices, ensuring real-time access to records during any interaction.</w:t>
            </w:r>
          </w:p>
        </w:tc>
      </w:tr>
    </w:tbl>
    <w:sectPr>
      <w:headerReference w:type="default" r:id="rId9"/>
      <w:footerReference w:type="default" r:id="rId10"/>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space="4"/>
      </w:pBdr>
      <w:spacing w:before="80"/>
    </w:pPr>
    <w:r>
      <w:rPr>
        <w:rFonts w:ascii="Arial" w:cs="Arial" w:eastAsia="Arial" w:hAnsi="Arial"/>
        <w:color w:val="333333"/>
        <w:sz w:val="16"/>
        <w:szCs w:val="16"/>
      </w:rPr>
      <w:t xml:space="preserve">Contact Us:     </w:t>
    </w:r>
    <w:r>
      <w:rPr>
        <w:rFonts w:ascii="Arial" w:cs="Arial" w:eastAsia="Arial" w:hAnsi="Arial"/>
        <w:color w:val="3A7BBF"/>
        <w:sz w:val="16"/>
        <w:szCs w:val="16"/>
      </w:rPr>
      <w:t xml:space="preserve">www.monkton.io</w:t>
    </w:r>
    <w:r>
      <w:rPr>
        <w:rFonts w:ascii="Arial" w:cs="Arial" w:eastAsia="Arial" w:hAnsi="Arial"/>
        <w:color w:val="333333"/>
        <w:sz w:val="16"/>
        <w:szCs w:val="16"/>
      </w:rPr>
      <w:t xml:space="preserve">  |  +44 7796 008167  |  lee.hannaford@monkton.io</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space="4"/>
      </w:pBdr>
      <w:spacing w:before="80"/>
    </w:pPr>
    <w:r>
      <w:rPr>
        <w:rFonts w:ascii="Arial" w:cs="Arial" w:eastAsia="Arial" w:hAnsi="Arial"/>
        <w:color w:val="333333"/>
        <w:sz w:val="16"/>
        <w:szCs w:val="16"/>
      </w:rPr>
      <w:t xml:space="preserve">Contact Us:     </w:t>
    </w:r>
    <w:r>
      <w:rPr>
        <w:rFonts w:ascii="Arial" w:cs="Arial" w:eastAsia="Arial" w:hAnsi="Arial"/>
        <w:color w:val="3A7BBF"/>
        <w:sz w:val="16"/>
        <w:szCs w:val="16"/>
      </w:rPr>
      <w:t xml:space="preserve">www.monkton.io</w:t>
    </w:r>
    <w:r>
      <w:rPr>
        <w:rFonts w:ascii="Arial" w:cs="Arial" w:eastAsia="Arial" w:hAnsi="Arial"/>
        <w:color w:val="333333"/>
        <w:sz w:val="16"/>
        <w:szCs w:val="16"/>
      </w:rPr>
      <w:t xml:space="preserve">  |  +44 7796 008167  |  lee.hannaford@monkton.io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b/>
        <w:bCs/>
        <w:color w:val="1B3A5C"/>
        <w:sz w:val="16"/>
        <w:szCs w:val="16"/>
      </w:rPr>
      <w:t xml:space="preserve">FVEY Compliant</w:t>
    </w:r>
  </w:p>
  <w:p>
    <w:pPr>
      <w:spacing w:after="0"/>
      <w:jc w:val="right"/>
    </w:pPr>
    <w:r>
      <w:rPr>
        <w:rFonts w:ascii="Arial" w:cs="Arial" w:eastAsia="Arial" w:hAnsi="Arial"/>
        <w:b/>
        <w:bCs/>
        <w:color w:val="3A7BBF"/>
        <w:sz w:val="14"/>
        <w:szCs w:val="14"/>
      </w:rPr>
      <w:t xml:space="preserve">HARDENED SOLUTIONS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b/>
        <w:bCs/>
        <w:color w:val="1B3A5C"/>
        <w:sz w:val="16"/>
        <w:szCs w:val="16"/>
      </w:rPr>
      <w:t xml:space="preserve">FVEY Compliant</w:t>
    </w:r>
  </w:p>
  <w:p>
    <w:pPr>
      <w:spacing w:after="0"/>
      <w:jc w:val="right"/>
    </w:pPr>
    <w:r>
      <w:rPr>
        <w:rFonts w:ascii="Arial" w:cs="Arial" w:eastAsia="Arial" w:hAnsi="Arial"/>
        <w:b/>
        <w:bCs/>
        <w:color w:val="3A7BBF"/>
        <w:sz w:val="14"/>
        <w:szCs w:val="14"/>
      </w:rPr>
      <w:t xml:space="preserve">HARDENED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1B3A5C"/>
      <w:sz w:val="36"/>
      <w:szCs w:val="36"/>
    </w:rPr>
  </w:style>
  <w:style w:type="paragraph" w:styleId="Heading2">
    <w:name w:val="Heading 2"/>
    <w:basedOn w:val="Normal"/>
    <w:next w:val="Normal"/>
    <w:qFormat/>
    <w:pPr>
      <w:spacing w:after="80" w:before="160"/>
      <w:outlineLvl w:val="1"/>
    </w:pPr>
    <w:rPr>
      <w:rFonts w:ascii="Arial" w:cs="Arial" w:eastAsia="Arial" w:hAnsi="Arial"/>
      <w:b/>
      <w:bCs/>
      <w:color w:val="2E5A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2026-03-10T15:49:36.295Z</dcterms:created>
  <dcterms:modified xsi:type="dcterms:W3CDTF">2026-03-10T15:49:36.295Z</dcterms:modified>
</cp:coreProperties>
</file>

<file path=docProps/custom.xml><?xml version="1.0" encoding="utf-8"?>
<Properties xmlns="http://schemas.openxmlformats.org/officeDocument/2006/custom-properties" xmlns:vt="http://schemas.openxmlformats.org/officeDocument/2006/docPropsVTypes"/>
</file>