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00"/>
        <w:jc w:val="center"/>
      </w:pPr>
      <w:r>
        <w:rPr>
          <w:rFonts w:ascii="Arial" w:cs="Arial" w:eastAsia="Arial" w:hAnsi="Arial"/>
          <w:b/>
          <w:bCs/>
          <w:sz w:val="32"/>
          <w:szCs w:val="32"/>
        </w:rPr>
        <w:t xml:space="preserve">SCHEDULE 1</w:t>
      </w:r>
    </w:p>
    <w:p>
      <w:pPr>
        <w:spacing w:after="100"/>
        <w:jc w:val="center"/>
      </w:pPr>
      <w:r>
        <w:rPr>
          <w:rFonts w:ascii="Arial" w:cs="Arial" w:eastAsia="Arial" w:hAnsi="Arial"/>
          <w:b/>
          <w:bCs/>
          <w:sz w:val="28"/>
          <w:szCs w:val="28"/>
        </w:rPr>
        <w:t xml:space="preserve">COMMISSION &amp; COMPENSATION SCHEDULE</w:t>
      </w:r>
    </w:p>
    <w:p>
      <w:pPr>
        <w:spacing w:after="400"/>
        <w:jc w:val="center"/>
      </w:pPr>
      <w:r>
        <w:rPr>
          <w:rFonts w:ascii="Arial" w:cs="Arial" w:eastAsia="Arial" w:hAnsi="Arial"/>
          <w:i/>
          <w:iCs/>
          <w:color w:val="666666"/>
          <w:sz w:val="22"/>
          <w:szCs w:val="22"/>
        </w:rPr>
        <w:t xml:space="preserve">Pursuant to the Independent Contractor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Approved By</w:t>
            </w:r>
          </w:p>
        </w:tc>
        <w:tc>
          <w:tcPr>
            <w:tcW w:type="dxa" w:w="2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[Name]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Initial version</w:t>
            </w:r>
          </w:p>
        </w:tc>
      </w:tr>
    </w:tbl>
    <w:p>
      <w:pPr>
        <w:spacing w:after="300"/>
      </w:pPr>
    </w:p>
    <w:p>
      <w:pPr>
        <w:pStyle w:val="Heading1"/>
        <w:spacing w:after="200" w:before="360"/>
      </w:pPr>
      <w:r>
        <w:rPr>
          <w:rFonts w:ascii="Arial" w:cs="Arial" w:eastAsia="Arial" w:hAnsi="Arial"/>
          <w:b/>
          <w:bCs/>
          <w:sz w:val="28"/>
          <w:szCs w:val="28"/>
        </w:rPr>
        <w:t xml:space="preserve">1. BASE COMMISSION RATES</w:t>
      </w:r>
    </w:p>
    <w:p>
      <w:pPr>
        <w:spacing w:after="120" w:line="276"/>
      </w:pPr>
      <w:r>
        <w:rPr>
          <w:rFonts w:ascii="Arial" w:cs="Arial" w:eastAsia="Arial" w:hAnsi="Arial"/>
          <w:sz w:val="22"/>
          <w:szCs w:val="22"/>
        </w:rPr>
        <w:t xml:space="preserve">Commission is calculated as a percentage of the first-year Annual Contract Value (“ACV”) of each Eligible Contract, based on cash collected by Monkton from the Customer.</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First-Year ACV Band</w:t>
            </w:r>
          </w:p>
        </w:tc>
        <w:tc>
          <w:tcPr>
            <w:tcW w:type="dxa" w:w="276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Commission Rate</w:t>
            </w:r>
          </w:p>
        </w:tc>
        <w:tc>
          <w:tcPr>
            <w:tcW w:type="dxa" w:w="276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Indicative Commission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Up to £25,000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15%</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Up to £3,750</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sz w:val="20"/>
                <w:szCs w:val="20"/>
              </w:rPr>
              <w:t xml:space="preserve">£25,001 – £75,000</w:t>
            </w:r>
          </w:p>
        </w:tc>
        <w:tc>
          <w:tcPr>
            <w:tcW w:type="dxa" w:w="276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sz w:val="20"/>
                <w:szCs w:val="20"/>
              </w:rPr>
              <w:t xml:space="preserve">12%</w:t>
            </w:r>
          </w:p>
        </w:tc>
        <w:tc>
          <w:tcPr>
            <w:tcW w:type="dxa" w:w="276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sz w:val="20"/>
                <w:szCs w:val="20"/>
              </w:rPr>
              <w:t xml:space="preserve">£3,000 – £9,000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£75,001 – £150,000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£7,500 – £15,000</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sz w:val="20"/>
                <w:szCs w:val="20"/>
              </w:rPr>
              <w:t xml:space="preserve">£150,001+</w:t>
            </w:r>
          </w:p>
        </w:tc>
        <w:tc>
          <w:tcPr>
            <w:tcW w:type="dxa" w:w="276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sz w:val="20"/>
                <w:szCs w:val="20"/>
              </w:rPr>
              <w:t xml:space="preserve">8%</w:t>
            </w:r>
          </w:p>
        </w:tc>
        <w:tc>
          <w:tcPr>
            <w:tcW w:type="dxa" w:w="276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sz w:val="20"/>
                <w:szCs w:val="20"/>
              </w:rPr>
              <w:t xml:space="preserve">£12,000+</w:t>
            </w:r>
          </w:p>
        </w:tc>
      </w:tr>
    </w:tbl>
    <w:p>
      <w:pPr>
        <w:spacing w:after="120"/>
      </w:pPr>
    </w:p>
    <w:p>
      <w:pPr>
        <w:spacing w:after="120" w:line="276"/>
      </w:pPr>
      <w:r>
        <w:rPr>
          <w:rFonts w:ascii="Arial" w:cs="Arial" w:eastAsia="Arial" w:hAnsi="Arial"/>
          <w:b/>
          <w:bCs/>
          <w:sz w:val="22"/>
          <w:szCs w:val="22"/>
        </w:rPr>
        <w:t xml:space="preserve">Notes:</w:t>
      </w:r>
    </w:p>
    <w:p>
      <w:pPr>
        <w:spacing w:after="120" w:line="276"/>
        <w:ind w:left="720" w:hanging="360"/>
      </w:pPr>
      <w:r>
        <w:rPr>
          <w:rFonts w:ascii="Arial" w:cs="Arial" w:eastAsia="Arial" w:hAnsi="Arial"/>
          <w:b/>
          <w:bCs/>
          <w:sz w:val="22"/>
          <w:szCs w:val="22"/>
        </w:rPr>
        <w:t xml:space="preserve">(a) </w:t>
      </w:r>
      <w:r>
        <w:rPr>
          <w:rFonts w:ascii="Arial" w:cs="Arial" w:eastAsia="Arial" w:hAnsi="Arial"/>
          <w:sz w:val="22"/>
          <w:szCs w:val="22"/>
        </w:rPr>
        <w:t xml:space="preserve">ACV means the total annualised value of the Eligible Contract in its first year, excluding VAT.</w:t>
      </w:r>
    </w:p>
    <w:p>
      <w:pPr>
        <w:spacing w:after="120" w:line="276"/>
        <w:ind w:left="720" w:hanging="360"/>
      </w:pPr>
      <w:r>
        <w:rPr>
          <w:rFonts w:ascii="Arial" w:cs="Arial" w:eastAsia="Arial" w:hAnsi="Arial"/>
          <w:b/>
          <w:bCs/>
          <w:sz w:val="22"/>
          <w:szCs w:val="22"/>
        </w:rPr>
        <w:t xml:space="preserve">(b) </w:t>
      </w:r>
      <w:r>
        <w:rPr>
          <w:rFonts w:ascii="Arial" w:cs="Arial" w:eastAsia="Arial" w:hAnsi="Arial"/>
          <w:sz w:val="22"/>
          <w:szCs w:val="22"/>
        </w:rPr>
        <w:t xml:space="preserve">Where a deal spans multiple ACV bands, the rate applicable to the total ACV band applies to the entire deal (not blended).</w:t>
      </w:r>
    </w:p>
    <w:p>
      <w:pPr>
        <w:spacing w:after="120" w:line="276"/>
        <w:ind w:left="720" w:hanging="360"/>
      </w:pPr>
      <w:r>
        <w:rPr>
          <w:rFonts w:ascii="Arial" w:cs="Arial" w:eastAsia="Arial" w:hAnsi="Arial"/>
          <w:b/>
          <w:bCs/>
          <w:sz w:val="22"/>
          <w:szCs w:val="22"/>
        </w:rPr>
        <w:t xml:space="preserve">(c) </w:t>
      </w:r>
      <w:r>
        <w:rPr>
          <w:rFonts w:ascii="Arial" w:cs="Arial" w:eastAsia="Arial" w:hAnsi="Arial"/>
          <w:sz w:val="22"/>
          <w:szCs w:val="22"/>
        </w:rPr>
        <w:t xml:space="preserve">Commission is calculated on cash collected by Monkton, not on invoiced or contracted amounts.</w:t>
      </w:r>
    </w:p>
    <w:p>
      <w:pPr>
        <w:pStyle w:val="Heading1"/>
        <w:spacing w:after="200" w:before="360"/>
      </w:pPr>
      <w:r>
        <w:rPr>
          <w:rFonts w:ascii="Arial" w:cs="Arial" w:eastAsia="Arial" w:hAnsi="Arial"/>
          <w:b/>
          <w:bCs/>
          <w:sz w:val="28"/>
          <w:szCs w:val="28"/>
        </w:rPr>
        <w:t xml:space="preserve">2. ACCELERATORS</w:t>
      </w:r>
    </w:p>
    <w:p>
      <w:pPr>
        <w:spacing w:after="120" w:line="276"/>
      </w:pPr>
      <w:r>
        <w:rPr>
          <w:rFonts w:ascii="Arial" w:cs="Arial" w:eastAsia="Arial" w:hAnsi="Arial"/>
          <w:sz w:val="22"/>
          <w:szCs w:val="22"/>
        </w:rPr>
        <w:t xml:space="preserve">When a Contractor exceeds their quarterly closed-won target, the commission rate on deals closed above the target threshold increases as follows: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Quarterly Performance</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Rate Multiplier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100–149% of target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1.0x (base rate applies)</w:t>
            </w:r>
          </w:p>
        </w:tc>
      </w:tr>
      <w:tr>
        <w:tc>
          <w:tcPr>
            <w:tcW w:type="dxa" w:w="45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sz w:val="20"/>
                <w:szCs w:val="20"/>
              </w:rPr>
              <w:t xml:space="preserve">150–199% of target</w:t>
            </w:r>
          </w:p>
        </w:tc>
        <w:tc>
          <w:tcPr>
            <w:tcW w:type="dxa" w:w="45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sz w:val="20"/>
                <w:szCs w:val="20"/>
              </w:rPr>
              <w:t xml:space="preserve">1.25x base rate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200%+ of target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1.5x base rate</w:t>
            </w:r>
          </w:p>
        </w:tc>
      </w:tr>
    </w:tbl>
    <w:p>
      <w:pPr>
        <w:spacing w:after="120"/>
      </w:pPr>
    </w:p>
    <w:p>
      <w:pPr>
        <w:spacing w:after="120" w:line="276"/>
      </w:pPr>
      <w:r>
        <w:rPr>
          <w:rFonts w:ascii="Arial" w:cs="Arial" w:eastAsia="Arial" w:hAnsi="Arial"/>
          <w:b/>
          <w:bCs/>
          <w:sz w:val="22"/>
          <w:szCs w:val="22"/>
        </w:rPr>
        <w:t xml:space="preserve">Notes:</w:t>
      </w:r>
    </w:p>
    <w:p>
      <w:pPr>
        <w:spacing w:after="120" w:line="276"/>
        <w:ind w:left="720" w:hanging="360"/>
      </w:pPr>
      <w:r>
        <w:rPr>
          <w:rFonts w:ascii="Arial" w:cs="Arial" w:eastAsia="Arial" w:hAnsi="Arial"/>
          <w:b/>
          <w:bCs/>
          <w:sz w:val="22"/>
          <w:szCs w:val="22"/>
        </w:rPr>
        <w:t xml:space="preserve">(a) </w:t>
      </w:r>
      <w:r>
        <w:rPr>
          <w:rFonts w:ascii="Arial" w:cs="Arial" w:eastAsia="Arial" w:hAnsi="Arial"/>
          <w:sz w:val="22"/>
          <w:szCs w:val="22"/>
        </w:rPr>
        <w:t xml:space="preserve">Accelerators apply only to the portion of closed-won ACV that exceeds the target threshold for that quarter.</w:t>
      </w:r>
    </w:p>
    <w:p>
      <w:pPr>
        <w:spacing w:after="120" w:line="276"/>
        <w:ind w:left="720" w:hanging="360"/>
      </w:pPr>
      <w:r>
        <w:rPr>
          <w:rFonts w:ascii="Arial" w:cs="Arial" w:eastAsia="Arial" w:hAnsi="Arial"/>
          <w:b/>
          <w:bCs/>
          <w:sz w:val="22"/>
          <w:szCs w:val="22"/>
        </w:rPr>
        <w:t xml:space="preserve">(b) </w:t>
      </w:r>
      <w:r>
        <w:rPr>
          <w:rFonts w:ascii="Arial" w:cs="Arial" w:eastAsia="Arial" w:hAnsi="Arial"/>
          <w:sz w:val="22"/>
          <w:szCs w:val="22"/>
        </w:rPr>
        <w:t xml:space="preserve">Quarterly targets will be set by Monkton at the start of each quarter and communicated to the Contractor in writing.</w:t>
      </w:r>
    </w:p>
    <w:p>
      <w:pPr>
        <w:spacing w:after="120" w:line="276"/>
        <w:ind w:left="720" w:hanging="360"/>
      </w:pPr>
      <w:r>
        <w:rPr>
          <w:rFonts w:ascii="Arial" w:cs="Arial" w:eastAsia="Arial" w:hAnsi="Arial"/>
          <w:b/>
          <w:bCs/>
          <w:sz w:val="22"/>
          <w:szCs w:val="22"/>
        </w:rPr>
        <w:t xml:space="preserve">(c) </w:t>
      </w:r>
      <w:r>
        <w:rPr>
          <w:rFonts w:ascii="Arial" w:cs="Arial" w:eastAsia="Arial" w:hAnsi="Arial"/>
          <w:sz w:val="22"/>
          <w:szCs w:val="22"/>
        </w:rPr>
        <w:t xml:space="preserve">If no quarterly target has been set, accelerators do not apply and the base rate applies to all deals.</w:t>
      </w:r>
    </w:p>
    <w:p>
      <w:pPr>
        <w:pStyle w:val="Heading1"/>
        <w:spacing w:after="200" w:before="360"/>
      </w:pPr>
      <w:r>
        <w:rPr>
          <w:rFonts w:ascii="Arial" w:cs="Arial" w:eastAsia="Arial" w:hAnsi="Arial"/>
          <w:b/>
          <w:bCs/>
          <w:sz w:val="28"/>
          <w:szCs w:val="28"/>
        </w:rPr>
        <w:t xml:space="preserve">3. CLAWBACK</w:t>
      </w:r>
    </w:p>
    <w:p>
      <w:pPr>
        <w:spacing w:after="120" w:line="276"/>
      </w:pPr>
      <w:r>
        <w:rPr>
          <w:rFonts w:ascii="Arial" w:cs="Arial" w:eastAsia="Arial" w:hAnsi="Arial"/>
          <w:b/>
          <w:bCs/>
          <w:sz w:val="22"/>
          <w:szCs w:val="22"/>
        </w:rPr>
        <w:t xml:space="preserve">3.1 Clawback Period. </w:t>
      </w:r>
      <w:r>
        <w:rPr>
          <w:rFonts w:ascii="Arial" w:cs="Arial" w:eastAsia="Arial" w:hAnsi="Arial"/>
          <w:sz w:val="22"/>
          <w:szCs w:val="22"/>
        </w:rPr>
        <w:t xml:space="preserve">The Clawback Period is 180 days from the date of the Customer’s first payment under the Eligible Contract.</w:t>
      </w:r>
    </w:p>
    <w:p>
      <w:pPr>
        <w:spacing w:after="120" w:line="276"/>
      </w:pPr>
      <w:r>
        <w:rPr>
          <w:rFonts w:ascii="Arial" w:cs="Arial" w:eastAsia="Arial" w:hAnsi="Arial"/>
          <w:b/>
          <w:bCs/>
          <w:sz w:val="22"/>
          <w:szCs w:val="22"/>
        </w:rPr>
        <w:t xml:space="preserve">3.2 Trigger Events. </w:t>
      </w:r>
      <w:r>
        <w:rPr>
          <w:rFonts w:ascii="Arial" w:cs="Arial" w:eastAsia="Arial" w:hAnsi="Arial"/>
          <w:sz w:val="22"/>
          <w:szCs w:val="22"/>
        </w:rPr>
        <w:t xml:space="preserve">A clawback applies if, during the Clawback Period, the Customer:</w:t>
      </w:r>
    </w:p>
    <w:p>
      <w:pPr>
        <w:spacing w:after="120" w:line="276"/>
        <w:ind w:left="720" w:hanging="360"/>
      </w:pPr>
      <w:r>
        <w:rPr>
          <w:rFonts w:ascii="Arial" w:cs="Arial" w:eastAsia="Arial" w:hAnsi="Arial"/>
          <w:b/>
          <w:bCs/>
          <w:sz w:val="22"/>
          <w:szCs w:val="22"/>
        </w:rPr>
        <w:t xml:space="preserve">(a) </w:t>
      </w:r>
      <w:r>
        <w:rPr>
          <w:rFonts w:ascii="Arial" w:cs="Arial" w:eastAsia="Arial" w:hAnsi="Arial"/>
          <w:sz w:val="22"/>
          <w:szCs w:val="22"/>
        </w:rPr>
        <w:t xml:space="preserve">terminates the Eligible Contract;</w:t>
      </w:r>
    </w:p>
    <w:p>
      <w:pPr>
        <w:spacing w:after="120" w:line="276"/>
        <w:ind w:left="720" w:hanging="360"/>
      </w:pPr>
      <w:r>
        <w:rPr>
          <w:rFonts w:ascii="Arial" w:cs="Arial" w:eastAsia="Arial" w:hAnsi="Arial"/>
          <w:b/>
          <w:bCs/>
          <w:sz w:val="22"/>
          <w:szCs w:val="22"/>
        </w:rPr>
        <w:t xml:space="preserve">(b) </w:t>
      </w:r>
      <w:r>
        <w:rPr>
          <w:rFonts w:ascii="Arial" w:cs="Arial" w:eastAsia="Arial" w:hAnsi="Arial"/>
          <w:sz w:val="22"/>
          <w:szCs w:val="22"/>
        </w:rPr>
        <w:t xml:space="preserve">cancels or fails to renew (where the initial term is less than 12 months);</w:t>
      </w:r>
    </w:p>
    <w:p>
      <w:pPr>
        <w:spacing w:after="120" w:line="276"/>
        <w:ind w:left="720" w:hanging="360"/>
      </w:pPr>
      <w:r>
        <w:rPr>
          <w:rFonts w:ascii="Arial" w:cs="Arial" w:eastAsia="Arial" w:hAnsi="Arial"/>
          <w:b/>
          <w:bCs/>
          <w:sz w:val="22"/>
          <w:szCs w:val="22"/>
        </w:rPr>
        <w:t xml:space="preserve">(c) </w:t>
      </w:r>
      <w:r>
        <w:rPr>
          <w:rFonts w:ascii="Arial" w:cs="Arial" w:eastAsia="Arial" w:hAnsi="Arial"/>
          <w:sz w:val="22"/>
          <w:szCs w:val="22"/>
        </w:rPr>
        <w:t xml:space="preserve">downgrades to a lower-value plan or reduces scope such that the effective ACV decreases by more than 25%; or</w:t>
      </w:r>
    </w:p>
    <w:p>
      <w:pPr>
        <w:spacing w:after="120" w:line="276"/>
        <w:ind w:left="720" w:hanging="360"/>
      </w:pPr>
      <w:r>
        <w:rPr>
          <w:rFonts w:ascii="Arial" w:cs="Arial" w:eastAsia="Arial" w:hAnsi="Arial"/>
          <w:b/>
          <w:bCs/>
          <w:sz w:val="22"/>
          <w:szCs w:val="22"/>
        </w:rPr>
        <w:t xml:space="preserve">(d) </w:t>
      </w:r>
      <w:r>
        <w:rPr>
          <w:rFonts w:ascii="Arial" w:cs="Arial" w:eastAsia="Arial" w:hAnsi="Arial"/>
          <w:sz w:val="22"/>
          <w:szCs w:val="22"/>
        </w:rPr>
        <w:t xml:space="preserve">fails to make payment and the contract is terminated by Monkton for non-payment.</w:t>
      </w:r>
    </w:p>
    <w:p>
      <w:pPr>
        <w:spacing w:after="120" w:line="276"/>
      </w:pPr>
      <w:r>
        <w:rPr>
          <w:rFonts w:ascii="Arial" w:cs="Arial" w:eastAsia="Arial" w:hAnsi="Arial"/>
          <w:b/>
          <w:bCs/>
          <w:sz w:val="22"/>
          <w:szCs w:val="22"/>
        </w:rPr>
        <w:t xml:space="preserve">3.3 Calculation. </w:t>
      </w:r>
      <w:r>
        <w:rPr>
          <w:rFonts w:ascii="Arial" w:cs="Arial" w:eastAsia="Arial" w:hAnsi="Arial"/>
          <w:sz w:val="22"/>
          <w:szCs w:val="22"/>
        </w:rPr>
        <w:t xml:space="preserve">Clawback is calculated on a pro-rata basis:</w:t>
      </w:r>
    </w:p>
    <w:p>
      <w:pPr>
        <w:spacing w:after="120" w:line="276"/>
        <w:ind w:left="720"/>
      </w:pPr>
      <w:r>
        <w:rPr>
          <w:rFonts w:ascii="Arial" w:cs="Arial" w:eastAsia="Arial" w:hAnsi="Arial"/>
          <w:sz w:val="22"/>
          <w:szCs w:val="22"/>
        </w:rPr>
        <w:t xml:space="preserve">Clawback Amount = Commission Paid × (Remaining Clawback Days ÷ Total Clawback Days)</w:t>
      </w:r>
    </w:p>
    <w:p>
      <w:pPr>
        <w:spacing w:after="120" w:line="276"/>
      </w:pPr>
      <w:r>
        <w:rPr>
          <w:rFonts w:ascii="Arial" w:cs="Arial" w:eastAsia="Arial" w:hAnsi="Arial"/>
          <w:b/>
          <w:bCs/>
          <w:sz w:val="22"/>
          <w:szCs w:val="22"/>
        </w:rPr>
        <w:t xml:space="preserve">3.4 Recovery. </w:t>
      </w:r>
      <w:r>
        <w:rPr>
          <w:rFonts w:ascii="Arial" w:cs="Arial" w:eastAsia="Arial" w:hAnsi="Arial"/>
          <w:sz w:val="22"/>
          <w:szCs w:val="22"/>
        </w:rPr>
        <w:t xml:space="preserve">Monkton may recover the clawback amount by: (a) offsetting against future Commission payments; or (b) issuing an invoice to the Contractor, payable within 30 days.</w:t>
      </w:r>
    </w:p>
    <w:p>
      <w:pPr>
        <w:spacing w:after="120" w:line="276"/>
      </w:pPr>
      <w:r>
        <w:rPr>
          <w:rFonts w:ascii="Arial" w:cs="Arial" w:eastAsia="Arial" w:hAnsi="Arial"/>
          <w:b/>
          <w:bCs/>
          <w:sz w:val="22"/>
          <w:szCs w:val="22"/>
        </w:rPr>
        <w:t xml:space="preserve">3.5 Example:</w:t>
      </w:r>
    </w:p>
    <w:p>
      <w:pPr>
        <w:spacing w:after="120" w:line="276"/>
        <w:ind w:left="720"/>
      </w:pPr>
      <w:r>
        <w:rPr>
          <w:rFonts w:ascii="Arial" w:cs="Arial" w:eastAsia="Arial" w:hAnsi="Arial"/>
          <w:sz w:val="20"/>
          <w:szCs w:val="20"/>
        </w:rPr>
        <w:t xml:space="preserve">Deal ACV: £50,000. Commission paid: £6,000 (12%). Customer cancels at day 60 of 180-day Clawback Period. Remaining days: 120. Clawback = £6,000 × (120/180) = £4,000 repayable.</w:t>
      </w:r>
    </w:p>
    <w:p>
      <w:pPr>
        <w:pStyle w:val="Heading1"/>
        <w:spacing w:after="200" w:before="360"/>
      </w:pPr>
      <w:r>
        <w:rPr>
          <w:rFonts w:ascii="Arial" w:cs="Arial" w:eastAsia="Arial" w:hAnsi="Arial"/>
          <w:b/>
          <w:bCs/>
          <w:sz w:val="28"/>
          <w:szCs w:val="28"/>
        </w:rPr>
        <w:t xml:space="preserve">4. DEAL REGISTRATION RULES</w:t>
      </w:r>
    </w:p>
    <w:p>
      <w:pPr>
        <w:spacing w:after="120" w:line="276"/>
      </w:pPr>
      <w:r>
        <w:rPr>
          <w:rFonts w:ascii="Arial" w:cs="Arial" w:eastAsia="Arial" w:hAnsi="Arial"/>
          <w:b/>
          <w:bCs/>
          <w:sz w:val="22"/>
          <w:szCs w:val="22"/>
        </w:rPr>
        <w:t xml:space="preserve">4.1 Registration Window. </w:t>
      </w:r>
      <w:r>
        <w:rPr>
          <w:rFonts w:ascii="Arial" w:cs="Arial" w:eastAsia="Arial" w:hAnsi="Arial"/>
          <w:sz w:val="22"/>
          <w:szCs w:val="22"/>
        </w:rPr>
        <w:t xml:space="preserve">An accepted Deal Registration is valid for 90 days from the date of acceptance.</w:t>
      </w:r>
    </w:p>
    <w:p>
      <w:pPr>
        <w:spacing w:after="120" w:line="276"/>
      </w:pPr>
      <w:r>
        <w:rPr>
          <w:rFonts w:ascii="Arial" w:cs="Arial" w:eastAsia="Arial" w:hAnsi="Arial"/>
          <w:b/>
          <w:bCs/>
          <w:sz w:val="22"/>
          <w:szCs w:val="22"/>
        </w:rPr>
        <w:t xml:space="preserve">4.2 Extension. </w:t>
      </w:r>
      <w:r>
        <w:rPr>
          <w:rFonts w:ascii="Arial" w:cs="Arial" w:eastAsia="Arial" w:hAnsi="Arial"/>
          <w:sz w:val="22"/>
          <w:szCs w:val="22"/>
        </w:rPr>
        <w:t xml:space="preserve">If the opportunity remains active and the Contractor can demonstrate meaningful progression, Monkton may grant a 90-day extension at its discretion.</w:t>
      </w:r>
    </w:p>
    <w:p>
      <w:pPr>
        <w:spacing w:after="120" w:line="276"/>
      </w:pPr>
      <w:r>
        <w:rPr>
          <w:rFonts w:ascii="Arial" w:cs="Arial" w:eastAsia="Arial" w:hAnsi="Arial"/>
          <w:b/>
          <w:bCs/>
          <w:sz w:val="22"/>
          <w:szCs w:val="22"/>
        </w:rPr>
        <w:t xml:space="preserve">4.3 Expiry. </w:t>
      </w:r>
      <w:r>
        <w:rPr>
          <w:rFonts w:ascii="Arial" w:cs="Arial" w:eastAsia="Arial" w:hAnsi="Arial"/>
          <w:sz w:val="22"/>
          <w:szCs w:val="22"/>
        </w:rPr>
        <w:t xml:space="preserve">If an Eligible Contract is not executed within the Deal Registration Window (including any extension), the Contractor’s priority on that opportunity lapses and no Commission is payable.</w:t>
      </w:r>
    </w:p>
    <w:p>
      <w:pPr>
        <w:spacing w:after="120" w:line="276"/>
      </w:pPr>
      <w:r>
        <w:rPr>
          <w:rFonts w:ascii="Arial" w:cs="Arial" w:eastAsia="Arial" w:hAnsi="Arial"/>
          <w:b/>
          <w:bCs/>
          <w:sz w:val="22"/>
          <w:szCs w:val="22"/>
        </w:rPr>
        <w:t xml:space="preserve">4.4 Competing Registrations. </w:t>
      </w:r>
      <w:r>
        <w:rPr>
          <w:rFonts w:ascii="Arial" w:cs="Arial" w:eastAsia="Arial" w:hAnsi="Arial"/>
          <w:sz w:val="22"/>
          <w:szCs w:val="22"/>
        </w:rPr>
        <w:t xml:space="preserve">If two or more contractors register the same opportunity, priority is determined by: (a) the date of first registration; and (b) the quality and depth of the registered information. Monkton’s determination shall be final.</w:t>
      </w:r>
    </w:p>
    <w:p>
      <w:pPr>
        <w:spacing w:after="120" w:line="276"/>
      </w:pPr>
      <w:r>
        <w:rPr>
          <w:rFonts w:ascii="Arial" w:cs="Arial" w:eastAsia="Arial" w:hAnsi="Arial"/>
          <w:b/>
          <w:bCs/>
          <w:sz w:val="22"/>
          <w:szCs w:val="22"/>
        </w:rPr>
        <w:t xml:space="preserve">4.5 Split Deals. </w:t>
      </w:r>
      <w:r>
        <w:rPr>
          <w:rFonts w:ascii="Arial" w:cs="Arial" w:eastAsia="Arial" w:hAnsi="Arial"/>
          <w:sz w:val="22"/>
          <w:szCs w:val="22"/>
        </w:rPr>
        <w:t xml:space="preserve">Where multiple contractors contribute materially to a single deal, Monkton may, at its reasonable discretion, split the Commission between them. Monkton will consult with the affected contractors before making a determination, but Monkton’s decision shall be final.</w:t>
      </w:r>
    </w:p>
    <w:p>
      <w:pPr>
        <w:pStyle w:val="Heading1"/>
        <w:spacing w:after="200" w:before="360"/>
      </w:pPr>
      <w:r>
        <w:rPr>
          <w:rFonts w:ascii="Arial" w:cs="Arial" w:eastAsia="Arial" w:hAnsi="Arial"/>
          <w:b/>
          <w:bCs/>
          <w:sz w:val="28"/>
          <w:szCs w:val="28"/>
        </w:rPr>
        <w:t xml:space="preserve">5. COMMISSION EXCLUSIONS</w:t>
      </w:r>
    </w:p>
    <w:p>
      <w:pPr>
        <w:spacing w:after="120" w:line="276"/>
      </w:pPr>
      <w:r>
        <w:rPr>
          <w:rFonts w:ascii="Arial" w:cs="Arial" w:eastAsia="Arial" w:hAnsi="Arial"/>
          <w:sz w:val="22"/>
          <w:szCs w:val="22"/>
        </w:rPr>
        <w:t xml:space="preserve">No Commission is payable on:</w:t>
      </w:r>
    </w:p>
    <w:p>
      <w:pPr>
        <w:spacing w:after="120" w:line="276"/>
        <w:ind w:left="720" w:hanging="360"/>
      </w:pPr>
      <w:r>
        <w:rPr>
          <w:rFonts w:ascii="Arial" w:cs="Arial" w:eastAsia="Arial" w:hAnsi="Arial"/>
          <w:b/>
          <w:bCs/>
          <w:sz w:val="22"/>
          <w:szCs w:val="22"/>
        </w:rPr>
        <w:t xml:space="preserve">(a) </w:t>
      </w:r>
      <w:r>
        <w:rPr>
          <w:rFonts w:ascii="Arial" w:cs="Arial" w:eastAsia="Arial" w:hAnsi="Arial"/>
          <w:sz w:val="22"/>
          <w:szCs w:val="22"/>
        </w:rPr>
        <w:t xml:space="preserve">Renewals or extensions not actively sourced or materially supported by the Contractor;</w:t>
      </w:r>
    </w:p>
    <w:p>
      <w:pPr>
        <w:spacing w:after="120" w:line="276"/>
        <w:ind w:left="720" w:hanging="360"/>
      </w:pPr>
      <w:r>
        <w:rPr>
          <w:rFonts w:ascii="Arial" w:cs="Arial" w:eastAsia="Arial" w:hAnsi="Arial"/>
          <w:b/>
          <w:bCs/>
          <w:sz w:val="22"/>
          <w:szCs w:val="22"/>
        </w:rPr>
        <w:t xml:space="preserve">(b) </w:t>
      </w:r>
      <w:r>
        <w:rPr>
          <w:rFonts w:ascii="Arial" w:cs="Arial" w:eastAsia="Arial" w:hAnsi="Arial"/>
          <w:sz w:val="22"/>
          <w:szCs w:val="22"/>
        </w:rPr>
        <w:t xml:space="preserve">Opportunities not registered in accordance with the ICA and this Schedule;</w:t>
      </w:r>
    </w:p>
    <w:p>
      <w:pPr>
        <w:spacing w:after="120" w:line="276"/>
        <w:ind w:left="720" w:hanging="360"/>
      </w:pPr>
      <w:r>
        <w:rPr>
          <w:rFonts w:ascii="Arial" w:cs="Arial" w:eastAsia="Arial" w:hAnsi="Arial"/>
          <w:b/>
          <w:bCs/>
          <w:sz w:val="22"/>
          <w:szCs w:val="22"/>
        </w:rPr>
        <w:t xml:space="preserve">(c) </w:t>
      </w:r>
      <w:r>
        <w:rPr>
          <w:rFonts w:ascii="Arial" w:cs="Arial" w:eastAsia="Arial" w:hAnsi="Arial"/>
          <w:sz w:val="22"/>
          <w:szCs w:val="22"/>
        </w:rPr>
        <w:t xml:space="preserve">Internal referrals or opportunities generated by Monkton’s own employees;</w:t>
      </w:r>
    </w:p>
    <w:p>
      <w:pPr>
        <w:spacing w:after="120" w:line="276"/>
        <w:ind w:left="720" w:hanging="360"/>
      </w:pPr>
      <w:r>
        <w:rPr>
          <w:rFonts w:ascii="Arial" w:cs="Arial" w:eastAsia="Arial" w:hAnsi="Arial"/>
          <w:b/>
          <w:bCs/>
          <w:sz w:val="22"/>
          <w:szCs w:val="22"/>
        </w:rPr>
        <w:t xml:space="preserve">(d) </w:t>
      </w:r>
      <w:r>
        <w:rPr>
          <w:rFonts w:ascii="Arial" w:cs="Arial" w:eastAsia="Arial" w:hAnsi="Arial"/>
          <w:sz w:val="22"/>
          <w:szCs w:val="22"/>
        </w:rPr>
        <w:t xml:space="preserve">Pre-existing pipeline identified by Monkton prior to the Contractor’s Effective Date, unless expressly agreed in writing;</w:t>
      </w:r>
    </w:p>
    <w:p>
      <w:pPr>
        <w:spacing w:after="120" w:line="276"/>
        <w:ind w:left="720" w:hanging="360"/>
      </w:pPr>
      <w:r>
        <w:rPr>
          <w:rFonts w:ascii="Arial" w:cs="Arial" w:eastAsia="Arial" w:hAnsi="Arial"/>
          <w:b/>
          <w:bCs/>
          <w:sz w:val="22"/>
          <w:szCs w:val="22"/>
        </w:rPr>
        <w:t xml:space="preserve">(e) </w:t>
      </w:r>
      <w:r>
        <w:rPr>
          <w:rFonts w:ascii="Arial" w:cs="Arial" w:eastAsia="Arial" w:hAnsi="Arial"/>
          <w:sz w:val="22"/>
          <w:szCs w:val="22"/>
        </w:rPr>
        <w:t xml:space="preserve">Any deal closed after expiry of the Deal Registration Window without a written extension;</w:t>
      </w:r>
    </w:p>
    <w:p>
      <w:pPr>
        <w:spacing w:after="120" w:line="276"/>
        <w:ind w:left="720" w:hanging="360"/>
      </w:pPr>
      <w:r>
        <w:rPr>
          <w:rFonts w:ascii="Arial" w:cs="Arial" w:eastAsia="Arial" w:hAnsi="Arial"/>
          <w:b/>
          <w:bCs/>
          <w:sz w:val="22"/>
          <w:szCs w:val="22"/>
        </w:rPr>
        <w:t xml:space="preserve">(f) </w:t>
      </w:r>
      <w:r>
        <w:rPr>
          <w:rFonts w:ascii="Arial" w:cs="Arial" w:eastAsia="Arial" w:hAnsi="Arial"/>
          <w:sz w:val="22"/>
          <w:szCs w:val="22"/>
        </w:rPr>
        <w:t xml:space="preserve">Revenue from professional services, training, or consulting engagements unless the Opportunity was included in the original Deal Registration and agreed in writing; and</w:t>
      </w:r>
    </w:p>
    <w:p>
      <w:pPr>
        <w:spacing w:after="120" w:line="276"/>
        <w:ind w:left="720" w:hanging="360"/>
      </w:pPr>
      <w:r>
        <w:rPr>
          <w:rFonts w:ascii="Arial" w:cs="Arial" w:eastAsia="Arial" w:hAnsi="Arial"/>
          <w:b/>
          <w:bCs/>
          <w:sz w:val="22"/>
          <w:szCs w:val="22"/>
        </w:rPr>
        <w:t xml:space="preserve">(g) </w:t>
      </w:r>
      <w:r>
        <w:rPr>
          <w:rFonts w:ascii="Arial" w:cs="Arial" w:eastAsia="Arial" w:hAnsi="Arial"/>
          <w:sz w:val="22"/>
          <w:szCs w:val="22"/>
        </w:rPr>
        <w:t xml:space="preserve">Any deal where the Contractor has breached clause 2.4 (Government Procurement Restriction) of the ICA in connection with the opportunity.</w:t>
      </w:r>
    </w:p>
    <w:p>
      <w:pPr>
        <w:pStyle w:val="Heading1"/>
        <w:spacing w:after="200" w:before="360"/>
      </w:pPr>
      <w:r>
        <w:rPr>
          <w:rFonts w:ascii="Arial" w:cs="Arial" w:eastAsia="Arial" w:hAnsi="Arial"/>
          <w:b/>
          <w:bCs/>
          <w:sz w:val="28"/>
          <w:szCs w:val="28"/>
        </w:rPr>
        <w:t xml:space="preserve">6. PAYMENT MECHANICS</w:t>
      </w:r>
    </w:p>
    <w:p>
      <w:pPr>
        <w:spacing w:after="120" w:line="276"/>
      </w:pPr>
      <w:r>
        <w:rPr>
          <w:rFonts w:ascii="Arial" w:cs="Arial" w:eastAsia="Arial" w:hAnsi="Arial"/>
          <w:b/>
          <w:bCs/>
          <w:sz w:val="22"/>
          <w:szCs w:val="22"/>
        </w:rPr>
        <w:t xml:space="preserve">6.1 Invoice. </w:t>
      </w:r>
      <w:r>
        <w:rPr>
          <w:rFonts w:ascii="Arial" w:cs="Arial" w:eastAsia="Arial" w:hAnsi="Arial"/>
          <w:sz w:val="22"/>
          <w:szCs w:val="22"/>
        </w:rPr>
        <w:t xml:space="preserve">The Contractor shall submit a valid invoice to Monkton within 14 days of notification that Commission is due. Invoices must include: the Contractor’s name and address, the Customer name, the Eligible Contract reference, the ACV, the applicable rate, and the Commission amount.</w:t>
      </w:r>
    </w:p>
    <w:p>
      <w:pPr>
        <w:spacing w:after="120" w:line="276"/>
      </w:pPr>
      <w:r>
        <w:rPr>
          <w:rFonts w:ascii="Arial" w:cs="Arial" w:eastAsia="Arial" w:hAnsi="Arial"/>
          <w:b/>
          <w:bCs/>
          <w:sz w:val="22"/>
          <w:szCs w:val="22"/>
        </w:rPr>
        <w:t xml:space="preserve">6.2 Payment. </w:t>
      </w:r>
      <w:r>
        <w:rPr>
          <w:rFonts w:ascii="Arial" w:cs="Arial" w:eastAsia="Arial" w:hAnsi="Arial"/>
          <w:sz w:val="22"/>
          <w:szCs w:val="22"/>
        </w:rPr>
        <w:t xml:space="preserve">Monkton shall pay valid invoices within 30 days of receipt. Payment is by bank transfer in pounds sterling (£ GBP).</w:t>
      </w:r>
    </w:p>
    <w:p>
      <w:pPr>
        <w:spacing w:after="120" w:line="276"/>
      </w:pPr>
      <w:r>
        <w:rPr>
          <w:rFonts w:ascii="Arial" w:cs="Arial" w:eastAsia="Arial" w:hAnsi="Arial"/>
          <w:b/>
          <w:bCs/>
          <w:sz w:val="22"/>
          <w:szCs w:val="22"/>
        </w:rPr>
        <w:t xml:space="preserve">6.3 VAT. </w:t>
      </w:r>
      <w:r>
        <w:rPr>
          <w:rFonts w:ascii="Arial" w:cs="Arial" w:eastAsia="Arial" w:hAnsi="Arial"/>
          <w:sz w:val="22"/>
          <w:szCs w:val="22"/>
        </w:rPr>
        <w:t xml:space="preserve">If the Contractor is VAT-registered, VAT shall be added to the Commission at the prevailing rate and a valid VAT invoice shall be provided.</w:t>
      </w:r>
    </w:p>
    <w:p>
      <w:pPr>
        <w:spacing w:after="120" w:line="276"/>
      </w:pPr>
      <w:r>
        <w:rPr>
          <w:rFonts w:ascii="Arial" w:cs="Arial" w:eastAsia="Arial" w:hAnsi="Arial"/>
          <w:b/>
          <w:bCs/>
          <w:sz w:val="22"/>
          <w:szCs w:val="22"/>
        </w:rPr>
        <w:t xml:space="preserve">6.4 Tax. </w:t>
      </w:r>
      <w:r>
        <w:rPr>
          <w:rFonts w:ascii="Arial" w:cs="Arial" w:eastAsia="Arial" w:hAnsi="Arial"/>
          <w:sz w:val="22"/>
          <w:szCs w:val="22"/>
        </w:rPr>
        <w:t xml:space="preserve">The Contractor is solely responsible for all tax obligations. Monkton will not operate PAYE or make National Insurance contributions in respect of the Contractor.</w:t>
      </w:r>
    </w:p>
    <w:p>
      <w:pPr>
        <w:spacing w:after="120" w:line="276"/>
      </w:pPr>
      <w:r>
        <w:rPr>
          <w:rFonts w:ascii="Arial" w:cs="Arial" w:eastAsia="Arial" w:hAnsi="Arial"/>
          <w:b/>
          <w:bCs/>
          <w:sz w:val="22"/>
          <w:szCs w:val="22"/>
        </w:rPr>
        <w:t xml:space="preserve">6.5 Currency. </w:t>
      </w:r>
      <w:r>
        <w:rPr>
          <w:rFonts w:ascii="Arial" w:cs="Arial" w:eastAsia="Arial" w:hAnsi="Arial"/>
          <w:sz w:val="22"/>
          <w:szCs w:val="22"/>
        </w:rPr>
        <w:t xml:space="preserve">All Commission is denominated and payable in pounds sterling. Where the underlying Eligible Contract is denominated in another currency, conversion shall be at the Bank of England spot rate on the date the Customer’s payment is received by Monkton.</w:t>
      </w:r>
    </w:p>
    <w:p>
      <w:pPr>
        <w:pStyle w:val="Heading1"/>
        <w:spacing w:after="200" w:before="360"/>
      </w:pPr>
      <w:r>
        <w:rPr>
          <w:rFonts w:ascii="Arial" w:cs="Arial" w:eastAsia="Arial" w:hAnsi="Arial"/>
          <w:b/>
          <w:bCs/>
          <w:sz w:val="28"/>
          <w:szCs w:val="28"/>
        </w:rPr>
        <w:t xml:space="preserve">7. COMMISSION ON TERMINATION</w:t>
      </w:r>
    </w:p>
    <w:p>
      <w:pPr>
        <w:spacing w:after="120" w:line="276"/>
      </w:pPr>
      <w:r>
        <w:rPr>
          <w:rFonts w:ascii="Arial" w:cs="Arial" w:eastAsia="Arial" w:hAnsi="Arial"/>
          <w:sz w:val="22"/>
          <w:szCs w:val="22"/>
        </w:rPr>
        <w:t xml:space="preserve">As set out in clause 6.7 of the ICA:</w:t>
      </w:r>
    </w:p>
    <w:p>
      <w:pPr>
        <w:spacing w:after="120" w:line="276"/>
        <w:ind w:left="720" w:hanging="360"/>
      </w:pPr>
      <w:r>
        <w:rPr>
          <w:rFonts w:ascii="Arial" w:cs="Arial" w:eastAsia="Arial" w:hAnsi="Arial"/>
          <w:b/>
          <w:bCs/>
          <w:sz w:val="22"/>
          <w:szCs w:val="22"/>
        </w:rPr>
        <w:t xml:space="preserve">(a) </w:t>
      </w:r>
      <w:r>
        <w:rPr>
          <w:rFonts w:ascii="Arial" w:cs="Arial" w:eastAsia="Arial" w:hAnsi="Arial"/>
          <w:sz w:val="22"/>
          <w:szCs w:val="22"/>
        </w:rPr>
        <w:t xml:space="preserve">Commission remains payable on Eligible Contracts arising from Deal Registrations accepted prior to the termination date, provided the Eligible Contract is executed within 90 days of termination.</w:t>
      </w:r>
    </w:p>
    <w:p>
      <w:pPr>
        <w:spacing w:after="120" w:line="276"/>
        <w:ind w:left="720" w:hanging="360"/>
      </w:pPr>
      <w:r>
        <w:rPr>
          <w:rFonts w:ascii="Arial" w:cs="Arial" w:eastAsia="Arial" w:hAnsi="Arial"/>
          <w:b/>
          <w:bCs/>
          <w:sz w:val="22"/>
          <w:szCs w:val="22"/>
        </w:rPr>
        <w:t xml:space="preserve">(b) </w:t>
      </w:r>
      <w:r>
        <w:rPr>
          <w:rFonts w:ascii="Arial" w:cs="Arial" w:eastAsia="Arial" w:hAnsi="Arial"/>
          <w:sz w:val="22"/>
          <w:szCs w:val="22"/>
        </w:rPr>
        <w:t xml:space="preserve">No Commission is payable on Eligible Contracts executed more than 90 days after termination.</w:t>
      </w:r>
    </w:p>
    <w:p>
      <w:pPr>
        <w:spacing w:after="120" w:line="276"/>
        <w:ind w:left="720" w:hanging="360"/>
      </w:pPr>
      <w:r>
        <w:rPr>
          <w:rFonts w:ascii="Arial" w:cs="Arial" w:eastAsia="Arial" w:hAnsi="Arial"/>
          <w:b/>
          <w:bCs/>
          <w:sz w:val="22"/>
          <w:szCs w:val="22"/>
        </w:rPr>
        <w:t xml:space="preserve">(c) </w:t>
      </w:r>
      <w:r>
        <w:rPr>
          <w:rFonts w:ascii="Arial" w:cs="Arial" w:eastAsia="Arial" w:hAnsi="Arial"/>
          <w:sz w:val="22"/>
          <w:szCs w:val="22"/>
        </w:rPr>
        <w:t xml:space="preserve">Clawback provisions continue to apply to all Commission paid, whether paid before or after termination.</w:t>
      </w:r>
    </w:p>
    <w:p>
      <w:pPr>
        <w:spacing w:after="120" w:line="276"/>
        <w:ind w:left="720" w:hanging="360"/>
      </w:pPr>
      <w:r>
        <w:rPr>
          <w:rFonts w:ascii="Arial" w:cs="Arial" w:eastAsia="Arial" w:hAnsi="Arial"/>
          <w:b/>
          <w:bCs/>
          <w:sz w:val="22"/>
          <w:szCs w:val="22"/>
        </w:rPr>
        <w:t xml:space="preserve">(d) </w:t>
      </w:r>
      <w:r>
        <w:rPr>
          <w:rFonts w:ascii="Arial" w:cs="Arial" w:eastAsia="Arial" w:hAnsi="Arial"/>
          <w:sz w:val="22"/>
          <w:szCs w:val="22"/>
        </w:rPr>
        <w:t xml:space="preserve">Outstanding claims must be submitted in writing within 30 days of the date Commission would have been payable, or the claim is waived.</w:t>
      </w:r>
    </w:p>
    <w:p>
      <w:pPr>
        <w:pStyle w:val="Heading1"/>
        <w:spacing w:after="200" w:before="360"/>
      </w:pPr>
      <w:r>
        <w:rPr>
          <w:rFonts w:ascii="Arial" w:cs="Arial" w:eastAsia="Arial" w:hAnsi="Arial"/>
          <w:b/>
          <w:bCs/>
          <w:sz w:val="28"/>
          <w:szCs w:val="28"/>
        </w:rPr>
        <w:t xml:space="preserve">8. REVIEW AND AMENDMENT</w:t>
      </w:r>
    </w:p>
    <w:p>
      <w:pPr>
        <w:spacing w:after="120" w:line="276"/>
      </w:pPr>
      <w:r>
        <w:rPr>
          <w:rFonts w:ascii="Arial" w:cs="Arial" w:eastAsia="Arial" w:hAnsi="Arial"/>
          <w:sz w:val="22"/>
          <w:szCs w:val="22"/>
        </w:rPr>
        <w:t xml:space="preserve">This Commission Schedule will be reviewed quarterly as part of the strategy reset process described in the Rules of Engagement. Any changes require the mutual written agreement of both Parties and will be documented as a new version of this Schedule. Changes apply to new Deal Registrations only and do not affect Commission on existing accepted registrations.</w:t>
      </w:r>
    </w:p>
    <w:p>
      <w:pPr>
        <w:spacing w:before="600"/>
      </w:pPr>
    </w:p>
    <w:p>
      <w:pPr>
        <w:spacing w:after="120" w:line="276"/>
      </w:pPr>
      <w:r>
        <w:rPr>
          <w:rFonts w:ascii="Arial" w:cs="Arial" w:eastAsia="Arial" w:hAnsi="Arial"/>
          <w:b/>
          <w:bCs/>
          <w:sz w:val="22"/>
          <w:szCs w:val="22"/>
        </w:rPr>
        <w:t xml:space="preserve">AGREED AND ACCEPTED:</w:t>
      </w:r>
    </w:p>
    <w:p>
      <w:pPr>
        <w:spacing w:before="300"/>
      </w:pPr>
    </w:p>
    <w:p>
      <w:pPr>
        <w:spacing w:after="120" w:line="276"/>
      </w:pPr>
      <w:r>
        <w:rPr>
          <w:rFonts w:ascii="Arial" w:cs="Arial" w:eastAsia="Arial" w:hAnsi="Arial"/>
          <w:b/>
          <w:bCs/>
          <w:sz w:val="22"/>
          <w:szCs w:val="22"/>
        </w:rPr>
        <w:t xml:space="preserve">For and on behalf of Monkton Group UK Ltd:</w:t>
      </w:r>
    </w:p>
    <w:p>
      <w:pPr>
        <w:spacing w:before="200"/>
      </w:pPr>
    </w:p>
    <w:p>
      <w:pPr>
        <w:spacing w:after="120" w:line="276"/>
      </w:pPr>
      <w:r>
        <w:rPr>
          <w:rFonts w:ascii="Arial" w:cs="Arial" w:eastAsia="Arial" w:hAnsi="Arial"/>
          <w:sz w:val="22"/>
          <w:szCs w:val="22"/>
        </w:rPr>
        <w:t xml:space="preserve">Signature: ____________________________________</w:t>
      </w:r>
    </w:p>
    <w:p>
      <w:pPr>
        <w:spacing w:after="120" w:line="276"/>
      </w:pPr>
      <w:r>
        <w:rPr>
          <w:rFonts w:ascii="Arial" w:cs="Arial" w:eastAsia="Arial" w:hAnsi="Arial"/>
          <w:sz w:val="22"/>
          <w:szCs w:val="22"/>
        </w:rPr>
        <w:t xml:space="preserve">Name: ____________________________________</w:t>
      </w:r>
    </w:p>
    <w:p>
      <w:pPr>
        <w:spacing w:after="120" w:line="276"/>
      </w:pPr>
      <w:r>
        <w:rPr>
          <w:rFonts w:ascii="Arial" w:cs="Arial" w:eastAsia="Arial" w:hAnsi="Arial"/>
          <w:sz w:val="22"/>
          <w:szCs w:val="22"/>
        </w:rPr>
        <w:t xml:space="preserve">Date: ____________________________________</w:t>
      </w:r>
    </w:p>
    <w:p>
      <w:pPr>
        <w:spacing w:before="300"/>
      </w:pPr>
    </w:p>
    <w:p>
      <w:pPr>
        <w:spacing w:after="120" w:line="276"/>
      </w:pPr>
      <w:r>
        <w:rPr>
          <w:rFonts w:ascii="Arial" w:cs="Arial" w:eastAsia="Arial" w:hAnsi="Arial"/>
          <w:b/>
          <w:bCs/>
          <w:sz w:val="22"/>
          <w:szCs w:val="22"/>
        </w:rPr>
        <w:t xml:space="preserve">The Contractor:</w:t>
      </w:r>
    </w:p>
    <w:p>
      <w:pPr>
        <w:spacing w:before="200"/>
      </w:pPr>
    </w:p>
    <w:p>
      <w:pPr>
        <w:spacing w:after="120" w:line="276"/>
      </w:pPr>
      <w:r>
        <w:rPr>
          <w:rFonts w:ascii="Arial" w:cs="Arial" w:eastAsia="Arial" w:hAnsi="Arial"/>
          <w:sz w:val="22"/>
          <w:szCs w:val="22"/>
        </w:rPr>
        <w:t xml:space="preserve">Signature: ____________________________________</w:t>
      </w:r>
    </w:p>
    <w:p>
      <w:pPr>
        <w:spacing w:after="120" w:line="276"/>
      </w:pPr>
      <w:r>
        <w:rPr>
          <w:rFonts w:ascii="Arial" w:cs="Arial" w:eastAsia="Arial" w:hAnsi="Arial"/>
          <w:sz w:val="22"/>
          <w:szCs w:val="22"/>
        </w:rPr>
        <w:t xml:space="preserve">Name: ____________________________________</w:t>
      </w:r>
    </w:p>
    <w:p>
      <w:pPr>
        <w:spacing w:after="120" w:line="276"/>
      </w:pPr>
      <w:r>
        <w:rPr>
          <w:rFonts w:ascii="Arial" w:cs="Arial" w:eastAsia="Arial" w:hAnsi="Arial"/>
          <w:sz w:val="22"/>
          <w:szCs w:val="22"/>
        </w:rPr>
        <w:t xml:space="preserve">Date: ____________________________________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Commission &amp; Compensation Schedule — v1.0</w:t>
    </w:r>
    <w: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2026-03-19T17:56:43.095Z</dcterms:created>
  <dcterms:modified xsi:type="dcterms:W3CDTF">2026-03-19T17:56:43.095Z</dcterms:modified>
</cp:coreProperties>
</file>

<file path=docProps/custom.xml><?xml version="1.0" encoding="utf-8"?>
<Properties xmlns="http://schemas.openxmlformats.org/officeDocument/2006/custom-properties" xmlns:vt="http://schemas.openxmlformats.org/officeDocument/2006/docPropsVTypes"/>
</file>