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100"/>
        <w:jc w:val="center"/>
      </w:pPr>
      <w:r>
        <w:rPr>
          <w:rFonts w:ascii="Arial" w:cs="Arial" w:eastAsia="Arial" w:hAnsi="Arial"/>
          <w:b/>
          <w:bCs/>
          <w:sz w:val="32"/>
          <w:szCs w:val="32"/>
        </w:rPr>
        <w:t xml:space="preserve">SCHEDULE 2</w:t>
      </w:r>
    </w:p>
    <w:p>
      <w:pPr>
        <w:spacing w:after="100"/>
        <w:jc w:val="center"/>
      </w:pPr>
      <w:r>
        <w:rPr>
          <w:rFonts w:ascii="Arial" w:cs="Arial" w:eastAsia="Arial" w:hAnsi="Arial"/>
          <w:b/>
          <w:bCs/>
          <w:sz w:val="28"/>
          <w:szCs w:val="28"/>
        </w:rPr>
        <w:t xml:space="preserve">RULES OF ENGAGEMENT</w:t>
      </w:r>
    </w:p>
    <w:p>
      <w:pPr>
        <w:spacing w:after="100"/>
        <w:jc w:val="center"/>
      </w:pPr>
      <w:r>
        <w:rPr>
          <w:rFonts w:ascii="Arial" w:cs="Arial" w:eastAsia="Arial" w:hAnsi="Arial"/>
          <w:i/>
          <w:iCs/>
          <w:color w:val="666666"/>
          <w:sz w:val="22"/>
          <w:szCs w:val="22"/>
        </w:rPr>
        <w:t xml:space="preserve">Operational Guidelines for Sales Contractors</w:t>
      </w:r>
    </w:p>
    <w:p>
      <w:pPr>
        <w:spacing w:after="400"/>
        <w:jc w:val="center"/>
      </w:pPr>
      <w:r>
        <w:rPr>
          <w:rFonts w:ascii="Arial" w:cs="Arial" w:eastAsia="Arial" w:hAnsi="Arial"/>
          <w:i/>
          <w:iCs/>
          <w:color w:val="666666"/>
          <w:sz w:val="20"/>
          <w:szCs w:val="20"/>
        </w:rPr>
        <w:t xml:space="preserve">Pursuant to the Independent Contractor Agreement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Approved By</w:t>
            </w:r>
          </w:p>
        </w:tc>
        <w:tc>
          <w:tcPr>
            <w:tcW w:type="dxa" w:w="24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[Date]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[Name]</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Initial version</w:t>
            </w:r>
          </w:p>
        </w:tc>
      </w:tr>
    </w:tbl>
    <w:p>
      <w:pPr>
        <w:spacing w:after="300"/>
      </w:pPr>
    </w:p>
    <w:p>
      <w:pPr>
        <w:pStyle w:val="Heading1"/>
        <w:spacing w:after="200" w:before="360"/>
      </w:pPr>
      <w:r>
        <w:rPr>
          <w:rFonts w:ascii="Arial" w:cs="Arial" w:eastAsia="Arial" w:hAnsi="Arial"/>
          <w:b/>
          <w:bCs/>
          <w:sz w:val="28"/>
          <w:szCs w:val="28"/>
        </w:rPr>
        <w:t xml:space="preserve">1. PURPOSE AND SCOPE</w:t>
      </w:r>
    </w:p>
    <w:p>
      <w:pPr>
        <w:spacing w:after="120" w:line="276"/>
      </w:pPr>
      <w:r>
        <w:rPr>
          <w:rFonts w:ascii="Arial" w:cs="Arial" w:eastAsia="Arial" w:hAnsi="Arial"/>
          <w:sz w:val="22"/>
          <w:szCs w:val="22"/>
        </w:rPr>
        <w:t xml:space="preserve">This document sets out the operational rules, processes, and standards that govern how sales contractors represent Monkton Group UK Ltd (“Monkton”) in the UK Government market. It is the day-to-day operating manual for sales activity and should be read alongside the Independent Contractor Agreement (“ICA”) and Commission Schedule.</w:t>
      </w:r>
    </w:p>
    <w:p>
      <w:pPr>
        <w:spacing w:after="120" w:line="276"/>
      </w:pPr>
      <w:r>
        <w:rPr>
          <w:rFonts w:ascii="Arial" w:cs="Arial" w:eastAsia="Arial" w:hAnsi="Arial"/>
          <w:sz w:val="22"/>
          <w:szCs w:val="22"/>
        </w:rPr>
        <w:t xml:space="preserve">Compliance with these Rules of Engagement is mandatory. Persistent non-compliance constitutes a material breach of the ICA.</w:t>
      </w:r>
    </w:p>
    <w:p>
      <w:pPr>
        <w:spacing w:after="120" w:line="276"/>
      </w:pPr>
      <w:r>
        <w:rPr>
          <w:rFonts w:ascii="Arial" w:cs="Arial" w:eastAsia="Arial" w:hAnsi="Arial"/>
          <w:b/>
          <w:bCs/>
          <w:sz w:val="22"/>
          <w:szCs w:val="22"/>
        </w:rPr>
        <w:t xml:space="preserve">Golden Rules — the three things that matter most:</w:t>
      </w:r>
    </w:p>
    <w:p>
      <w:pPr>
        <w:spacing w:after="120" w:line="276"/>
        <w:ind w:left="720" w:hanging="360"/>
      </w:pPr>
      <w:r>
        <w:rPr>
          <w:rFonts w:ascii="Arial" w:cs="Arial" w:eastAsia="Arial" w:hAnsi="Arial"/>
          <w:b/>
          <w:bCs/>
          <w:sz w:val="22"/>
          <w:szCs w:val="22"/>
        </w:rPr>
        <w:t xml:space="preserve">1. </w:t>
      </w:r>
      <w:r>
        <w:rPr>
          <w:rFonts w:ascii="Arial" w:cs="Arial" w:eastAsia="Arial" w:hAnsi="Arial"/>
          <w:sz w:val="22"/>
          <w:szCs w:val="22"/>
        </w:rPr>
        <w:t xml:space="preserve">Everything goes in HubSpot. If it’s not in the CRM, it didn’t happen.</w:t>
      </w:r>
    </w:p>
    <w:p>
      <w:pPr>
        <w:spacing w:after="120" w:line="276"/>
        <w:ind w:left="720" w:hanging="360"/>
      </w:pPr>
      <w:r>
        <w:rPr>
          <w:rFonts w:ascii="Arial" w:cs="Arial" w:eastAsia="Arial" w:hAnsi="Arial"/>
          <w:b/>
          <w:bCs/>
          <w:sz w:val="22"/>
          <w:szCs w:val="22"/>
        </w:rPr>
        <w:t xml:space="preserve">2. </w:t>
      </w:r>
      <w:r>
        <w:rPr>
          <w:rFonts w:ascii="Arial" w:cs="Arial" w:eastAsia="Arial" w:hAnsi="Arial"/>
          <w:sz w:val="22"/>
          <w:szCs w:val="22"/>
        </w:rPr>
        <w:t xml:space="preserve">You cannot commit Monkton to any government procurement process. Ever. Not even informally.</w:t>
      </w:r>
    </w:p>
    <w:p>
      <w:pPr>
        <w:spacing w:after="120" w:line="276"/>
        <w:ind w:left="720" w:hanging="360"/>
      </w:pPr>
      <w:r>
        <w:rPr>
          <w:rFonts w:ascii="Arial" w:cs="Arial" w:eastAsia="Arial" w:hAnsi="Arial"/>
          <w:b/>
          <w:bCs/>
          <w:sz w:val="22"/>
          <w:szCs w:val="22"/>
        </w:rPr>
        <w:t xml:space="preserve">3. </w:t>
      </w:r>
      <w:r>
        <w:rPr>
          <w:rFonts w:ascii="Arial" w:cs="Arial" w:eastAsia="Arial" w:hAnsi="Arial"/>
          <w:sz w:val="22"/>
          <w:szCs w:val="22"/>
        </w:rPr>
        <w:t xml:space="preserve">G-Cloud is your lead message. Every outreach should reference that buyers can procure us directly via G-Cloud without a full tender.</w:t>
      </w:r>
    </w:p>
    <w:p>
      <w:pPr>
        <w:pStyle w:val="Heading1"/>
        <w:spacing w:after="200" w:before="360"/>
      </w:pPr>
      <w:r>
        <w:rPr>
          <w:rFonts w:ascii="Arial" w:cs="Arial" w:eastAsia="Arial" w:hAnsi="Arial"/>
          <w:b/>
          <w:bCs/>
          <w:sz w:val="28"/>
          <w:szCs w:val="28"/>
        </w:rPr>
        <w:t xml:space="preserve">2. CRM — HUBSPOT</w:t>
      </w:r>
    </w:p>
    <w:p>
      <w:pPr>
        <w:spacing w:after="120" w:line="276"/>
      </w:pPr>
      <w:r>
        <w:rPr>
          <w:rFonts w:ascii="Arial" w:cs="Arial" w:eastAsia="Arial" w:hAnsi="Arial"/>
          <w:b/>
          <w:bCs/>
          <w:sz w:val="22"/>
          <w:szCs w:val="22"/>
        </w:rPr>
        <w:t xml:space="preserve">2.1 Mandatory Use</w:t>
      </w:r>
    </w:p>
    <w:p>
      <w:pPr>
        <w:spacing w:after="120" w:line="276"/>
      </w:pPr>
      <w:r>
        <w:rPr>
          <w:rFonts w:ascii="Arial" w:cs="Arial" w:eastAsia="Arial" w:hAnsi="Arial"/>
          <w:sz w:val="22"/>
          <w:szCs w:val="22"/>
        </w:rPr>
        <w:t xml:space="preserve">HubSpot is the single source of truth for all pipeline activity. From [mandatory start date], all sales activity must be logged in HubSpot. No parallel spreadsheets, notebooks, or personal tracking systems.</w:t>
      </w:r>
    </w:p>
    <w:p>
      <w:pPr>
        <w:spacing w:after="120" w:line="276"/>
      </w:pPr>
      <w:r>
        <w:rPr>
          <w:rFonts w:ascii="Arial" w:cs="Arial" w:eastAsia="Arial" w:hAnsi="Arial"/>
          <w:b/>
          <w:bCs/>
          <w:sz w:val="22"/>
          <w:szCs w:val="22"/>
        </w:rPr>
        <w:t xml:space="preserve">2.2 The 24-Hour Rule</w:t>
      </w:r>
    </w:p>
    <w:p>
      <w:pPr>
        <w:spacing w:after="120" w:line="276"/>
      </w:pPr>
      <w:r>
        <w:rPr>
          <w:rFonts w:ascii="Arial" w:cs="Arial" w:eastAsia="Arial" w:hAnsi="Arial"/>
          <w:sz w:val="22"/>
          <w:szCs w:val="22"/>
        </w:rPr>
        <w:t xml:space="preserve">All material sales activities must be logged within 24 hours of occurrence. This includes:</w:t>
      </w:r>
    </w:p>
    <w:p>
      <w:pPr>
        <w:spacing w:after="120" w:line="276"/>
        <w:ind w:left="720" w:hanging="360"/>
      </w:pPr>
      <w:r>
        <w:rPr>
          <w:rFonts w:ascii="Arial" w:cs="Arial" w:eastAsia="Arial" w:hAnsi="Arial"/>
          <w:b/>
          <w:bCs/>
          <w:sz w:val="22"/>
          <w:szCs w:val="22"/>
        </w:rPr>
        <w:t xml:space="preserve">• </w:t>
      </w:r>
      <w:r>
        <w:rPr>
          <w:rFonts w:ascii="Arial" w:cs="Arial" w:eastAsia="Arial" w:hAnsi="Arial"/>
          <w:sz w:val="22"/>
          <w:szCs w:val="22"/>
        </w:rPr>
        <w:t xml:space="preserve">Calls and meetings (with notes on discussion, attendees, and outcomes)</w:t>
      </w:r>
    </w:p>
    <w:p>
      <w:pPr>
        <w:spacing w:after="120" w:line="276"/>
        <w:ind w:left="720" w:hanging="360"/>
      </w:pPr>
      <w:r>
        <w:rPr>
          <w:rFonts w:ascii="Arial" w:cs="Arial" w:eastAsia="Arial" w:hAnsi="Arial"/>
          <w:b/>
          <w:bCs/>
          <w:sz w:val="22"/>
          <w:szCs w:val="22"/>
        </w:rPr>
        <w:t xml:space="preserve">• </w:t>
      </w:r>
      <w:r>
        <w:rPr>
          <w:rFonts w:ascii="Arial" w:cs="Arial" w:eastAsia="Arial" w:hAnsi="Arial"/>
          <w:sz w:val="22"/>
          <w:szCs w:val="22"/>
        </w:rPr>
        <w:t xml:space="preserve">Emails sent and received (use the HubSpot email integration or BCC)</w:t>
      </w:r>
    </w:p>
    <w:p>
      <w:pPr>
        <w:spacing w:after="120" w:line="276"/>
        <w:ind w:left="720" w:hanging="360"/>
      </w:pPr>
      <w:r>
        <w:rPr>
          <w:rFonts w:ascii="Arial" w:cs="Arial" w:eastAsia="Arial" w:hAnsi="Arial"/>
          <w:b/>
          <w:bCs/>
          <w:sz w:val="22"/>
          <w:szCs w:val="22"/>
        </w:rPr>
        <w:t xml:space="preserve">• </w:t>
      </w:r>
      <w:r>
        <w:rPr>
          <w:rFonts w:ascii="Arial" w:cs="Arial" w:eastAsia="Arial" w:hAnsi="Arial"/>
          <w:sz w:val="22"/>
          <w:szCs w:val="22"/>
        </w:rPr>
        <w:t xml:space="preserve">Proposals, documents, or materials shared</w:t>
      </w:r>
    </w:p>
    <w:p>
      <w:pPr>
        <w:spacing w:after="120" w:line="276"/>
        <w:ind w:left="720" w:hanging="360"/>
      </w:pPr>
      <w:r>
        <w:rPr>
          <w:rFonts w:ascii="Arial" w:cs="Arial" w:eastAsia="Arial" w:hAnsi="Arial"/>
          <w:b/>
          <w:bCs/>
          <w:sz w:val="22"/>
          <w:szCs w:val="22"/>
        </w:rPr>
        <w:t xml:space="preserve">• </w:t>
      </w:r>
      <w:r>
        <w:rPr>
          <w:rFonts w:ascii="Arial" w:cs="Arial" w:eastAsia="Arial" w:hAnsi="Arial"/>
          <w:sz w:val="22"/>
          <w:szCs w:val="22"/>
        </w:rPr>
        <w:t xml:space="preserve">Key information learned about the prospect’s needs, timeline, or decision process</w:t>
      </w:r>
    </w:p>
    <w:p>
      <w:pPr>
        <w:spacing w:after="120" w:line="276"/>
        <w:ind w:left="720" w:hanging="360"/>
      </w:pPr>
      <w:r>
        <w:rPr>
          <w:rFonts w:ascii="Arial" w:cs="Arial" w:eastAsia="Arial" w:hAnsi="Arial"/>
          <w:b/>
          <w:bCs/>
          <w:sz w:val="22"/>
          <w:szCs w:val="22"/>
        </w:rPr>
        <w:t xml:space="preserve">• </w:t>
      </w:r>
      <w:r>
        <w:rPr>
          <w:rFonts w:ascii="Arial" w:cs="Arial" w:eastAsia="Arial" w:hAnsi="Arial"/>
          <w:sz w:val="22"/>
          <w:szCs w:val="22"/>
        </w:rPr>
        <w:t xml:space="preserve">Next steps agreed</w:t>
      </w:r>
    </w:p>
    <w:p>
      <w:pPr>
        <w:spacing w:after="120" w:line="276"/>
      </w:pPr>
      <w:r>
        <w:rPr>
          <w:rFonts w:ascii="Arial" w:cs="Arial" w:eastAsia="Arial" w:hAnsi="Arial"/>
          <w:b/>
          <w:bCs/>
          <w:sz w:val="22"/>
          <w:szCs w:val="22"/>
        </w:rPr>
        <w:t xml:space="preserve">2.3 Opportunity Management</w:t>
      </w:r>
    </w:p>
    <w:p>
      <w:pPr>
        <w:spacing w:after="120" w:line="276"/>
      </w:pPr>
      <w:r>
        <w:rPr>
          <w:rFonts w:ascii="Arial" w:cs="Arial" w:eastAsia="Arial" w:hAnsi="Arial"/>
          <w:sz w:val="22"/>
          <w:szCs w:val="22"/>
        </w:rPr>
        <w:t xml:space="preserve">Every prospective deal must exist as an opportunity (deal) in HubSpot with the following fields maintained and current:</w:t>
      </w:r>
    </w:p>
    <w:p>
      <w:pPr>
        <w:spacing w:after="120" w:line="276"/>
        <w:ind w:left="720" w:hanging="360"/>
      </w:pPr>
      <w:r>
        <w:rPr>
          <w:rFonts w:ascii="Arial" w:cs="Arial" w:eastAsia="Arial" w:hAnsi="Arial"/>
          <w:b/>
          <w:bCs/>
          <w:sz w:val="22"/>
          <w:szCs w:val="22"/>
        </w:rPr>
        <w:t xml:space="preserve">• </w:t>
      </w:r>
      <w:r>
        <w:rPr>
          <w:rFonts w:ascii="Arial" w:cs="Arial" w:eastAsia="Arial" w:hAnsi="Arial"/>
          <w:sz w:val="22"/>
          <w:szCs w:val="22"/>
        </w:rPr>
        <w:t xml:space="preserve">Deal name (format: [Department/Agency] — [Product] — [Short Description])</w:t>
      </w:r>
    </w:p>
    <w:p>
      <w:pPr>
        <w:spacing w:after="120" w:line="276"/>
        <w:ind w:left="720" w:hanging="360"/>
      </w:pPr>
      <w:r>
        <w:rPr>
          <w:rFonts w:ascii="Arial" w:cs="Arial" w:eastAsia="Arial" w:hAnsi="Arial"/>
          <w:b/>
          <w:bCs/>
          <w:sz w:val="22"/>
          <w:szCs w:val="22"/>
        </w:rPr>
        <w:t xml:space="preserve">• </w:t>
      </w:r>
      <w:r>
        <w:rPr>
          <w:rFonts w:ascii="Arial" w:cs="Arial" w:eastAsia="Arial" w:hAnsi="Arial"/>
          <w:sz w:val="22"/>
          <w:szCs w:val="22"/>
        </w:rPr>
        <w:t xml:space="preserve">Deal stage (see pipeline stages below)</w:t>
      </w:r>
    </w:p>
    <w:p>
      <w:pPr>
        <w:spacing w:after="120" w:line="276"/>
        <w:ind w:left="720" w:hanging="360"/>
      </w:pPr>
      <w:r>
        <w:rPr>
          <w:rFonts w:ascii="Arial" w:cs="Arial" w:eastAsia="Arial" w:hAnsi="Arial"/>
          <w:b/>
          <w:bCs/>
          <w:sz w:val="22"/>
          <w:szCs w:val="22"/>
        </w:rPr>
        <w:t xml:space="preserve">• </w:t>
      </w:r>
      <w:r>
        <w:rPr>
          <w:rFonts w:ascii="Arial" w:cs="Arial" w:eastAsia="Arial" w:hAnsi="Arial"/>
          <w:sz w:val="22"/>
          <w:szCs w:val="22"/>
        </w:rPr>
        <w:t xml:space="preserve">Expected ACV</w:t>
      </w:r>
    </w:p>
    <w:p>
      <w:pPr>
        <w:spacing w:after="120" w:line="276"/>
        <w:ind w:left="720" w:hanging="360"/>
      </w:pPr>
      <w:r>
        <w:rPr>
          <w:rFonts w:ascii="Arial" w:cs="Arial" w:eastAsia="Arial" w:hAnsi="Arial"/>
          <w:b/>
          <w:bCs/>
          <w:sz w:val="22"/>
          <w:szCs w:val="22"/>
        </w:rPr>
        <w:t xml:space="preserve">• </w:t>
      </w:r>
      <w:r>
        <w:rPr>
          <w:rFonts w:ascii="Arial" w:cs="Arial" w:eastAsia="Arial" w:hAnsi="Arial"/>
          <w:sz w:val="22"/>
          <w:szCs w:val="22"/>
        </w:rPr>
        <w:t xml:space="preserve">Expected close date (updated as information changes)</w:t>
      </w:r>
    </w:p>
    <w:p>
      <w:pPr>
        <w:spacing w:after="120" w:line="276"/>
        <w:ind w:left="720" w:hanging="360"/>
      </w:pPr>
      <w:r>
        <w:rPr>
          <w:rFonts w:ascii="Arial" w:cs="Arial" w:eastAsia="Arial" w:hAnsi="Arial"/>
          <w:b/>
          <w:bCs/>
          <w:sz w:val="22"/>
          <w:szCs w:val="22"/>
        </w:rPr>
        <w:t xml:space="preserve">• </w:t>
      </w:r>
      <w:r>
        <w:rPr>
          <w:rFonts w:ascii="Arial" w:cs="Arial" w:eastAsia="Arial" w:hAnsi="Arial"/>
          <w:sz w:val="22"/>
          <w:szCs w:val="22"/>
        </w:rPr>
        <w:t xml:space="preserve">Contact(s) associated</w:t>
      </w:r>
    </w:p>
    <w:p>
      <w:pPr>
        <w:spacing w:after="120" w:line="276"/>
        <w:ind w:left="720" w:hanging="360"/>
      </w:pPr>
      <w:r>
        <w:rPr>
          <w:rFonts w:ascii="Arial" w:cs="Arial" w:eastAsia="Arial" w:hAnsi="Arial"/>
          <w:b/>
          <w:bCs/>
          <w:sz w:val="22"/>
          <w:szCs w:val="22"/>
        </w:rPr>
        <w:t xml:space="preserve">• </w:t>
      </w:r>
      <w:r>
        <w:rPr>
          <w:rFonts w:ascii="Arial" w:cs="Arial" w:eastAsia="Arial" w:hAnsi="Arial"/>
          <w:sz w:val="22"/>
          <w:szCs w:val="22"/>
        </w:rPr>
        <w:t xml:space="preserve">Next step and next step date</w:t>
      </w:r>
    </w:p>
    <w:p>
      <w:pPr>
        <w:spacing w:after="120" w:line="276"/>
        <w:ind w:left="720" w:hanging="360"/>
      </w:pPr>
      <w:r>
        <w:rPr>
          <w:rFonts w:ascii="Arial" w:cs="Arial" w:eastAsia="Arial" w:hAnsi="Arial"/>
          <w:b/>
          <w:bCs/>
          <w:sz w:val="22"/>
          <w:szCs w:val="22"/>
        </w:rPr>
        <w:t xml:space="preserve">• </w:t>
      </w:r>
      <w:r>
        <w:rPr>
          <w:rFonts w:ascii="Arial" w:cs="Arial" w:eastAsia="Arial" w:hAnsi="Arial"/>
          <w:sz w:val="22"/>
          <w:szCs w:val="22"/>
        </w:rPr>
        <w:t xml:space="preserve">Deal Registration status</w:t>
      </w:r>
    </w:p>
    <w:p>
      <w:pPr>
        <w:spacing w:after="120" w:line="276"/>
      </w:pPr>
      <w:r>
        <w:rPr>
          <w:rFonts w:ascii="Arial" w:cs="Arial" w:eastAsia="Arial" w:hAnsi="Arial"/>
          <w:b/>
          <w:bCs/>
          <w:sz w:val="22"/>
          <w:szCs w:val="22"/>
        </w:rPr>
        <w:t xml:space="preserve">2.4 What Happens If You Don’t Log</w:t>
      </w:r>
    </w:p>
    <w:p>
      <w:pPr>
        <w:spacing w:after="120" w:line="276"/>
      </w:pPr>
      <w:r>
        <w:rPr>
          <w:rFonts w:ascii="Arial" w:cs="Arial" w:eastAsia="Arial" w:hAnsi="Arial"/>
          <w:sz w:val="22"/>
          <w:szCs w:val="22"/>
        </w:rPr>
        <w:t xml:space="preserve">Monkton reserves the right to withhold Commission on any deal that is not properly tracked in HubSpot per clause 4.4 of the ICA. If an opportunity doesn’t exist in HubSpot at the time it closes, the Contractor has no claim to Commission on that deal.</w:t>
      </w:r>
    </w:p>
    <w:p>
      <w:pPr>
        <w:pStyle w:val="Heading1"/>
        <w:spacing w:after="200" w:before="360"/>
      </w:pPr>
      <w:r>
        <w:rPr>
          <w:rFonts w:ascii="Arial" w:cs="Arial" w:eastAsia="Arial" w:hAnsi="Arial"/>
          <w:b/>
          <w:bCs/>
          <w:sz w:val="28"/>
          <w:szCs w:val="28"/>
        </w:rPr>
        <w:t xml:space="preserve">3. PIPELINE STAGES AND EXIT CRITERIA</w:t>
      </w:r>
    </w:p>
    <w:p>
      <w:pPr>
        <w:spacing w:after="120" w:line="276"/>
      </w:pPr>
      <w:r>
        <w:rPr>
          <w:rFonts w:ascii="Arial" w:cs="Arial" w:eastAsia="Arial" w:hAnsi="Arial"/>
          <w:sz w:val="22"/>
          <w:szCs w:val="22"/>
        </w:rPr>
        <w:t xml:space="preserve">Opportunities progress through the following stages. A deal cannot move to the next stage until the exit criteria for the current stage are met.</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1800"/>
        <w:gridCol w:w="1813"/>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Stage</w:t>
            </w:r>
          </w:p>
        </w:tc>
        <w:tc>
          <w:tcPr>
            <w:tcW w:type="dxa" w:w="36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Exit Criteria</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Probability</w:t>
            </w:r>
          </w:p>
        </w:tc>
        <w:tc>
          <w:tcPr>
            <w:tcW w:type="dxa" w:w="18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Owner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1. Prospect Identified</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Target account researched. Key contact identified. Initial outreach planned.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10%</w:t>
            </w:r>
          </w:p>
        </w:tc>
        <w:tc>
          <w:tcPr>
            <w:tcW w:type="dxa" w:w="18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Contractor</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2. Initial Contact</w:t>
            </w:r>
          </w:p>
        </w:tc>
        <w:tc>
          <w:tcPr>
            <w:tcW w:type="dxa" w:w="3613"/>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sz w:val="20"/>
                <w:szCs w:val="20"/>
              </w:rPr>
              <w:t xml:space="preserve">First meaningful conversation held. Need/interest confirmed. Deal Registered in HubSpot.</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sz w:val="20"/>
                <w:szCs w:val="20"/>
              </w:rPr>
              <w:t xml:space="preserve">20%</w:t>
            </w:r>
          </w:p>
        </w:tc>
        <w:tc>
          <w:tcPr>
            <w:tcW w:type="dxa" w:w="1813"/>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sz w:val="20"/>
                <w:szCs w:val="20"/>
              </w:rPr>
              <w:t xml:space="preserve">Contractor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3. Discovery / Qualification</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Budget, authority, need, and timeline (BANT) understood. Use case defined. G-Cloud route confirmed or alternative procurement path identified.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30%</w:t>
            </w:r>
          </w:p>
        </w:tc>
        <w:tc>
          <w:tcPr>
            <w:tcW w:type="dxa" w:w="18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Contractor</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4. Demo / Evaluation</w:t>
            </w:r>
          </w:p>
        </w:tc>
        <w:tc>
          <w:tcPr>
            <w:tcW w:type="dxa" w:w="3613"/>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sz w:val="20"/>
                <w:szCs w:val="20"/>
              </w:rPr>
              <w:t xml:space="preserve">Product demo delivered. Technical fit confirmed. Stakeholders engaged. Pricing discussed at a high level.</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sz w:val="20"/>
                <w:szCs w:val="20"/>
              </w:rPr>
              <w:t xml:space="preserve">50%</w:t>
            </w:r>
          </w:p>
        </w:tc>
        <w:tc>
          <w:tcPr>
            <w:tcW w:type="dxa" w:w="1813"/>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sz w:val="20"/>
                <w:szCs w:val="20"/>
              </w:rPr>
              <w:t xml:space="preserve">Joint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5. Proposal / Pricing</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Formal proposal or pricing submitted. Procurement route confirmed. Decision timeline established.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70%</w:t>
            </w:r>
          </w:p>
        </w:tc>
        <w:tc>
          <w:tcPr>
            <w:tcW w:type="dxa" w:w="18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Joint</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6. Negotiation</w:t>
            </w:r>
          </w:p>
        </w:tc>
        <w:tc>
          <w:tcPr>
            <w:tcW w:type="dxa" w:w="3613"/>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sz w:val="20"/>
                <w:szCs w:val="20"/>
              </w:rPr>
              <w:t xml:space="preserve">Terms being finalised. Contract or call-off in review. Legal/commercial approval in progress.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sz w:val="20"/>
                <w:szCs w:val="20"/>
              </w:rPr>
              <w:t xml:space="preserve">85%</w:t>
            </w:r>
          </w:p>
        </w:tc>
        <w:tc>
          <w:tcPr>
            <w:tcW w:type="dxa" w:w="1813"/>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sz w:val="20"/>
                <w:szCs w:val="20"/>
              </w:rPr>
              <w:t xml:space="preserve">Monkton Lead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7. Closed Won</w:t>
            </w:r>
          </w:p>
        </w:tc>
        <w:tc>
          <w:tcPr>
            <w:tcW w:type="dxa" w:w="36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Contract executed. Purchase order received. G-Cloud call-off confirmed.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100%</w:t>
            </w:r>
          </w:p>
        </w:tc>
        <w:tc>
          <w:tcPr>
            <w:tcW w:type="dxa" w:w="18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Monkton</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8. Closed Lost</w:t>
            </w:r>
          </w:p>
        </w:tc>
        <w:tc>
          <w:tcPr>
            <w:tcW w:type="dxa" w:w="3613"/>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sz w:val="20"/>
                <w:szCs w:val="20"/>
              </w:rPr>
              <w:t xml:space="preserve">Reason for loss recorded. Post-mortem notes logged. Future re-engagement date set if appropriate.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sz w:val="20"/>
                <w:szCs w:val="20"/>
              </w:rPr>
              <w:t xml:space="preserve">0%</w:t>
            </w:r>
          </w:p>
        </w:tc>
        <w:tc>
          <w:tcPr>
            <w:tcW w:type="dxa" w:w="1813"/>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sz w:val="20"/>
                <w:szCs w:val="20"/>
              </w:rPr>
              <w:t xml:space="preserve">Contractor</w:t>
            </w:r>
          </w:p>
        </w:tc>
      </w:tr>
    </w:tbl>
    <w:p>
      <w:pPr>
        <w:spacing w:after="200"/>
      </w:pPr>
    </w:p>
    <w:p>
      <w:pPr>
        <w:spacing w:after="120" w:line="276"/>
      </w:pPr>
      <w:r>
        <w:rPr>
          <w:rFonts w:ascii="Arial" w:cs="Arial" w:eastAsia="Arial" w:hAnsi="Arial"/>
          <w:b/>
          <w:bCs/>
          <w:sz w:val="22"/>
          <w:szCs w:val="22"/>
        </w:rPr>
        <w:t xml:space="preserve">Note: </w:t>
      </w:r>
      <w:r>
        <w:rPr>
          <w:rFonts w:ascii="Arial" w:cs="Arial" w:eastAsia="Arial" w:hAnsi="Arial"/>
          <w:sz w:val="22"/>
          <w:szCs w:val="22"/>
        </w:rPr>
        <w:t xml:space="preserve">Ownership shifts towards Monkton as deals reach negotiation stage. The Contractor’s primary value is in stages 1–4 (prospecting, qualifying, and demonstrating). Monkton leads on contract negotiation and execution.</w:t>
      </w:r>
    </w:p>
    <w:p>
      <w:pPr>
        <w:pStyle w:val="Heading1"/>
        <w:spacing w:after="200" w:before="360"/>
      </w:pPr>
      <w:r>
        <w:rPr>
          <w:rFonts w:ascii="Arial" w:cs="Arial" w:eastAsia="Arial" w:hAnsi="Arial"/>
          <w:b/>
          <w:bCs/>
          <w:sz w:val="28"/>
          <w:szCs w:val="28"/>
        </w:rPr>
        <w:t xml:space="preserve">4. DEAL REGISTRATION PROCESS</w:t>
      </w:r>
    </w:p>
    <w:p>
      <w:pPr>
        <w:spacing w:after="120" w:line="276"/>
      </w:pPr>
      <w:r>
        <w:rPr>
          <w:rFonts w:ascii="Arial" w:cs="Arial" w:eastAsia="Arial" w:hAnsi="Arial"/>
          <w:b/>
          <w:bCs/>
          <w:sz w:val="22"/>
          <w:szCs w:val="22"/>
        </w:rPr>
        <w:t xml:space="preserve">4.1 When to Register</w:t>
      </w:r>
    </w:p>
    <w:p>
      <w:pPr>
        <w:spacing w:after="120" w:line="276"/>
      </w:pPr>
      <w:r>
        <w:rPr>
          <w:rFonts w:ascii="Arial" w:cs="Arial" w:eastAsia="Arial" w:hAnsi="Arial"/>
          <w:sz w:val="22"/>
          <w:szCs w:val="22"/>
        </w:rPr>
        <w:t xml:space="preserve">Register at first meaningful contact — not when the deal looks promising. If you’ve had a conversation that confirms there’s a potential opportunity, register it immediately. Late registration risks losing priority.</w:t>
      </w:r>
    </w:p>
    <w:p>
      <w:pPr>
        <w:spacing w:after="120" w:line="276"/>
      </w:pPr>
      <w:r>
        <w:rPr>
          <w:rFonts w:ascii="Arial" w:cs="Arial" w:eastAsia="Arial" w:hAnsi="Arial"/>
          <w:b/>
          <w:bCs/>
          <w:sz w:val="22"/>
          <w:szCs w:val="22"/>
        </w:rPr>
        <w:t xml:space="preserve">4.2 How to Register</w:t>
      </w:r>
    </w:p>
    <w:p>
      <w:pPr>
        <w:spacing w:after="120" w:line="276"/>
      </w:pPr>
      <w:r>
        <w:rPr>
          <w:rFonts w:ascii="Arial" w:cs="Arial" w:eastAsia="Arial" w:hAnsi="Arial"/>
          <w:sz w:val="22"/>
          <w:szCs w:val="22"/>
        </w:rPr>
        <w:t xml:space="preserve">Create the deal in HubSpot with all required fields completed (see section 2.3). Set the deal stage to “Initial Contact” and ensure the Deal Registration status field is set to “Pending.”</w:t>
      </w:r>
    </w:p>
    <w:p>
      <w:pPr>
        <w:spacing w:after="120" w:line="276"/>
      </w:pPr>
      <w:r>
        <w:rPr>
          <w:rFonts w:ascii="Arial" w:cs="Arial" w:eastAsia="Arial" w:hAnsi="Arial"/>
          <w:b/>
          <w:bCs/>
          <w:sz w:val="22"/>
          <w:szCs w:val="22"/>
        </w:rPr>
        <w:t xml:space="preserve">4.3 Monkton’s Review</w:t>
      </w:r>
    </w:p>
    <w:p>
      <w:pPr>
        <w:spacing w:after="120" w:line="276"/>
      </w:pPr>
      <w:r>
        <w:rPr>
          <w:rFonts w:ascii="Arial" w:cs="Arial" w:eastAsia="Arial" w:hAnsi="Arial"/>
          <w:sz w:val="22"/>
          <w:szCs w:val="22"/>
        </w:rPr>
        <w:t xml:space="preserve">Monkton will review and accept or reject within 14 days. If rejected, you’ll receive a reason. Common rejection reasons: existing relationship, duplicate registration, or prospect outside target profile.</w:t>
      </w:r>
    </w:p>
    <w:p>
      <w:pPr>
        <w:spacing w:after="120" w:line="276"/>
      </w:pPr>
      <w:r>
        <w:rPr>
          <w:rFonts w:ascii="Arial" w:cs="Arial" w:eastAsia="Arial" w:hAnsi="Arial"/>
          <w:b/>
          <w:bCs/>
          <w:sz w:val="22"/>
          <w:szCs w:val="22"/>
        </w:rPr>
        <w:t xml:space="preserve">4.4 Priority Rules</w:t>
      </w:r>
    </w:p>
    <w:p>
      <w:pPr>
        <w:spacing w:after="120" w:line="276"/>
        <w:ind w:left="720" w:hanging="360"/>
      </w:pPr>
      <w:r>
        <w:rPr>
          <w:rFonts w:ascii="Arial" w:cs="Arial" w:eastAsia="Arial" w:hAnsi="Arial"/>
          <w:b/>
          <w:bCs/>
          <w:sz w:val="22"/>
          <w:szCs w:val="22"/>
        </w:rPr>
        <w:t xml:space="preserve">• </w:t>
      </w:r>
      <w:r>
        <w:rPr>
          <w:rFonts w:ascii="Arial" w:cs="Arial" w:eastAsia="Arial" w:hAnsi="Arial"/>
          <w:sz w:val="22"/>
          <w:szCs w:val="22"/>
        </w:rPr>
        <w:t xml:space="preserve">First to register wins, subject to quality of information provided.</w:t>
      </w:r>
    </w:p>
    <w:p>
      <w:pPr>
        <w:spacing w:after="120" w:line="276"/>
        <w:ind w:left="720" w:hanging="360"/>
      </w:pPr>
      <w:r>
        <w:rPr>
          <w:rFonts w:ascii="Arial" w:cs="Arial" w:eastAsia="Arial" w:hAnsi="Arial"/>
          <w:b/>
          <w:bCs/>
          <w:sz w:val="22"/>
          <w:szCs w:val="22"/>
        </w:rPr>
        <w:t xml:space="preserve">• </w:t>
      </w:r>
      <w:r>
        <w:rPr>
          <w:rFonts w:ascii="Arial" w:cs="Arial" w:eastAsia="Arial" w:hAnsi="Arial"/>
          <w:sz w:val="22"/>
          <w:szCs w:val="22"/>
        </w:rPr>
        <w:t xml:space="preserve">A vague registration (“I know someone at the MOD”) will not take priority over a detailed registration with a specific contact, defined need, and documented conversation.</w:t>
      </w:r>
    </w:p>
    <w:p>
      <w:pPr>
        <w:spacing w:after="120" w:line="276"/>
        <w:ind w:left="720" w:hanging="360"/>
      </w:pPr>
      <w:r>
        <w:rPr>
          <w:rFonts w:ascii="Arial" w:cs="Arial" w:eastAsia="Arial" w:hAnsi="Arial"/>
          <w:b/>
          <w:bCs/>
          <w:sz w:val="22"/>
          <w:szCs w:val="22"/>
        </w:rPr>
        <w:t xml:space="preserve">• </w:t>
      </w:r>
      <w:r>
        <w:rPr>
          <w:rFonts w:ascii="Arial" w:cs="Arial" w:eastAsia="Arial" w:hAnsi="Arial"/>
          <w:sz w:val="22"/>
          <w:szCs w:val="22"/>
        </w:rPr>
        <w:t xml:space="preserve">Registrations last 90 days. Request an extension before expiry if the deal is still active.</w:t>
      </w:r>
    </w:p>
    <w:p>
      <w:pPr>
        <w:pStyle w:val="Heading1"/>
        <w:spacing w:after="200" w:before="360"/>
      </w:pPr>
      <w:r>
        <w:rPr>
          <w:rFonts w:ascii="Arial" w:cs="Arial" w:eastAsia="Arial" w:hAnsi="Arial"/>
          <w:b/>
          <w:bCs/>
          <w:sz w:val="28"/>
          <w:szCs w:val="28"/>
        </w:rPr>
        <w:t xml:space="preserve">5. G-CLOUD POSITIONING</w:t>
      </w:r>
    </w:p>
    <w:p>
      <w:pPr>
        <w:spacing w:after="120" w:line="276"/>
      </w:pPr>
      <w:r>
        <w:rPr>
          <w:rFonts w:ascii="Arial" w:cs="Arial" w:eastAsia="Arial" w:hAnsi="Arial"/>
          <w:sz w:val="22"/>
          <w:szCs w:val="22"/>
        </w:rPr>
        <w:t xml:space="preserve">G-Cloud is our biggest competitive advantage in UK Government sales. It allows buyers to procure our products directly without running a full OJEU/Find a Tender competition. This dramatically shortens sales cycles and reduces procurement friction.</w:t>
      </w:r>
    </w:p>
    <w:p>
      <w:pPr>
        <w:spacing w:after="120" w:line="276"/>
      </w:pPr>
      <w:r>
        <w:rPr>
          <w:rFonts w:ascii="Arial" w:cs="Arial" w:eastAsia="Arial" w:hAnsi="Arial"/>
          <w:b/>
          <w:bCs/>
          <w:sz w:val="22"/>
          <w:szCs w:val="22"/>
        </w:rPr>
        <w:t xml:space="preserve">5.1 Key Messages</w:t>
      </w:r>
    </w:p>
    <w:p>
      <w:pPr>
        <w:spacing w:after="120" w:line="276"/>
      </w:pPr>
      <w:r>
        <w:rPr>
          <w:rFonts w:ascii="Arial" w:cs="Arial" w:eastAsia="Arial" w:hAnsi="Arial"/>
          <w:sz w:val="22"/>
          <w:szCs w:val="22"/>
        </w:rPr>
        <w:t xml:space="preserve">Every outreach and conversation should include reference to G-Cloud. The core message is:</w:t>
      </w:r>
    </w:p>
    <w:p>
      <w:pPr>
        <w:spacing w:after="120" w:line="276"/>
        <w:ind w:left="720" w:right="720"/>
      </w:pPr>
      <w:r>
        <w:rPr>
          <w:rFonts w:ascii="Arial" w:cs="Arial" w:eastAsia="Arial" w:hAnsi="Arial"/>
          <w:i/>
          <w:iCs/>
          <w:sz w:val="22"/>
          <w:szCs w:val="22"/>
        </w:rPr>
        <w:t xml:space="preserve">“Monkton’s products are available on G-Cloud [Lot number], so you can procure directly through the Digital Marketplace without a full tender process. This typically reduces procurement time from months to weeks.”</w:t>
      </w:r>
    </w:p>
    <w:p>
      <w:pPr>
        <w:spacing w:after="120" w:line="276"/>
      </w:pPr>
      <w:r>
        <w:rPr>
          <w:rFonts w:ascii="Arial" w:cs="Arial" w:eastAsia="Arial" w:hAnsi="Arial"/>
          <w:b/>
          <w:bCs/>
          <w:sz w:val="22"/>
          <w:szCs w:val="22"/>
        </w:rPr>
        <w:t xml:space="preserve">5.2 What You Can Say</w:t>
      </w:r>
    </w:p>
    <w:p>
      <w:pPr>
        <w:spacing w:after="120" w:line="276"/>
        <w:ind w:left="720" w:hanging="360"/>
      </w:pPr>
      <w:r>
        <w:rPr>
          <w:rFonts w:ascii="Arial" w:cs="Arial" w:eastAsia="Arial" w:hAnsi="Arial"/>
          <w:b/>
          <w:bCs/>
          <w:sz w:val="22"/>
          <w:szCs w:val="22"/>
        </w:rPr>
        <w:t xml:space="preserve">• </w:t>
      </w:r>
      <w:r>
        <w:rPr>
          <w:rFonts w:ascii="Arial" w:cs="Arial" w:eastAsia="Arial" w:hAnsi="Arial"/>
          <w:sz w:val="22"/>
          <w:szCs w:val="22"/>
        </w:rPr>
        <w:t xml:space="preserve">Monkton is listed on G-Cloud and available for direct call-off</w:t>
      </w:r>
    </w:p>
    <w:p>
      <w:pPr>
        <w:spacing w:after="120" w:line="276"/>
        <w:ind w:left="720" w:hanging="360"/>
      </w:pPr>
      <w:r>
        <w:rPr>
          <w:rFonts w:ascii="Arial" w:cs="Arial" w:eastAsia="Arial" w:hAnsi="Arial"/>
          <w:b/>
          <w:bCs/>
          <w:sz w:val="22"/>
          <w:szCs w:val="22"/>
        </w:rPr>
        <w:t xml:space="preserve">• </w:t>
      </w:r>
      <w:r>
        <w:rPr>
          <w:rFonts w:ascii="Arial" w:cs="Arial" w:eastAsia="Arial" w:hAnsi="Arial"/>
          <w:sz w:val="22"/>
          <w:szCs w:val="22"/>
        </w:rPr>
        <w:t xml:space="preserve">Buyers can find us on the Digital Marketplace</w:t>
      </w:r>
    </w:p>
    <w:p>
      <w:pPr>
        <w:spacing w:after="120" w:line="276"/>
        <w:ind w:left="720" w:hanging="360"/>
      </w:pPr>
      <w:r>
        <w:rPr>
          <w:rFonts w:ascii="Arial" w:cs="Arial" w:eastAsia="Arial" w:hAnsi="Arial"/>
          <w:b/>
          <w:bCs/>
          <w:sz w:val="22"/>
          <w:szCs w:val="22"/>
        </w:rPr>
        <w:t xml:space="preserve">• </w:t>
      </w:r>
      <w:r>
        <w:rPr>
          <w:rFonts w:ascii="Arial" w:cs="Arial" w:eastAsia="Arial" w:hAnsi="Arial"/>
          <w:sz w:val="22"/>
          <w:szCs w:val="22"/>
        </w:rPr>
        <w:t xml:space="preserve">G-Cloud provides a compliant, pre-approved procurement route</w:t>
      </w:r>
    </w:p>
    <w:p>
      <w:pPr>
        <w:spacing w:after="120" w:line="276"/>
        <w:ind w:left="720" w:hanging="360"/>
      </w:pPr>
      <w:r>
        <w:rPr>
          <w:rFonts w:ascii="Arial" w:cs="Arial" w:eastAsia="Arial" w:hAnsi="Arial"/>
          <w:b/>
          <w:bCs/>
          <w:sz w:val="22"/>
          <w:szCs w:val="22"/>
        </w:rPr>
        <w:t xml:space="preserve">• </w:t>
      </w:r>
      <w:r>
        <w:rPr>
          <w:rFonts w:ascii="Arial" w:cs="Arial" w:eastAsia="Arial" w:hAnsi="Arial"/>
          <w:sz w:val="22"/>
          <w:szCs w:val="22"/>
        </w:rPr>
        <w:t xml:space="preserve">Our pricing is published on the framework</w:t>
      </w:r>
    </w:p>
    <w:p>
      <w:pPr>
        <w:spacing w:after="120" w:line="276"/>
      </w:pPr>
      <w:r>
        <w:rPr>
          <w:rFonts w:ascii="Arial" w:cs="Arial" w:eastAsia="Arial" w:hAnsi="Arial"/>
          <w:b/>
          <w:bCs/>
          <w:sz w:val="22"/>
          <w:szCs w:val="22"/>
        </w:rPr>
        <w:t xml:space="preserve">5.3 What You Must NOT Do</w:t>
      </w:r>
    </w:p>
    <w:p>
      <w:pPr>
        <w:spacing w:after="120" w:line="276"/>
        <w:ind w:left="720" w:hanging="360"/>
      </w:pPr>
      <w:r>
        <w:rPr>
          <w:rFonts w:ascii="Arial" w:cs="Arial" w:eastAsia="Arial" w:hAnsi="Arial"/>
          <w:b/>
          <w:bCs/>
          <w:sz w:val="22"/>
          <w:szCs w:val="22"/>
        </w:rPr>
        <w:t xml:space="preserve">• </w:t>
      </w:r>
      <w:r>
        <w:rPr>
          <w:rFonts w:ascii="Arial" w:cs="Arial" w:eastAsia="Arial" w:hAnsi="Arial"/>
          <w:sz w:val="22"/>
          <w:szCs w:val="22"/>
        </w:rPr>
        <w:t xml:space="preserve">Do NOT submit any response to a further competition or call-off on Monkton’s behalf</w:t>
      </w:r>
    </w:p>
    <w:p>
      <w:pPr>
        <w:spacing w:after="120" w:line="276"/>
        <w:ind w:left="720" w:hanging="360"/>
      </w:pPr>
      <w:r>
        <w:rPr>
          <w:rFonts w:ascii="Arial" w:cs="Arial" w:eastAsia="Arial" w:hAnsi="Arial"/>
          <w:b/>
          <w:bCs/>
          <w:sz w:val="22"/>
          <w:szCs w:val="22"/>
        </w:rPr>
        <w:t xml:space="preserve">• </w:t>
      </w:r>
      <w:r>
        <w:rPr>
          <w:rFonts w:ascii="Arial" w:cs="Arial" w:eastAsia="Arial" w:hAnsi="Arial"/>
          <w:sz w:val="22"/>
          <w:szCs w:val="22"/>
        </w:rPr>
        <w:t xml:space="preserve">Do NOT agree to any framework terms, special conditions, or pricing variations</w:t>
      </w:r>
    </w:p>
    <w:p>
      <w:pPr>
        <w:spacing w:after="120" w:line="276"/>
        <w:ind w:left="720" w:hanging="360"/>
      </w:pPr>
      <w:r>
        <w:rPr>
          <w:rFonts w:ascii="Arial" w:cs="Arial" w:eastAsia="Arial" w:hAnsi="Arial"/>
          <w:b/>
          <w:bCs/>
          <w:sz w:val="22"/>
          <w:szCs w:val="22"/>
        </w:rPr>
        <w:t xml:space="preserve">• </w:t>
      </w:r>
      <w:r>
        <w:rPr>
          <w:rFonts w:ascii="Arial" w:cs="Arial" w:eastAsia="Arial" w:hAnsi="Arial"/>
          <w:sz w:val="22"/>
          <w:szCs w:val="22"/>
        </w:rPr>
        <w:t xml:space="preserve">Do NOT register Monkton on any portal, dynamic purchasing system, or approved list</w:t>
      </w:r>
    </w:p>
    <w:p>
      <w:pPr>
        <w:spacing w:after="120" w:line="276"/>
        <w:ind w:left="720" w:hanging="360"/>
      </w:pPr>
      <w:r>
        <w:rPr>
          <w:rFonts w:ascii="Arial" w:cs="Arial" w:eastAsia="Arial" w:hAnsi="Arial"/>
          <w:b/>
          <w:bCs/>
          <w:sz w:val="22"/>
          <w:szCs w:val="22"/>
        </w:rPr>
        <w:t xml:space="preserve">• </w:t>
      </w:r>
      <w:r>
        <w:rPr>
          <w:rFonts w:ascii="Arial" w:cs="Arial" w:eastAsia="Arial" w:hAnsi="Arial"/>
          <w:sz w:val="22"/>
          <w:szCs w:val="22"/>
        </w:rPr>
        <w:t xml:space="preserve">Do NOT make any statement about Monkton’s capacity, certifications, or compliance that hasn’t been provided in writing by Monkton</w:t>
      </w:r>
    </w:p>
    <w:p>
      <w:pPr>
        <w:spacing w:after="120" w:line="276"/>
      </w:pPr>
      <w:r>
        <w:rPr>
          <w:rFonts w:ascii="Arial" w:cs="Arial" w:eastAsia="Arial" w:hAnsi="Arial"/>
          <w:b/>
          <w:bCs/>
          <w:sz w:val="22"/>
          <w:szCs w:val="22"/>
        </w:rPr>
        <w:t xml:space="preserve">If a buyer asks you to do any of the above, escalate to Monkton immediately. This is a hard line.</w:t>
      </w:r>
    </w:p>
    <w:p>
      <w:pPr>
        <w:pStyle w:val="Heading1"/>
        <w:spacing w:after="200" w:before="360"/>
      </w:pPr>
      <w:r>
        <w:rPr>
          <w:rFonts w:ascii="Arial" w:cs="Arial" w:eastAsia="Arial" w:hAnsi="Arial"/>
          <w:b/>
          <w:bCs/>
          <w:sz w:val="28"/>
          <w:szCs w:val="28"/>
        </w:rPr>
        <w:t xml:space="preserve">6. TARGET ACCOUNT MANAGEMENT</w:t>
      </w:r>
    </w:p>
    <w:p>
      <w:pPr>
        <w:spacing w:after="120" w:line="276"/>
      </w:pPr>
      <w:r>
        <w:rPr>
          <w:rFonts w:ascii="Arial" w:cs="Arial" w:eastAsia="Arial" w:hAnsi="Arial"/>
          <w:b/>
          <w:bCs/>
          <w:sz w:val="22"/>
          <w:szCs w:val="22"/>
        </w:rPr>
        <w:t xml:space="preserve">6.1 Target Account List</w:t>
      </w:r>
    </w:p>
    <w:p>
      <w:pPr>
        <w:spacing w:after="120" w:line="276"/>
      </w:pPr>
      <w:r>
        <w:rPr>
          <w:rFonts w:ascii="Arial" w:cs="Arial" w:eastAsia="Arial" w:hAnsi="Arial"/>
          <w:sz w:val="22"/>
          <w:szCs w:val="22"/>
        </w:rPr>
        <w:t xml:space="preserve">Monkton will maintain a Target Account List of priority UK Government departments and agencies. Contractors should focus their efforts primarily on accounts from this list. Pursuing accounts outside the list is permitted but should be discussed with Monkton first to avoid wasted effort on poor-fit prospects.</w:t>
      </w:r>
    </w:p>
    <w:p>
      <w:pPr>
        <w:spacing w:after="120" w:line="276"/>
      </w:pPr>
      <w:r>
        <w:rPr>
          <w:rFonts w:ascii="Arial" w:cs="Arial" w:eastAsia="Arial" w:hAnsi="Arial"/>
          <w:b/>
          <w:bCs/>
          <w:sz w:val="22"/>
          <w:szCs w:val="22"/>
        </w:rPr>
        <w:t xml:space="preserve">6.2 Account Allocation</w:t>
      </w:r>
    </w:p>
    <w:p>
      <w:pPr>
        <w:spacing w:after="120" w:line="276"/>
      </w:pPr>
      <w:r>
        <w:rPr>
          <w:rFonts w:ascii="Arial" w:cs="Arial" w:eastAsia="Arial" w:hAnsi="Arial"/>
          <w:sz w:val="22"/>
          <w:szCs w:val="22"/>
        </w:rPr>
        <w:t xml:space="preserve">Where multiple contractors are active, Monkton may allocate specific accounts or sectors to individual contractors. Account allocations will be communicated in writing and recorded in HubSpot. Respect other contractors’ allocations — do not approach accounts allocated to another contractor without prior agreement.</w:t>
      </w:r>
    </w:p>
    <w:p>
      <w:pPr>
        <w:spacing w:after="120" w:line="276"/>
      </w:pPr>
      <w:r>
        <w:rPr>
          <w:rFonts w:ascii="Arial" w:cs="Arial" w:eastAsia="Arial" w:hAnsi="Arial"/>
          <w:b/>
          <w:bCs/>
          <w:sz w:val="22"/>
          <w:szCs w:val="22"/>
        </w:rPr>
        <w:t xml:space="preserve">6.3 Account Research</w:t>
      </w:r>
    </w:p>
    <w:p>
      <w:pPr>
        <w:spacing w:after="120" w:line="276"/>
      </w:pPr>
      <w:r>
        <w:rPr>
          <w:rFonts w:ascii="Arial" w:cs="Arial" w:eastAsia="Arial" w:hAnsi="Arial"/>
          <w:sz w:val="22"/>
          <w:szCs w:val="22"/>
        </w:rPr>
        <w:t xml:space="preserve">Before approaching any target account, the Contractor should understand:</w:t>
      </w:r>
    </w:p>
    <w:p>
      <w:pPr>
        <w:spacing w:after="120" w:line="276"/>
        <w:ind w:left="720" w:hanging="360"/>
      </w:pPr>
      <w:r>
        <w:rPr>
          <w:rFonts w:ascii="Arial" w:cs="Arial" w:eastAsia="Arial" w:hAnsi="Arial"/>
          <w:b/>
          <w:bCs/>
          <w:sz w:val="22"/>
          <w:szCs w:val="22"/>
        </w:rPr>
        <w:t xml:space="preserve">• </w:t>
      </w:r>
      <w:r>
        <w:rPr>
          <w:rFonts w:ascii="Arial" w:cs="Arial" w:eastAsia="Arial" w:hAnsi="Arial"/>
          <w:sz w:val="22"/>
          <w:szCs w:val="22"/>
        </w:rPr>
        <w:t xml:space="preserve">The department’s published digital/technology strategy</w:t>
      </w:r>
    </w:p>
    <w:p>
      <w:pPr>
        <w:spacing w:after="120" w:line="276"/>
        <w:ind w:left="720" w:hanging="360"/>
      </w:pPr>
      <w:r>
        <w:rPr>
          <w:rFonts w:ascii="Arial" w:cs="Arial" w:eastAsia="Arial" w:hAnsi="Arial"/>
          <w:b/>
          <w:bCs/>
          <w:sz w:val="22"/>
          <w:szCs w:val="22"/>
        </w:rPr>
        <w:t xml:space="preserve">• </w:t>
      </w:r>
      <w:r>
        <w:rPr>
          <w:rFonts w:ascii="Arial" w:cs="Arial" w:eastAsia="Arial" w:hAnsi="Arial"/>
          <w:sz w:val="22"/>
          <w:szCs w:val="22"/>
        </w:rPr>
        <w:t xml:space="preserve">Current contracts (check Contracts Finder)</w:t>
      </w:r>
    </w:p>
    <w:p>
      <w:pPr>
        <w:spacing w:after="120" w:line="276"/>
        <w:ind w:left="720" w:hanging="360"/>
      </w:pPr>
      <w:r>
        <w:rPr>
          <w:rFonts w:ascii="Arial" w:cs="Arial" w:eastAsia="Arial" w:hAnsi="Arial"/>
          <w:b/>
          <w:bCs/>
          <w:sz w:val="22"/>
          <w:szCs w:val="22"/>
        </w:rPr>
        <w:t xml:space="preserve">• </w:t>
      </w:r>
      <w:r>
        <w:rPr>
          <w:rFonts w:ascii="Arial" w:cs="Arial" w:eastAsia="Arial" w:hAnsi="Arial"/>
          <w:sz w:val="22"/>
          <w:szCs w:val="22"/>
        </w:rPr>
        <w:t xml:space="preserve">Key decision-makers and their roles</w:t>
      </w:r>
    </w:p>
    <w:p>
      <w:pPr>
        <w:spacing w:after="120" w:line="276"/>
        <w:ind w:left="720" w:hanging="360"/>
      </w:pPr>
      <w:r>
        <w:rPr>
          <w:rFonts w:ascii="Arial" w:cs="Arial" w:eastAsia="Arial" w:hAnsi="Arial"/>
          <w:b/>
          <w:bCs/>
          <w:sz w:val="22"/>
          <w:szCs w:val="22"/>
        </w:rPr>
        <w:t xml:space="preserve">• </w:t>
      </w:r>
      <w:r>
        <w:rPr>
          <w:rFonts w:ascii="Arial" w:cs="Arial" w:eastAsia="Arial" w:hAnsi="Arial"/>
          <w:sz w:val="22"/>
          <w:szCs w:val="22"/>
        </w:rPr>
        <w:t xml:space="preserve">Any known procurement timelines or budget cycles</w:t>
      </w:r>
    </w:p>
    <w:p>
      <w:pPr>
        <w:spacing w:after="120" w:line="276"/>
        <w:ind w:left="720" w:hanging="360"/>
      </w:pPr>
      <w:r>
        <w:rPr>
          <w:rFonts w:ascii="Arial" w:cs="Arial" w:eastAsia="Arial" w:hAnsi="Arial"/>
          <w:b/>
          <w:bCs/>
          <w:sz w:val="22"/>
          <w:szCs w:val="22"/>
        </w:rPr>
        <w:t xml:space="preserve">• </w:t>
      </w:r>
      <w:r>
        <w:rPr>
          <w:rFonts w:ascii="Arial" w:cs="Arial" w:eastAsia="Arial" w:hAnsi="Arial"/>
          <w:sz w:val="22"/>
          <w:szCs w:val="22"/>
        </w:rPr>
        <w:t xml:space="preserve">Relevant pain points that Monkton’s products address</w:t>
      </w:r>
    </w:p>
    <w:p>
      <w:pPr>
        <w:pStyle w:val="Heading1"/>
        <w:spacing w:after="200" w:before="360"/>
      </w:pPr>
      <w:r>
        <w:rPr>
          <w:rFonts w:ascii="Arial" w:cs="Arial" w:eastAsia="Arial" w:hAnsi="Arial"/>
          <w:b/>
          <w:bCs/>
          <w:sz w:val="28"/>
          <w:szCs w:val="28"/>
        </w:rPr>
        <w:t xml:space="preserve">7. COMMUNICATIONS AND BRAND</w:t>
      </w:r>
    </w:p>
    <w:p>
      <w:pPr>
        <w:spacing w:after="120" w:line="276"/>
      </w:pPr>
      <w:r>
        <w:rPr>
          <w:rFonts w:ascii="Arial" w:cs="Arial" w:eastAsia="Arial" w:hAnsi="Arial"/>
          <w:b/>
          <w:bCs/>
          <w:sz w:val="22"/>
          <w:szCs w:val="22"/>
        </w:rPr>
        <w:t xml:space="preserve">7.1 Representing Monkton</w:t>
      </w:r>
    </w:p>
    <w:p>
      <w:pPr>
        <w:spacing w:after="120" w:line="276"/>
      </w:pPr>
      <w:r>
        <w:rPr>
          <w:rFonts w:ascii="Arial" w:cs="Arial" w:eastAsia="Arial" w:hAnsi="Arial"/>
          <w:sz w:val="22"/>
          <w:szCs w:val="22"/>
        </w:rPr>
        <w:t xml:space="preserve">When engaging with prospects, you are representing Monkton. All communications should be professional, accurate, and consistent with Monkton’s brand and messaging. Use only approved marketing materials and product descriptions.</w:t>
      </w:r>
    </w:p>
    <w:p>
      <w:pPr>
        <w:spacing w:after="120" w:line="276"/>
      </w:pPr>
      <w:r>
        <w:rPr>
          <w:rFonts w:ascii="Arial" w:cs="Arial" w:eastAsia="Arial" w:hAnsi="Arial"/>
          <w:b/>
          <w:bCs/>
          <w:sz w:val="22"/>
          <w:szCs w:val="22"/>
        </w:rPr>
        <w:t xml:space="preserve">7.2 Email</w:t>
      </w:r>
    </w:p>
    <w:p>
      <w:pPr>
        <w:spacing w:after="120" w:line="276"/>
      </w:pPr>
      <w:r>
        <w:rPr>
          <w:rFonts w:ascii="Arial" w:cs="Arial" w:eastAsia="Arial" w:hAnsi="Arial"/>
          <w:sz w:val="22"/>
          <w:szCs w:val="22"/>
        </w:rPr>
        <w:t xml:space="preserve">If Monkton provides you with a Monkton email address, use it for all prospect communications. If using a personal or company email, your signature should clearly state your role as an authorised sales representative of Monkton.</w:t>
      </w:r>
    </w:p>
    <w:p>
      <w:pPr>
        <w:spacing w:after="120" w:line="276"/>
      </w:pPr>
      <w:r>
        <w:rPr>
          <w:rFonts w:ascii="Arial" w:cs="Arial" w:eastAsia="Arial" w:hAnsi="Arial"/>
          <w:b/>
          <w:bCs/>
          <w:sz w:val="22"/>
          <w:szCs w:val="22"/>
        </w:rPr>
        <w:t xml:space="preserve">7.3 Materials</w:t>
      </w:r>
    </w:p>
    <w:p>
      <w:pPr>
        <w:spacing w:after="120" w:line="276"/>
      </w:pPr>
      <w:r>
        <w:rPr>
          <w:rFonts w:ascii="Arial" w:cs="Arial" w:eastAsia="Arial" w:hAnsi="Arial"/>
          <w:sz w:val="22"/>
          <w:szCs w:val="22"/>
        </w:rPr>
        <w:t xml:space="preserve">Use only Monkton-approved materials. Do not create, modify, or distribute marketing materials, product sheets, pricing documents, or technical specifications without written approval from Monkton. This includes LinkedIn posts, social media content, and blog articles that reference Monkton or its products.</w:t>
      </w:r>
    </w:p>
    <w:p>
      <w:pPr>
        <w:spacing w:after="120" w:line="276"/>
      </w:pPr>
      <w:r>
        <w:rPr>
          <w:rFonts w:ascii="Arial" w:cs="Arial" w:eastAsia="Arial" w:hAnsi="Arial"/>
          <w:b/>
          <w:bCs/>
          <w:sz w:val="22"/>
          <w:szCs w:val="22"/>
        </w:rPr>
        <w:t xml:space="preserve">7.4 UK Government Messaging</w:t>
      </w:r>
    </w:p>
    <w:p>
      <w:pPr>
        <w:spacing w:after="120" w:line="276"/>
      </w:pPr>
      <w:r>
        <w:rPr>
          <w:rFonts w:ascii="Arial" w:cs="Arial" w:eastAsia="Arial" w:hAnsi="Arial"/>
          <w:sz w:val="22"/>
          <w:szCs w:val="22"/>
        </w:rPr>
        <w:t xml:space="preserve">All messaging to UK Government buyers must emphasise:</w:t>
      </w:r>
    </w:p>
    <w:p>
      <w:pPr>
        <w:spacing w:after="120" w:line="276"/>
        <w:ind w:left="720" w:hanging="360"/>
      </w:pPr>
      <w:r>
        <w:rPr>
          <w:rFonts w:ascii="Arial" w:cs="Arial" w:eastAsia="Arial" w:hAnsi="Arial"/>
          <w:b/>
          <w:bCs/>
          <w:sz w:val="22"/>
          <w:szCs w:val="22"/>
        </w:rPr>
        <w:t xml:space="preserve">• </w:t>
      </w:r>
      <w:r>
        <w:rPr>
          <w:rFonts w:ascii="Arial" w:cs="Arial" w:eastAsia="Arial" w:hAnsi="Arial"/>
          <w:sz w:val="22"/>
          <w:szCs w:val="22"/>
        </w:rPr>
        <w:t xml:space="preserve">Efficiency and value for money</w:t>
      </w:r>
    </w:p>
    <w:p>
      <w:pPr>
        <w:spacing w:after="120" w:line="276"/>
        <w:ind w:left="720" w:hanging="360"/>
      </w:pPr>
      <w:r>
        <w:rPr>
          <w:rFonts w:ascii="Arial" w:cs="Arial" w:eastAsia="Arial" w:hAnsi="Arial"/>
          <w:b/>
          <w:bCs/>
          <w:sz w:val="22"/>
          <w:szCs w:val="22"/>
        </w:rPr>
        <w:t xml:space="preserve">• </w:t>
      </w:r>
      <w:r>
        <w:rPr>
          <w:rFonts w:ascii="Arial" w:cs="Arial" w:eastAsia="Arial" w:hAnsi="Arial"/>
          <w:sz w:val="22"/>
          <w:szCs w:val="22"/>
        </w:rPr>
        <w:t xml:space="preserve">Compliance (GDPR, Cyber Essentials, UK data residency as applicable)</w:t>
      </w:r>
    </w:p>
    <w:p>
      <w:pPr>
        <w:spacing w:after="120" w:line="276"/>
        <w:ind w:left="720" w:hanging="360"/>
      </w:pPr>
      <w:r>
        <w:rPr>
          <w:rFonts w:ascii="Arial" w:cs="Arial" w:eastAsia="Arial" w:hAnsi="Arial"/>
          <w:b/>
          <w:bCs/>
          <w:sz w:val="22"/>
          <w:szCs w:val="22"/>
        </w:rPr>
        <w:t xml:space="preserve">• </w:t>
      </w:r>
      <w:r>
        <w:rPr>
          <w:rFonts w:ascii="Arial" w:cs="Arial" w:eastAsia="Arial" w:hAnsi="Arial"/>
          <w:sz w:val="22"/>
          <w:szCs w:val="22"/>
        </w:rPr>
        <w:t xml:space="preserve">Procurement simplicity via G-Cloud</w:t>
      </w:r>
    </w:p>
    <w:p>
      <w:pPr>
        <w:spacing w:after="120" w:line="276"/>
        <w:ind w:left="720" w:hanging="360"/>
      </w:pPr>
      <w:r>
        <w:rPr>
          <w:rFonts w:ascii="Arial" w:cs="Arial" w:eastAsia="Arial" w:hAnsi="Arial"/>
          <w:b/>
          <w:bCs/>
          <w:sz w:val="22"/>
          <w:szCs w:val="22"/>
        </w:rPr>
        <w:t xml:space="preserve">• </w:t>
      </w:r>
      <w:r>
        <w:rPr>
          <w:rFonts w:ascii="Arial" w:cs="Arial" w:eastAsia="Arial" w:hAnsi="Arial"/>
          <w:sz w:val="22"/>
          <w:szCs w:val="22"/>
        </w:rPr>
        <w:t xml:space="preserve">Transparency and FOI readiness</w:t>
      </w:r>
    </w:p>
    <w:p>
      <w:pPr>
        <w:spacing w:after="120" w:line="276"/>
        <w:ind w:left="720" w:hanging="360"/>
      </w:pPr>
      <w:r>
        <w:rPr>
          <w:rFonts w:ascii="Arial" w:cs="Arial" w:eastAsia="Arial" w:hAnsi="Arial"/>
          <w:b/>
          <w:bCs/>
          <w:sz w:val="22"/>
          <w:szCs w:val="22"/>
        </w:rPr>
        <w:t xml:space="preserve">• </w:t>
      </w:r>
      <w:r>
        <w:rPr>
          <w:rFonts w:ascii="Arial" w:cs="Arial" w:eastAsia="Arial" w:hAnsi="Arial"/>
          <w:sz w:val="22"/>
          <w:szCs w:val="22"/>
        </w:rPr>
        <w:t xml:space="preserve">Relevant UK-based support and service delivery</w:t>
      </w:r>
    </w:p>
    <w:p>
      <w:pPr>
        <w:spacing w:after="120" w:line="276"/>
      </w:pPr>
      <w:r>
        <w:rPr>
          <w:rFonts w:ascii="Arial" w:cs="Arial" w:eastAsia="Arial" w:hAnsi="Arial"/>
          <w:sz w:val="22"/>
          <w:szCs w:val="22"/>
        </w:rPr>
        <w:t xml:space="preserve">Avoid leading with US-centric references, case studies, or terminology. Where US customers are referenced as social proof, frame them as evidence of product maturity, not as the primary market.</w:t>
      </w:r>
    </w:p>
    <w:p>
      <w:pPr>
        <w:pStyle w:val="Heading1"/>
        <w:spacing w:after="200" w:before="360"/>
      </w:pPr>
      <w:r>
        <w:rPr>
          <w:rFonts w:ascii="Arial" w:cs="Arial" w:eastAsia="Arial" w:hAnsi="Arial"/>
          <w:b/>
          <w:bCs/>
          <w:sz w:val="28"/>
          <w:szCs w:val="28"/>
        </w:rPr>
        <w:t xml:space="preserve">8. MEETING AND REVIEW CADENCE</w:t>
      </w:r>
    </w:p>
    <w:p>
      <w:pPr>
        <w:spacing w:after="120" w:line="276"/>
      </w:pPr>
      <w:r>
        <w:rPr>
          <w:rFonts w:ascii="Arial" w:cs="Arial" w:eastAsia="Arial" w:hAnsi="Arial"/>
          <w:b/>
          <w:bCs/>
          <w:sz w:val="22"/>
          <w:szCs w:val="22"/>
        </w:rPr>
        <w:t xml:space="preserve">8.1 Weekly Pipeline Review</w:t>
      </w:r>
    </w:p>
    <w:p>
      <w:pPr>
        <w:spacing w:after="120" w:line="276"/>
        <w:ind w:left="720" w:hanging="360"/>
      </w:pPr>
      <w:r>
        <w:rPr>
          <w:rFonts w:ascii="Arial" w:cs="Arial" w:eastAsia="Arial" w:hAnsi="Arial"/>
          <w:b/>
          <w:bCs/>
          <w:sz w:val="22"/>
          <w:szCs w:val="22"/>
        </w:rPr>
        <w:t xml:space="preserve">• </w:t>
      </w:r>
      <w:r>
        <w:rPr>
          <w:rFonts w:ascii="Arial" w:cs="Arial" w:eastAsia="Arial" w:hAnsi="Arial"/>
          <w:sz w:val="22"/>
          <w:szCs w:val="22"/>
        </w:rPr>
        <w:t xml:space="preserve">Duration: 30 minutes maximum</w:t>
      </w:r>
    </w:p>
    <w:p>
      <w:pPr>
        <w:spacing w:after="120" w:line="276"/>
        <w:ind w:left="720" w:hanging="360"/>
      </w:pPr>
      <w:r>
        <w:rPr>
          <w:rFonts w:ascii="Arial" w:cs="Arial" w:eastAsia="Arial" w:hAnsi="Arial"/>
          <w:b/>
          <w:bCs/>
          <w:sz w:val="22"/>
          <w:szCs w:val="22"/>
        </w:rPr>
        <w:t xml:space="preserve">• </w:t>
      </w:r>
      <w:r>
        <w:rPr>
          <w:rFonts w:ascii="Arial" w:cs="Arial" w:eastAsia="Arial" w:hAnsi="Arial"/>
          <w:sz w:val="22"/>
          <w:szCs w:val="22"/>
        </w:rPr>
        <w:t xml:space="preserve">Attendees: Contractor(s) + Monkton sales lead</w:t>
      </w:r>
    </w:p>
    <w:p>
      <w:pPr>
        <w:spacing w:after="120" w:line="276"/>
        <w:ind w:left="720" w:hanging="360"/>
      </w:pPr>
      <w:r>
        <w:rPr>
          <w:rFonts w:ascii="Arial" w:cs="Arial" w:eastAsia="Arial" w:hAnsi="Arial"/>
          <w:b/>
          <w:bCs/>
          <w:sz w:val="22"/>
          <w:szCs w:val="22"/>
        </w:rPr>
        <w:t xml:space="preserve">• </w:t>
      </w:r>
      <w:r>
        <w:rPr>
          <w:rFonts w:ascii="Arial" w:cs="Arial" w:eastAsia="Arial" w:hAnsi="Arial"/>
          <w:sz w:val="22"/>
          <w:szCs w:val="22"/>
        </w:rPr>
        <w:t xml:space="preserve">Agenda: Review of all open opportunities in HubSpot. Focus on deals that have changed stage, stalled deals, and next actions. No surprises — if it’s not in HubSpot, it doesn’t get discussed.</w:t>
      </w:r>
    </w:p>
    <w:p>
      <w:pPr>
        <w:spacing w:after="120" w:line="276"/>
      </w:pPr>
      <w:r>
        <w:rPr>
          <w:rFonts w:ascii="Arial" w:cs="Arial" w:eastAsia="Arial" w:hAnsi="Arial"/>
          <w:b/>
          <w:bCs/>
          <w:sz w:val="22"/>
          <w:szCs w:val="22"/>
        </w:rPr>
        <w:t xml:space="preserve">8.2 Monthly Commercial Review</w:t>
      </w:r>
    </w:p>
    <w:p>
      <w:pPr>
        <w:spacing w:after="120" w:line="276"/>
        <w:ind w:left="720" w:hanging="360"/>
      </w:pPr>
      <w:r>
        <w:rPr>
          <w:rFonts w:ascii="Arial" w:cs="Arial" w:eastAsia="Arial" w:hAnsi="Arial"/>
          <w:b/>
          <w:bCs/>
          <w:sz w:val="22"/>
          <w:szCs w:val="22"/>
        </w:rPr>
        <w:t xml:space="preserve">• </w:t>
      </w:r>
      <w:r>
        <w:rPr>
          <w:rFonts w:ascii="Arial" w:cs="Arial" w:eastAsia="Arial" w:hAnsi="Arial"/>
          <w:sz w:val="22"/>
          <w:szCs w:val="22"/>
        </w:rPr>
        <w:t xml:space="preserve">Duration: 60 minutes</w:t>
      </w:r>
    </w:p>
    <w:p>
      <w:pPr>
        <w:spacing w:after="120" w:line="276"/>
        <w:ind w:left="720" w:hanging="360"/>
      </w:pPr>
      <w:r>
        <w:rPr>
          <w:rFonts w:ascii="Arial" w:cs="Arial" w:eastAsia="Arial" w:hAnsi="Arial"/>
          <w:b/>
          <w:bCs/>
          <w:sz w:val="22"/>
          <w:szCs w:val="22"/>
        </w:rPr>
        <w:t xml:space="preserve">• </w:t>
      </w:r>
      <w:r>
        <w:rPr>
          <w:rFonts w:ascii="Arial" w:cs="Arial" w:eastAsia="Arial" w:hAnsi="Arial"/>
          <w:sz w:val="22"/>
          <w:szCs w:val="22"/>
        </w:rPr>
        <w:t xml:space="preserve">Agenda: Commission reconciliation, deal registration audit, pipeline health metrics, any disputes or issues. Contractor to come prepared with a summary of the month’s activity.</w:t>
      </w:r>
    </w:p>
    <w:p>
      <w:pPr>
        <w:spacing w:after="120" w:line="276"/>
      </w:pPr>
      <w:r>
        <w:rPr>
          <w:rFonts w:ascii="Arial" w:cs="Arial" w:eastAsia="Arial" w:hAnsi="Arial"/>
          <w:b/>
          <w:bCs/>
          <w:sz w:val="22"/>
          <w:szCs w:val="22"/>
        </w:rPr>
        <w:t xml:space="preserve">8.3 Quarterly Strategy Reset</w:t>
      </w:r>
    </w:p>
    <w:p>
      <w:pPr>
        <w:spacing w:after="120" w:line="276"/>
        <w:ind w:left="720" w:hanging="360"/>
      </w:pPr>
      <w:r>
        <w:rPr>
          <w:rFonts w:ascii="Arial" w:cs="Arial" w:eastAsia="Arial" w:hAnsi="Arial"/>
          <w:b/>
          <w:bCs/>
          <w:sz w:val="22"/>
          <w:szCs w:val="22"/>
        </w:rPr>
        <w:t xml:space="preserve">• </w:t>
      </w:r>
      <w:r>
        <w:rPr>
          <w:rFonts w:ascii="Arial" w:cs="Arial" w:eastAsia="Arial" w:hAnsi="Arial"/>
          <w:sz w:val="22"/>
          <w:szCs w:val="22"/>
        </w:rPr>
        <w:t xml:space="preserve">Duration: 90 minutes</w:t>
      </w:r>
    </w:p>
    <w:p>
      <w:pPr>
        <w:spacing w:after="120" w:line="276"/>
        <w:ind w:left="720" w:hanging="360"/>
      </w:pPr>
      <w:r>
        <w:rPr>
          <w:rFonts w:ascii="Arial" w:cs="Arial" w:eastAsia="Arial" w:hAnsi="Arial"/>
          <w:b/>
          <w:bCs/>
          <w:sz w:val="22"/>
          <w:szCs w:val="22"/>
        </w:rPr>
        <w:t xml:space="preserve">• </w:t>
      </w:r>
      <w:r>
        <w:rPr>
          <w:rFonts w:ascii="Arial" w:cs="Arial" w:eastAsia="Arial" w:hAnsi="Arial"/>
          <w:sz w:val="22"/>
          <w:szCs w:val="22"/>
        </w:rPr>
        <w:t xml:space="preserve">Agenda: Target review and adjustment, messaging review, commission structure review (if warranted), market feedback, competitive intelligence debrief, Target Account List refresh.</w:t>
      </w:r>
    </w:p>
    <w:p>
      <w:pPr>
        <w:pStyle w:val="Heading1"/>
        <w:spacing w:after="200" w:before="360"/>
      </w:pPr>
      <w:r>
        <w:rPr>
          <w:rFonts w:ascii="Arial" w:cs="Arial" w:eastAsia="Arial" w:hAnsi="Arial"/>
          <w:b/>
          <w:bCs/>
          <w:sz w:val="28"/>
          <w:szCs w:val="28"/>
        </w:rPr>
        <w:t xml:space="preserve">9. ESCALATION PROCEDURES</w:t>
      </w:r>
    </w:p>
    <w:p>
      <w:pPr>
        <w:spacing w:after="120" w:line="276"/>
      </w:pPr>
      <w:r>
        <w:rPr>
          <w:rFonts w:ascii="Arial" w:cs="Arial" w:eastAsia="Arial" w:hAnsi="Arial"/>
          <w:b/>
          <w:bCs/>
          <w:sz w:val="22"/>
          <w:szCs w:val="22"/>
        </w:rPr>
        <w:t xml:space="preserve">Escalate immediately to Monkton if:</w:t>
      </w:r>
    </w:p>
    <w:p>
      <w:pPr>
        <w:spacing w:after="120" w:line="276"/>
        <w:ind w:left="720" w:hanging="360"/>
      </w:pPr>
      <w:r>
        <w:rPr>
          <w:rFonts w:ascii="Arial" w:cs="Arial" w:eastAsia="Arial" w:hAnsi="Arial"/>
          <w:b/>
          <w:bCs/>
          <w:sz w:val="22"/>
          <w:szCs w:val="22"/>
        </w:rPr>
        <w:t xml:space="preserve">• </w:t>
      </w:r>
      <w:r>
        <w:rPr>
          <w:rFonts w:ascii="Arial" w:cs="Arial" w:eastAsia="Arial" w:hAnsi="Arial"/>
          <w:sz w:val="22"/>
          <w:szCs w:val="22"/>
        </w:rPr>
        <w:t xml:space="preserve">A buyer asks you to submit anything on Monkton’s behalf to a procurement portal, framework, or tender</w:t>
      </w:r>
    </w:p>
    <w:p>
      <w:pPr>
        <w:spacing w:after="120" w:line="276"/>
        <w:ind w:left="720" w:hanging="360"/>
      </w:pPr>
      <w:r>
        <w:rPr>
          <w:rFonts w:ascii="Arial" w:cs="Arial" w:eastAsia="Arial" w:hAnsi="Arial"/>
          <w:b/>
          <w:bCs/>
          <w:sz w:val="22"/>
          <w:szCs w:val="22"/>
        </w:rPr>
        <w:t xml:space="preserve">• </w:t>
      </w:r>
      <w:r>
        <w:rPr>
          <w:rFonts w:ascii="Arial" w:cs="Arial" w:eastAsia="Arial" w:hAnsi="Arial"/>
          <w:sz w:val="22"/>
          <w:szCs w:val="22"/>
        </w:rPr>
        <w:t xml:space="preserve">A buyer asks about security accreditations, certifications, or compliance that you cannot verify from approved materials</w:t>
      </w:r>
    </w:p>
    <w:p>
      <w:pPr>
        <w:spacing w:after="120" w:line="276"/>
        <w:ind w:left="720" w:hanging="360"/>
      </w:pPr>
      <w:r>
        <w:rPr>
          <w:rFonts w:ascii="Arial" w:cs="Arial" w:eastAsia="Arial" w:hAnsi="Arial"/>
          <w:b/>
          <w:bCs/>
          <w:sz w:val="22"/>
          <w:szCs w:val="22"/>
        </w:rPr>
        <w:t xml:space="preserve">• </w:t>
      </w:r>
      <w:r>
        <w:rPr>
          <w:rFonts w:ascii="Arial" w:cs="Arial" w:eastAsia="Arial" w:hAnsi="Arial"/>
          <w:sz w:val="22"/>
          <w:szCs w:val="22"/>
        </w:rPr>
        <w:t xml:space="preserve">A buyer requests contract terms, SLAs, or pricing outside published G-Cloud rates</w:t>
      </w:r>
    </w:p>
    <w:p>
      <w:pPr>
        <w:spacing w:after="120" w:line="276"/>
        <w:ind w:left="720" w:hanging="360"/>
      </w:pPr>
      <w:r>
        <w:rPr>
          <w:rFonts w:ascii="Arial" w:cs="Arial" w:eastAsia="Arial" w:hAnsi="Arial"/>
          <w:b/>
          <w:bCs/>
          <w:sz w:val="22"/>
          <w:szCs w:val="22"/>
        </w:rPr>
        <w:t xml:space="preserve">• </w:t>
      </w:r>
      <w:r>
        <w:rPr>
          <w:rFonts w:ascii="Arial" w:cs="Arial" w:eastAsia="Arial" w:hAnsi="Arial"/>
          <w:sz w:val="22"/>
          <w:szCs w:val="22"/>
        </w:rPr>
        <w:t xml:space="preserve">A competitor makes claims about Monkton or its products that you need to address</w:t>
      </w:r>
    </w:p>
    <w:p>
      <w:pPr>
        <w:spacing w:after="120" w:line="276"/>
        <w:ind w:left="720" w:hanging="360"/>
      </w:pPr>
      <w:r>
        <w:rPr>
          <w:rFonts w:ascii="Arial" w:cs="Arial" w:eastAsia="Arial" w:hAnsi="Arial"/>
          <w:b/>
          <w:bCs/>
          <w:sz w:val="22"/>
          <w:szCs w:val="22"/>
        </w:rPr>
        <w:t xml:space="preserve">• </w:t>
      </w:r>
      <w:r>
        <w:rPr>
          <w:rFonts w:ascii="Arial" w:cs="Arial" w:eastAsia="Arial" w:hAnsi="Arial"/>
          <w:sz w:val="22"/>
          <w:szCs w:val="22"/>
        </w:rPr>
        <w:t xml:space="preserve">You become aware of a conflict of interest or potential breach of the ICA</w:t>
      </w:r>
    </w:p>
    <w:p>
      <w:pPr>
        <w:spacing w:after="120" w:line="276"/>
        <w:ind w:left="720" w:hanging="360"/>
      </w:pPr>
      <w:r>
        <w:rPr>
          <w:rFonts w:ascii="Arial" w:cs="Arial" w:eastAsia="Arial" w:hAnsi="Arial"/>
          <w:b/>
          <w:bCs/>
          <w:sz w:val="22"/>
          <w:szCs w:val="22"/>
        </w:rPr>
        <w:t xml:space="preserve">• </w:t>
      </w:r>
      <w:r>
        <w:rPr>
          <w:rFonts w:ascii="Arial" w:cs="Arial" w:eastAsia="Arial" w:hAnsi="Arial"/>
          <w:sz w:val="22"/>
          <w:szCs w:val="22"/>
        </w:rPr>
        <w:t xml:space="preserve">A deal stalls and you need senior Monkton involvement to unblock it</w:t>
      </w:r>
    </w:p>
    <w:p>
      <w:pPr>
        <w:spacing w:after="120" w:line="276"/>
        <w:ind w:left="720" w:hanging="360"/>
      </w:pPr>
      <w:r>
        <w:rPr>
          <w:rFonts w:ascii="Arial" w:cs="Arial" w:eastAsia="Arial" w:hAnsi="Arial"/>
          <w:b/>
          <w:bCs/>
          <w:sz w:val="22"/>
          <w:szCs w:val="22"/>
        </w:rPr>
        <w:t xml:space="preserve">• </w:t>
      </w:r>
      <w:r>
        <w:rPr>
          <w:rFonts w:ascii="Arial" w:cs="Arial" w:eastAsia="Arial" w:hAnsi="Arial"/>
          <w:sz w:val="22"/>
          <w:szCs w:val="22"/>
        </w:rPr>
        <w:t xml:space="preserve">A prospect raises concerns about data residency, GDPR, or Freedom of Information</w:t>
      </w:r>
    </w:p>
    <w:p>
      <w:pPr>
        <w:spacing w:after="120" w:line="276"/>
      </w:pPr>
      <w:r>
        <w:rPr>
          <w:rFonts w:ascii="Arial" w:cs="Arial" w:eastAsia="Arial" w:hAnsi="Arial"/>
          <w:b/>
          <w:bCs/>
          <w:sz w:val="22"/>
          <w:szCs w:val="22"/>
        </w:rPr>
        <w:t xml:space="preserve">Escalation contact: </w:t>
      </w:r>
      <w:r>
        <w:rPr>
          <w:rFonts w:ascii="Arial" w:cs="Arial" w:eastAsia="Arial" w:hAnsi="Arial"/>
          <w:sz w:val="22"/>
          <w:szCs w:val="22"/>
        </w:rPr>
        <w:t xml:space="preserve">[Name] — [email] — [phone]</w:t>
      </w:r>
    </w:p>
    <w:p>
      <w:pPr>
        <w:pStyle w:val="Heading1"/>
        <w:spacing w:after="200" w:before="360"/>
      </w:pPr>
      <w:r>
        <w:rPr>
          <w:rFonts w:ascii="Arial" w:cs="Arial" w:eastAsia="Arial" w:hAnsi="Arial"/>
          <w:b/>
          <w:bCs/>
          <w:sz w:val="28"/>
          <w:szCs w:val="28"/>
        </w:rPr>
        <w:t xml:space="preserve">10. CONDUCT AND COMPLIANCE</w:t>
      </w:r>
    </w:p>
    <w:p>
      <w:pPr>
        <w:spacing w:after="120" w:line="276"/>
      </w:pPr>
      <w:r>
        <w:rPr>
          <w:rFonts w:ascii="Arial" w:cs="Arial" w:eastAsia="Arial" w:hAnsi="Arial"/>
          <w:b/>
          <w:bCs/>
          <w:sz w:val="22"/>
          <w:szCs w:val="22"/>
        </w:rPr>
        <w:t xml:space="preserve">10.1 Anti-Bribery</w:t>
      </w:r>
    </w:p>
    <w:p>
      <w:pPr>
        <w:spacing w:after="120" w:line="276"/>
      </w:pPr>
      <w:r>
        <w:rPr>
          <w:rFonts w:ascii="Arial" w:cs="Arial" w:eastAsia="Arial" w:hAnsi="Arial"/>
          <w:sz w:val="22"/>
          <w:szCs w:val="22"/>
        </w:rPr>
        <w:t xml:space="preserve">The Bribery Act 2010 applies to all dealings with UK Government. You must not offer, promise, or give any financial or other advantage to any public official. This includes gifts, hospitality, entertainment, and facilitation payments. If in any doubt, do not proceed — escalate to Monkton.</w:t>
      </w:r>
    </w:p>
    <w:p>
      <w:pPr>
        <w:spacing w:after="120" w:line="276"/>
      </w:pPr>
      <w:r>
        <w:rPr>
          <w:rFonts w:ascii="Arial" w:cs="Arial" w:eastAsia="Arial" w:hAnsi="Arial"/>
          <w:b/>
          <w:bCs/>
          <w:sz w:val="22"/>
          <w:szCs w:val="22"/>
        </w:rPr>
        <w:t xml:space="preserve">10.2 Gifts and Hospitality</w:t>
      </w:r>
    </w:p>
    <w:p>
      <w:pPr>
        <w:spacing w:after="120" w:line="276"/>
      </w:pPr>
      <w:r>
        <w:rPr>
          <w:rFonts w:ascii="Arial" w:cs="Arial" w:eastAsia="Arial" w:hAnsi="Arial"/>
          <w:sz w:val="22"/>
          <w:szCs w:val="22"/>
        </w:rPr>
        <w:t xml:space="preserve">Government departments have strict limits on gifts and hospitality. As a general rule: do not offer anything beyond a modest working lunch or coffee. Anything above £25 in value should be pre-approved by Monkton. Keep records of all hospitality provided.</w:t>
      </w:r>
    </w:p>
    <w:p>
      <w:pPr>
        <w:spacing w:after="120" w:line="276"/>
      </w:pPr>
      <w:r>
        <w:rPr>
          <w:rFonts w:ascii="Arial" w:cs="Arial" w:eastAsia="Arial" w:hAnsi="Arial"/>
          <w:b/>
          <w:bCs/>
          <w:sz w:val="22"/>
          <w:szCs w:val="22"/>
        </w:rPr>
        <w:t xml:space="preserve">10.3 Conflicts of Interest</w:t>
      </w:r>
    </w:p>
    <w:p>
      <w:pPr>
        <w:spacing w:after="120" w:line="276"/>
      </w:pPr>
      <w:r>
        <w:rPr>
          <w:rFonts w:ascii="Arial" w:cs="Arial" w:eastAsia="Arial" w:hAnsi="Arial"/>
          <w:sz w:val="22"/>
          <w:szCs w:val="22"/>
        </w:rPr>
        <w:t xml:space="preserve">Disclose to Monkton any relationship, engagement, or interest that could create a conflict with your obligations under the ICA. This includes but is not limited to: selling competing products, having personal relationships with procurement officials, or holding interests in companies that compete with Monkton.</w:t>
      </w:r>
    </w:p>
    <w:p>
      <w:pPr>
        <w:spacing w:after="120" w:line="276"/>
      </w:pPr>
      <w:r>
        <w:rPr>
          <w:rFonts w:ascii="Arial" w:cs="Arial" w:eastAsia="Arial" w:hAnsi="Arial"/>
          <w:b/>
          <w:bCs/>
          <w:sz w:val="22"/>
          <w:szCs w:val="22"/>
        </w:rPr>
        <w:t xml:space="preserve">10.4 FOI and Transparency</w:t>
      </w:r>
    </w:p>
    <w:p>
      <w:pPr>
        <w:spacing w:after="120" w:line="276"/>
      </w:pPr>
      <w:r>
        <w:rPr>
          <w:rFonts w:ascii="Arial" w:cs="Arial" w:eastAsia="Arial" w:hAnsi="Arial"/>
          <w:sz w:val="22"/>
          <w:szCs w:val="22"/>
        </w:rPr>
        <w:t xml:space="preserve">Be aware that communications with UK Government bodies may be subject to Freedom of Information requests. Write every email and document as if it could be published. Do not include anything in prospect communications that would be embarrassing, misleading, or commercially damaging if disclosed publicly.</w:t>
      </w:r>
    </w:p>
    <w:p>
      <w:pPr>
        <w:pStyle w:val="Heading1"/>
        <w:spacing w:after="200" w:before="360"/>
      </w:pPr>
      <w:r>
        <w:rPr>
          <w:rFonts w:ascii="Arial" w:cs="Arial" w:eastAsia="Arial" w:hAnsi="Arial"/>
          <w:b/>
          <w:bCs/>
          <w:sz w:val="28"/>
          <w:szCs w:val="28"/>
        </w:rPr>
        <w:t xml:space="preserve">11. AMENDMENTS</w:t>
      </w:r>
    </w:p>
    <w:p>
      <w:pPr>
        <w:spacing w:after="120" w:line="276"/>
      </w:pPr>
      <w:r>
        <w:rPr>
          <w:rFonts w:ascii="Arial" w:cs="Arial" w:eastAsia="Arial" w:hAnsi="Arial"/>
          <w:sz w:val="22"/>
          <w:szCs w:val="22"/>
        </w:rPr>
        <w:t xml:space="preserve">These Rules of Engagement may be updated by Monkton from time to time. Monkton will give reasonable notice of material changes and will consult with active contractors before implementing changes that significantly affect working practices. Updated versions will be issued with a new version number and date.</w:t>
      </w:r>
    </w:p>
    <w:p>
      <w:pPr>
        <w:spacing w:before="600"/>
      </w:pPr>
    </w:p>
    <w:p>
      <w:pPr>
        <w:spacing w:after="120" w:line="276"/>
      </w:pPr>
      <w:r>
        <w:rPr>
          <w:rFonts w:ascii="Arial" w:cs="Arial" w:eastAsia="Arial" w:hAnsi="Arial"/>
          <w:b/>
          <w:bCs/>
          <w:sz w:val="22"/>
          <w:szCs w:val="22"/>
        </w:rPr>
        <w:t xml:space="preserve">ACKNOWLEDGED AND AGREED:</w:t>
      </w:r>
    </w:p>
    <w:p>
      <w:pPr>
        <w:spacing w:before="300"/>
      </w:pPr>
    </w:p>
    <w:p>
      <w:pPr>
        <w:spacing w:after="120" w:line="276"/>
      </w:pPr>
      <w:r>
        <w:rPr>
          <w:rFonts w:ascii="Arial" w:cs="Arial" w:eastAsia="Arial" w:hAnsi="Arial"/>
          <w:b/>
          <w:bCs/>
          <w:sz w:val="22"/>
          <w:szCs w:val="22"/>
        </w:rPr>
        <w:t xml:space="preserve">Contractor:</w:t>
      </w:r>
    </w:p>
    <w:p>
      <w:pPr>
        <w:spacing w:before="200"/>
      </w:pPr>
    </w:p>
    <w:p>
      <w:pPr>
        <w:spacing w:after="120" w:line="276"/>
      </w:pPr>
      <w:r>
        <w:rPr>
          <w:rFonts w:ascii="Arial" w:cs="Arial" w:eastAsia="Arial" w:hAnsi="Arial"/>
          <w:sz w:val="22"/>
          <w:szCs w:val="22"/>
        </w:rPr>
        <w:t xml:space="preserve">Signature: ____________________________________</w:t>
      </w:r>
    </w:p>
    <w:p>
      <w:pPr>
        <w:spacing w:after="120" w:line="276"/>
      </w:pPr>
      <w:r>
        <w:rPr>
          <w:rFonts w:ascii="Arial" w:cs="Arial" w:eastAsia="Arial" w:hAnsi="Arial"/>
          <w:sz w:val="22"/>
          <w:szCs w:val="22"/>
        </w:rPr>
        <w:t xml:space="preserve">Name: ____________________________________</w:t>
      </w:r>
    </w:p>
    <w:p>
      <w:pPr>
        <w:spacing w:after="120" w:line="276"/>
      </w:pPr>
      <w:r>
        <w:rPr>
          <w:rFonts w:ascii="Arial" w:cs="Arial" w:eastAsia="Arial" w:hAnsi="Arial"/>
          <w:sz w:val="22"/>
          <w:szCs w:val="22"/>
        </w:rPr>
        <w:t xml:space="preserve">Date: ____________________________________</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999999"/>
        <w:sz w:val="16"/>
        <w:szCs w:val="16"/>
      </w:rPr>
      <w:t xml:space="preserve">Rules of Engagement — v1.0</w:t>
    </w:r>
    <w:r>
      <w:t xml:space="preserve">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INTERNAL — CONTRACTOR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2026-03-19T17:56:43.167Z</dcterms:created>
  <dcterms:modified xsi:type="dcterms:W3CDTF">2026-03-19T17:56:43.167Z</dcterms:modified>
</cp:coreProperties>
</file>

<file path=docProps/custom.xml><?xml version="1.0" encoding="utf-8"?>
<Properties xmlns="http://schemas.openxmlformats.org/officeDocument/2006/custom-properties" xmlns:vt="http://schemas.openxmlformats.org/officeDocument/2006/docPropsVTypes"/>
</file>