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Arial" w:cs="Arial" w:eastAsia="Arial" w:hAnsi="Arial"/>
          <w:b/>
          <w:bCs/>
          <w:sz w:val="32"/>
          <w:szCs w:val="32"/>
        </w:rPr>
        <w:t xml:space="preserve">UK GOVERNMENT 1-PAGER</w:t>
      </w:r>
    </w:p>
    <w:p>
      <w:pPr>
        <w:spacing w:after="100"/>
        <w:jc w:val="center"/>
      </w:pPr>
      <w:r>
        <w:rPr>
          <w:rFonts w:ascii="Arial" w:cs="Arial" w:eastAsia="Arial" w:hAnsi="Arial"/>
          <w:i/>
          <w:iCs/>
          <w:color w:val="666666"/>
          <w:sz w:val="22"/>
          <w:szCs w:val="22"/>
        </w:rPr>
        <w:t xml:space="preserve">Adapted Copy for UK Government Buyers</w:t>
      </w:r>
    </w:p>
    <w:p>
      <w:pPr>
        <w:spacing w:after="400"/>
        <w:jc w:val="center"/>
      </w:pPr>
      <w:r>
        <w:rPr>
          <w:rFonts w:ascii="Arial" w:cs="Arial" w:eastAsia="Arial" w:hAnsi="Arial"/>
          <w:sz w:val="22"/>
          <w:szCs w:val="22"/>
        </w:rPr>
        <w:t xml:space="preserve">Copy deck for design layout — to be applied to existing branded A4 template</w:t>
      </w:r>
    </w:p>
    <w:p>
      <w:pPr>
        <w:pStyle w:val="Heading1"/>
        <w:spacing w:after="200" w:before="360"/>
      </w:pPr>
      <w:r>
        <w:rPr>
          <w:rFonts w:ascii="Arial" w:cs="Arial" w:eastAsia="Arial" w:hAnsi="Arial"/>
          <w:b/>
          <w:bCs/>
          <w:sz w:val="28"/>
          <w:szCs w:val="28"/>
        </w:rPr>
        <w:t xml:space="preserve">LAYOUT NOTES FOR DESIGNER</w:t>
      </w:r>
    </w:p>
    <w:p>
      <w:pPr>
        <w:spacing w:after="120" w:line="276"/>
      </w:pPr>
      <w:r>
        <w:rPr>
          <w:rFonts w:ascii="Arial" w:cs="Arial" w:eastAsia="Arial" w:hAnsi="Arial"/>
          <w:sz w:val="22"/>
          <w:szCs w:val="22"/>
        </w:rPr>
        <w:t xml:space="preserve">This document provides the adapted copy for a 2-page A4 marketing document. The layout should follow the existing Monkton 1-pager template (dark teal header bar, Monkton logo top-left, FVEY badge top-right, two-column body, icon strip, and teal footer bar with contact details). Where changes affect layout, notes are included.</w:t>
      </w:r>
    </w:p>
    <w:p>
      <w:pPr>
        <w:spacing w:after="120" w:line="276"/>
      </w:pPr>
      <w:r>
        <w:rPr>
          <w:rFonts w:ascii="Arial" w:cs="Arial" w:eastAsia="Arial" w:hAnsi="Arial"/>
          <w:b/>
          <w:bCs/>
          <w:sz w:val="22"/>
          <w:szCs w:val="22"/>
        </w:rPr>
        <w:t xml:space="preserve">Key changes from current version: </w:t>
      </w:r>
      <w:r>
        <w:rPr>
          <w:rFonts w:ascii="Arial" w:cs="Arial" w:eastAsia="Arial" w:hAnsi="Arial"/>
          <w:sz w:val="22"/>
          <w:szCs w:val="22"/>
        </w:rPr>
        <w:t xml:space="preserve">Procurement routes callout added; UK compliance references strengthened; broader UK government use cases alongside defence; "How to Buy" section replaces summary box on page 2 with multiple procurement routes (not just G-Cloud).</w:t>
      </w:r>
    </w:p>
    <w:p>
      <w:r>
        <w:br w:type="page"/>
      </w:r>
    </w:p>
    <w:p>
      <w:pPr>
        <w:pStyle w:val="Heading1"/>
        <w:spacing w:after="200" w:before="360"/>
      </w:pPr>
      <w:r>
        <w:rPr>
          <w:rFonts w:ascii="Arial" w:cs="Arial" w:eastAsia="Arial" w:hAnsi="Arial"/>
          <w:b/>
          <w:bCs/>
          <w:sz w:val="28"/>
          <w:szCs w:val="28"/>
        </w:rPr>
        <w:t xml:space="preserve">PAGE 1</w:t>
      </w:r>
    </w:p>
    <w:p>
      <w:pPr>
        <w:spacing w:after="120"/>
      </w:pPr>
    </w:p>
    <w:p>
      <w:pPr>
        <w:spacing w:after="120" w:line="276"/>
      </w:pPr>
      <w:r>
        <w:rPr>
          <w:rFonts w:ascii="Arial" w:cs="Arial" w:eastAsia="Arial" w:hAnsi="Arial"/>
          <w:b/>
          <w:bCs/>
          <w:sz w:val="22"/>
          <w:szCs w:val="22"/>
        </w:rPr>
        <w:t xml:space="preserve">HEADER BAR</w:t>
      </w:r>
    </w:p>
    <w:p>
      <w:pPr>
        <w:spacing w:after="120" w:line="276"/>
      </w:pPr>
      <w:r>
        <w:rPr>
          <w:rFonts w:ascii="Arial" w:cs="Arial" w:eastAsia="Arial" w:hAnsi="Arial"/>
          <w:sz w:val="22"/>
          <w:szCs w:val="22"/>
        </w:rPr>
        <w:t xml:space="preserve">[Monkton logo, left] — [FVEY Compliant / Hardened Solutions badge, right]</w:t>
      </w:r>
    </w:p>
    <w:p>
      <w:pPr>
        <w:spacing w:after="120" w:line="276"/>
      </w:pPr>
      <w:r>
        <w:rPr>
          <w:rFonts w:ascii="Arial" w:cs="Arial" w:eastAsia="Arial" w:hAnsi="Arial"/>
          <w:b/>
          <w:bCs/>
          <w:sz w:val="22"/>
          <w:szCs w:val="22"/>
        </w:rPr>
        <w:t xml:space="preserve">Headline: </w:t>
      </w:r>
      <w:r>
        <w:rPr>
          <w:rFonts w:ascii="Arial" w:cs="Arial" w:eastAsia="Arial" w:hAnsi="Arial"/>
          <w:sz w:val="22"/>
          <w:szCs w:val="22"/>
        </w:rPr>
        <w:t xml:space="preserve">Accelerate Mission-Critical Operations at the Tactical Edge</w:t>
      </w:r>
    </w:p>
    <w:p>
      <w:pPr>
        <w:spacing w:after="120" w:line="276"/>
      </w:pPr>
      <w:r>
        <w:rPr>
          <w:rFonts w:ascii="Arial" w:cs="Arial" w:eastAsia="Arial" w:hAnsi="Arial"/>
          <w:i/>
          <w:iCs/>
          <w:sz w:val="22"/>
          <w:szCs w:val="22"/>
        </w:rPr>
        <w:t xml:space="preserve">[Changed "Care" to "Operations" to broaden beyond health use case]</w:t>
      </w:r>
    </w:p>
    <w:p>
      <w:pPr>
        <w:spacing w:after="200"/>
      </w:pPr>
    </w:p>
    <w:p>
      <w:pPr>
        <w:spacing w:after="120" w:line="276"/>
      </w:pPr>
      <w:r>
        <w:rPr>
          <w:rFonts w:ascii="Arial" w:cs="Arial" w:eastAsia="Arial" w:hAnsi="Arial"/>
          <w:b/>
          <w:bCs/>
          <w:sz w:val="22"/>
          <w:szCs w:val="22"/>
        </w:rPr>
        <w:t xml:space="preserve">★ NEW ELEMENT: PROCUREMENT CALLOUT BANNER</w:t>
      </w:r>
    </w:p>
    <w:p>
      <w:pPr>
        <w:spacing w:after="120" w:line="276"/>
      </w:pPr>
      <w:r>
        <w:rPr>
          <w:rFonts w:ascii="Arial" w:cs="Arial" w:eastAsia="Arial" w:hAnsi="Arial"/>
          <w:i/>
          <w:iCs/>
          <w:sz w:val="22"/>
          <w:szCs w:val="22"/>
        </w:rPr>
        <w:t xml:space="preserve">[Designer note: Add a prominent banner or badge below the header bar. Teal or blue background, white text. Should be one of the first things a reader sees.]</w:t>
      </w:r>
    </w:p>
    <w:p>
      <w:pPr>
        <w:spacing w:after="120" w:line="276"/>
        <w:ind w:left="720"/>
      </w:pPr>
      <w:r>
        <w:rPr>
          <w:rFonts w:ascii="Arial" w:cs="Arial" w:eastAsia="Arial" w:hAnsi="Arial"/>
          <w:b/>
          <w:bCs/>
          <w:sz w:val="22"/>
          <w:szCs w:val="22"/>
        </w:rPr>
        <w:t xml:space="preserve">Available on G-Cloud and other UK Government frameworks</w:t>
      </w:r>
    </w:p>
    <w:p>
      <w:pPr>
        <w:spacing w:after="120" w:line="276"/>
        <w:ind w:left="720"/>
      </w:pPr>
      <w:r>
        <w:rPr>
          <w:rFonts w:ascii="Arial" w:cs="Arial" w:eastAsia="Arial" w:hAnsi="Arial"/>
          <w:sz w:val="22"/>
          <w:szCs w:val="22"/>
        </w:rPr>
        <w:t xml:space="preserve">Simplified procurement through pre-approved routes. See page 2 for details.</w:t>
      </w:r>
    </w:p>
    <w:p>
      <w:pPr>
        <w:spacing w:after="200"/>
      </w:pPr>
    </w:p>
    <w:p>
      <w:pPr>
        <w:spacing w:after="120" w:line="276"/>
      </w:pPr>
      <w:r>
        <w:rPr>
          <w:rFonts w:ascii="Arial" w:cs="Arial" w:eastAsia="Arial" w:hAnsi="Arial"/>
          <w:b/>
          <w:bCs/>
          <w:sz w:val="22"/>
          <w:szCs w:val="22"/>
        </w:rPr>
        <w:t xml:space="preserve">LEFT COLUMN: "Monkton UK"</w:t>
      </w:r>
    </w:p>
    <w:p>
      <w:pPr>
        <w:spacing w:after="120" w:line="276"/>
      </w:pPr>
      <w:r>
        <w:rPr>
          <w:rFonts w:ascii="Arial" w:cs="Arial" w:eastAsia="Arial" w:hAnsi="Arial"/>
          <w:b/>
          <w:bCs/>
          <w:sz w:val="22"/>
          <w:szCs w:val="22"/>
        </w:rPr>
        <w:t xml:space="preserve">Heading: </w:t>
      </w:r>
      <w:r>
        <w:rPr>
          <w:rFonts w:ascii="Arial" w:cs="Arial" w:eastAsia="Arial" w:hAnsi="Arial"/>
          <w:sz w:val="22"/>
          <w:szCs w:val="22"/>
        </w:rPr>
        <w:t xml:space="preserve">Monkton UK</w:t>
      </w:r>
    </w:p>
    <w:p>
      <w:pPr>
        <w:spacing w:after="80"/>
      </w:pPr>
    </w:p>
    <w:p>
      <w:pPr>
        <w:spacing w:after="120" w:line="276"/>
      </w:pPr>
      <w:r>
        <w:rPr>
          <w:rFonts w:ascii="Arial" w:cs="Arial" w:eastAsia="Arial" w:hAnsi="Arial"/>
          <w:b/>
          <w:bCs/>
          <w:sz w:val="22"/>
          <w:szCs w:val="22"/>
        </w:rPr>
        <w:t xml:space="preserve">Body copy:</w:t>
      </w:r>
    </w:p>
    <w:p>
      <w:pPr>
        <w:spacing w:after="120" w:line="276"/>
      </w:pPr>
      <w:r>
        <w:rPr>
          <w:rFonts w:ascii="Arial" w:cs="Arial" w:eastAsia="Arial" w:hAnsi="Arial"/>
          <w:sz w:val="22"/>
          <w:szCs w:val="22"/>
        </w:rPr>
        <w:t xml:space="preserve">Monkton is a cloud managed services provider based in the UK, delivering pre-vetted security and compliance solutions for the Five Eyes community, NATO member nations, and partners.</w:t>
      </w:r>
    </w:p>
    <w:p>
      <w:pPr>
        <w:spacing w:after="120" w:line="276"/>
      </w:pPr>
      <w:r>
        <w:rPr>
          <w:rFonts w:ascii="Arial" w:cs="Arial" w:eastAsia="Arial" w:hAnsi="Arial"/>
          <w:sz w:val="22"/>
          <w:szCs w:val="22"/>
        </w:rPr>
        <w:t xml:space="preserve">From emerging cyber threats and cross-domain intelligence to delivering secure mobile applications at the tactical edge, Monkton transforms operational complexity into hardened, mobile-first architectures that empower organisations to capture and share mission-critical data in real time across coalition environments.</w:t>
      </w:r>
    </w:p>
    <w:p>
      <w:pPr>
        <w:spacing w:after="120" w:line="276"/>
      </w:pPr>
      <w:r>
        <w:rPr>
          <w:rFonts w:ascii="Arial" w:cs="Arial" w:eastAsia="Arial" w:hAnsi="Arial"/>
          <w:sz w:val="22"/>
          <w:szCs w:val="22"/>
        </w:rPr>
        <w:t xml:space="preserve">A comprehensive suite of professional services supports the implementation, configuration, and maintenance of solutions across eight distinct capability areas. Personnel drawn from Five Eyes member nations work collaboratively to ensure every deployment aligns with governmental policies, procedures, and cybersecurity best practices.</w:t>
      </w:r>
    </w:p>
    <w:p>
      <w:pPr>
        <w:spacing w:after="80"/>
      </w:pPr>
    </w:p>
    <w:p>
      <w:pPr>
        <w:spacing w:after="120" w:line="276"/>
      </w:pPr>
      <w:r>
        <w:rPr>
          <w:rFonts w:ascii="Arial" w:cs="Arial" w:eastAsia="Arial" w:hAnsi="Arial"/>
          <w:b/>
          <w:bCs/>
          <w:sz w:val="22"/>
          <w:szCs w:val="22"/>
        </w:rPr>
        <w:t xml:space="preserve">★ NEW ELEMENT: UK Compliance Badges Row</w:t>
      </w:r>
    </w:p>
    <w:p>
      <w:pPr>
        <w:spacing w:after="120" w:line="276"/>
      </w:pPr>
      <w:r>
        <w:rPr>
          <w:rFonts w:ascii="Arial" w:cs="Arial" w:eastAsia="Arial" w:hAnsi="Arial"/>
          <w:i/>
          <w:iCs/>
          <w:sz w:val="22"/>
          <w:szCs w:val="22"/>
        </w:rPr>
        <w:t xml:space="preserve">[Designer note: Add a row of 3–4 small badges beneath the Monkton UK section:]</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UK GDPR Compliant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Cyber Essentials Plus [if applicable]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FIPS 140-2 Validated</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G-Cloud Listed</w:t>
      </w:r>
    </w:p>
    <w:p>
      <w:pPr>
        <w:spacing w:after="200"/>
      </w:pPr>
    </w:p>
    <w:p>
      <w:pPr>
        <w:spacing w:after="120" w:line="276"/>
      </w:pPr>
      <w:r>
        <w:rPr>
          <w:rFonts w:ascii="Arial" w:cs="Arial" w:eastAsia="Arial" w:hAnsi="Arial"/>
          <w:b/>
          <w:bCs/>
          <w:sz w:val="22"/>
          <w:szCs w:val="22"/>
        </w:rPr>
        <w:t xml:space="preserve">RIGHT COLUMN: "No-Code Workflow"</w:t>
      </w:r>
    </w:p>
    <w:p>
      <w:pPr>
        <w:spacing w:after="120" w:line="276"/>
      </w:pPr>
      <w:r>
        <w:rPr>
          <w:rFonts w:ascii="Arial" w:cs="Arial" w:eastAsia="Arial" w:hAnsi="Arial"/>
          <w:b/>
          <w:bCs/>
          <w:sz w:val="22"/>
          <w:szCs w:val="22"/>
        </w:rPr>
        <w:t xml:space="preserve">Heading: </w:t>
      </w:r>
      <w:r>
        <w:rPr>
          <w:rFonts w:ascii="Arial" w:cs="Arial" w:eastAsia="Arial" w:hAnsi="Arial"/>
          <w:sz w:val="22"/>
          <w:szCs w:val="22"/>
        </w:rPr>
        <w:t xml:space="preserve">No-Code Workflow</w:t>
      </w:r>
    </w:p>
    <w:p>
      <w:pPr>
        <w:spacing w:after="120" w:line="276"/>
      </w:pPr>
      <w:r>
        <w:rPr>
          <w:rFonts w:ascii="Arial" w:cs="Arial" w:eastAsia="Arial" w:hAnsi="Arial"/>
          <w:b/>
          <w:bCs/>
          <w:sz w:val="22"/>
          <w:szCs w:val="22"/>
        </w:rPr>
        <w:t xml:space="preserve">Subheading: </w:t>
      </w:r>
      <w:r>
        <w:rPr>
          <w:rFonts w:ascii="Arial" w:cs="Arial" w:eastAsia="Arial" w:hAnsi="Arial"/>
          <w:sz w:val="22"/>
          <w:szCs w:val="22"/>
        </w:rPr>
        <w:t xml:space="preserve">Rapid Compliance with Evolving Obligations</w:t>
      </w:r>
    </w:p>
    <w:p>
      <w:pPr>
        <w:spacing w:after="80"/>
      </w:pPr>
    </w:p>
    <w:p>
      <w:pPr>
        <w:spacing w:after="120" w:line="276"/>
      </w:pPr>
      <w:r>
        <w:rPr>
          <w:rFonts w:ascii="Arial" w:cs="Arial" w:eastAsia="Arial" w:hAnsi="Arial"/>
          <w:b/>
          <w:bCs/>
          <w:sz w:val="22"/>
          <w:szCs w:val="22"/>
        </w:rPr>
        <w:t xml:space="preserve">Body copy:</w:t>
      </w:r>
    </w:p>
    <w:p>
      <w:pPr>
        <w:spacing w:after="120" w:line="276"/>
      </w:pPr>
      <w:r>
        <w:rPr>
          <w:rFonts w:ascii="Arial" w:cs="Arial" w:eastAsia="Arial" w:hAnsi="Arial"/>
          <w:sz w:val="22"/>
          <w:szCs w:val="22"/>
        </w:rPr>
        <w:t xml:space="preserve">Monkton ISE (Information Sharing Environment) is a secure, cloud-hosted platform purpose-built for mission-critical information management across defence, security, and coalition operations. Whether tracking the health of detainees, managing inter-agency intelligence, coordinating irregular migration responses, or supporting humanitarian obligations under international law, the ISE adapts to each mission with speed and precision.</w:t>
      </w:r>
    </w:p>
    <w:p>
      <w:pPr>
        <w:spacing w:after="120" w:line="276"/>
      </w:pPr>
      <w:r>
        <w:rPr>
          <w:rFonts w:ascii="Arial" w:cs="Arial" w:eastAsia="Arial" w:hAnsi="Arial"/>
          <w:sz w:val="22"/>
          <w:szCs w:val="22"/>
        </w:rPr>
        <w:t xml:space="preserve">Using the platform’s no-code configuration tools, operational leads and programme managers can design, modify, and deploy data capture and workflow pathways through a straightforward web-based interface — without the need for specialist software development skills or dedicated IT teams. Where conventional systems typically require weeks or months of custom development, Monkton ISE can be tailored and made operational within hours or days.</w:t>
      </w:r>
    </w:p>
    <w:p>
      <w:pPr>
        <w:spacing w:after="120" w:line="276"/>
      </w:pPr>
      <w:r>
        <w:rPr>
          <w:rFonts w:ascii="Arial" w:cs="Arial" w:eastAsia="Arial" w:hAnsi="Arial"/>
          <w:i/>
          <w:iCs/>
          <w:sz w:val="22"/>
          <w:szCs w:val="22"/>
        </w:rPr>
        <w:t xml:space="preserve">[Changes: "Program Managers" → "programme managers"; "prisoners of war" softened to "detainees" for broader applicability]</w:t>
      </w:r>
    </w:p>
    <w:p>
      <w:pPr>
        <w:spacing w:after="200"/>
      </w:pPr>
    </w:p>
    <w:p>
      <w:pPr>
        <w:spacing w:after="120" w:line="276"/>
      </w:pPr>
      <w:r>
        <w:rPr>
          <w:rFonts w:ascii="Arial" w:cs="Arial" w:eastAsia="Arial" w:hAnsi="Arial"/>
          <w:b/>
          <w:bCs/>
          <w:sz w:val="22"/>
          <w:szCs w:val="22"/>
        </w:rPr>
        <w:t xml:space="preserve">ICON STRIP + STRAPLINE + FOOTER</w:t>
      </w:r>
    </w:p>
    <w:p>
      <w:pPr>
        <w:spacing w:after="120" w:line="276"/>
      </w:pPr>
      <w:r>
        <w:rPr>
          <w:rFonts w:ascii="Arial" w:cs="Arial" w:eastAsia="Arial" w:hAnsi="Arial"/>
          <w:sz w:val="22"/>
          <w:szCs w:val="22"/>
        </w:rPr>
        <w:t xml:space="preserve">[No changes to icon strip (Fast, Easy, Maintainable, Flexible, No Coding), strapline, or footer. All work well as-is.]</w:t>
      </w:r>
    </w:p>
    <w:p>
      <w:r>
        <w:br w:type="page"/>
      </w:r>
    </w:p>
    <w:p>
      <w:pPr>
        <w:pStyle w:val="Heading1"/>
        <w:spacing w:after="200" w:before="360"/>
      </w:pPr>
      <w:r>
        <w:rPr>
          <w:rFonts w:ascii="Arial" w:cs="Arial" w:eastAsia="Arial" w:hAnsi="Arial"/>
          <w:b/>
          <w:bCs/>
          <w:sz w:val="28"/>
          <w:szCs w:val="28"/>
        </w:rPr>
        <w:t xml:space="preserve">PAGE 2</w:t>
      </w:r>
    </w:p>
    <w:p>
      <w:pPr>
        <w:spacing w:after="120"/>
      </w:pPr>
    </w:p>
    <w:p>
      <w:pPr>
        <w:spacing w:after="120" w:line="276"/>
      </w:pPr>
      <w:r>
        <w:rPr>
          <w:rFonts w:ascii="Arial" w:cs="Arial" w:eastAsia="Arial" w:hAnsi="Arial"/>
          <w:b/>
          <w:bCs/>
          <w:sz w:val="22"/>
          <w:szCs w:val="22"/>
        </w:rPr>
        <w:t xml:space="preserve">HEADER BAR</w:t>
      </w:r>
    </w:p>
    <w:p>
      <w:pPr>
        <w:spacing w:after="120" w:line="276"/>
      </w:pPr>
      <w:r>
        <w:rPr>
          <w:rFonts w:ascii="Arial" w:cs="Arial" w:eastAsia="Arial" w:hAnsi="Arial"/>
          <w:b/>
          <w:bCs/>
          <w:sz w:val="22"/>
          <w:szCs w:val="22"/>
        </w:rPr>
        <w:t xml:space="preserve">Headline: </w:t>
      </w:r>
      <w:r>
        <w:rPr>
          <w:rFonts w:ascii="Arial" w:cs="Arial" w:eastAsia="Arial" w:hAnsi="Arial"/>
          <w:sz w:val="22"/>
          <w:szCs w:val="22"/>
        </w:rPr>
        <w:t xml:space="preserve">Bridge the Gap Between Auditable Data and Actionable Insight</w:t>
      </w:r>
    </w:p>
    <w:p>
      <w:pPr>
        <w:spacing w:after="200"/>
      </w:pPr>
    </w:p>
    <w:p>
      <w:pPr>
        <w:spacing w:after="120" w:line="276"/>
      </w:pPr>
      <w:r>
        <w:rPr>
          <w:rFonts w:ascii="Arial" w:cs="Arial" w:eastAsia="Arial" w:hAnsi="Arial"/>
          <w:b/>
          <w:bCs/>
          <w:sz w:val="22"/>
          <w:szCs w:val="22"/>
        </w:rPr>
        <w:t xml:space="preserve">LEFT COLUMN: "A Secure Platform"</w:t>
      </w:r>
    </w:p>
    <w:p>
      <w:pPr>
        <w:spacing w:after="120" w:line="276"/>
      </w:pPr>
      <w:r>
        <w:rPr>
          <w:rFonts w:ascii="Arial" w:cs="Arial" w:eastAsia="Arial" w:hAnsi="Arial"/>
          <w:b/>
          <w:bCs/>
          <w:sz w:val="22"/>
          <w:szCs w:val="22"/>
        </w:rPr>
        <w:t xml:space="preserve">Heading: </w:t>
      </w:r>
      <w:r>
        <w:rPr>
          <w:rFonts w:ascii="Arial" w:cs="Arial" w:eastAsia="Arial" w:hAnsi="Arial"/>
          <w:sz w:val="22"/>
          <w:szCs w:val="22"/>
        </w:rPr>
        <w:t xml:space="preserve">A Secure Platform for Accountable, Auditable Operations</w:t>
      </w:r>
    </w:p>
    <w:p>
      <w:pPr>
        <w:spacing w:after="80"/>
      </w:pPr>
    </w:p>
    <w:p>
      <w:pPr>
        <w:spacing w:after="120" w:line="276"/>
      </w:pPr>
      <w:r>
        <w:rPr>
          <w:rFonts w:ascii="Arial" w:cs="Arial" w:eastAsia="Arial" w:hAnsi="Arial"/>
          <w:b/>
          <w:bCs/>
          <w:sz w:val="22"/>
          <w:szCs w:val="22"/>
        </w:rPr>
        <w:t xml:space="preserve">Body copy:</w:t>
      </w:r>
    </w:p>
    <w:p>
      <w:pPr>
        <w:spacing w:after="120" w:line="276"/>
      </w:pPr>
      <w:r>
        <w:rPr>
          <w:rFonts w:ascii="Arial" w:cs="Arial" w:eastAsia="Arial" w:hAnsi="Arial"/>
          <w:sz w:val="22"/>
          <w:szCs w:val="22"/>
        </w:rPr>
        <w:t xml:space="preserve">In any operational context — from detainee management to coalition intelligence sharing — the ability to demonstrate accountability to oversight bodies is paramount. Monkton ISE provides a proven, cloud-hosted platform for the secure capture, management, and sharing of sensitive operational information — creating the auditable record that legal and regulatory obligations demand.</w:t>
      </w:r>
    </w:p>
    <w:p>
      <w:pPr>
        <w:spacing w:after="120" w:line="276"/>
      </w:pPr>
      <w:r>
        <w:rPr>
          <w:rFonts w:ascii="Arial" w:cs="Arial" w:eastAsia="Arial" w:hAnsi="Arial"/>
          <w:sz w:val="22"/>
          <w:szCs w:val="22"/>
        </w:rPr>
        <w:t xml:space="preserve">The platform handles sensitive PII, classified information, and operationally critical data by design, with walled-garden security architecture, FIPS 140-2 encryption, role-based access control, and multi-factor authentication. All activity is monitored and logged. Its architecture aligns with Five Eyes and NATO interoperability standards for coalition operations, and supports UK Government classification markings including OFFICIAL and OFFICIAL-SENSITIVE.</w:t>
      </w:r>
    </w:p>
    <w:p>
      <w:pPr>
        <w:spacing w:after="120" w:line="276"/>
      </w:pPr>
      <w:r>
        <w:rPr>
          <w:rFonts w:ascii="Arial" w:cs="Arial" w:eastAsia="Arial" w:hAnsi="Arial"/>
          <w:i/>
          <w:iCs/>
          <w:sz w:val="22"/>
          <w:szCs w:val="22"/>
        </w:rPr>
        <w:t xml:space="preserve">[Change: Added UK classification handling reference; fixed "operation" → "operations" typo]</w:t>
      </w:r>
    </w:p>
    <w:p>
      <w:pPr>
        <w:spacing w:after="200"/>
      </w:pPr>
    </w:p>
    <w:p>
      <w:pPr>
        <w:spacing w:after="120" w:line="276"/>
      </w:pPr>
      <w:r>
        <w:rPr>
          <w:rFonts w:ascii="Arial" w:cs="Arial" w:eastAsia="Arial" w:hAnsi="Arial"/>
          <w:b/>
          <w:bCs/>
          <w:sz w:val="22"/>
          <w:szCs w:val="22"/>
        </w:rPr>
        <w:t xml:space="preserve">RIGHT COLUMN: "Intelligent Analytics"</w:t>
      </w:r>
    </w:p>
    <w:p>
      <w:pPr>
        <w:spacing w:after="120" w:line="276"/>
      </w:pPr>
      <w:r>
        <w:rPr>
          <w:rFonts w:ascii="Arial" w:cs="Arial" w:eastAsia="Arial" w:hAnsi="Arial"/>
          <w:b/>
          <w:bCs/>
          <w:sz w:val="22"/>
          <w:szCs w:val="22"/>
        </w:rPr>
        <w:t xml:space="preserve">Heading: </w:t>
      </w:r>
      <w:r>
        <w:rPr>
          <w:rFonts w:ascii="Arial" w:cs="Arial" w:eastAsia="Arial" w:hAnsi="Arial"/>
          <w:sz w:val="22"/>
          <w:szCs w:val="22"/>
        </w:rPr>
        <w:t xml:space="preserve">Intelligent Analytics and Early Warning for Proactive Surveillance</w:t>
      </w:r>
    </w:p>
    <w:p>
      <w:pPr>
        <w:spacing w:after="120" w:line="276"/>
      </w:pPr>
      <w:r>
        <w:rPr>
          <w:rFonts w:ascii="Arial" w:cs="Arial" w:eastAsia="Arial" w:hAnsi="Arial"/>
          <w:sz w:val="22"/>
          <w:szCs w:val="22"/>
        </w:rPr>
        <w:t xml:space="preserve">[No changes to this section — the existing copy is neutral and well-written.]</w:t>
      </w:r>
    </w:p>
    <w:p>
      <w:pPr>
        <w:spacing w:after="200"/>
      </w:pPr>
    </w:p>
    <w:p>
      <w:pPr>
        <w:spacing w:after="120" w:line="276"/>
      </w:pPr>
      <w:r>
        <w:rPr>
          <w:rFonts w:ascii="Arial" w:cs="Arial" w:eastAsia="Arial" w:hAnsi="Arial"/>
          <w:b/>
          <w:bCs/>
          <w:sz w:val="22"/>
          <w:szCs w:val="22"/>
        </w:rPr>
        <w:t xml:space="preserve">CAPABILITY WHEEL</w:t>
      </w:r>
    </w:p>
    <w:p>
      <w:pPr>
        <w:spacing w:after="120" w:line="276"/>
      </w:pPr>
      <w:r>
        <w:rPr>
          <w:rFonts w:ascii="Arial" w:cs="Arial" w:eastAsia="Arial" w:hAnsi="Arial"/>
          <w:sz w:val="22"/>
          <w:szCs w:val="22"/>
        </w:rPr>
        <w:t xml:space="preserve">[No changes — module descriptions are neutral and effective.]</w:t>
      </w:r>
    </w:p>
    <w:p>
      <w:pPr>
        <w:spacing w:after="200"/>
      </w:pPr>
    </w:p>
    <w:p>
      <w:pPr>
        <w:spacing w:after="120" w:line="276"/>
      </w:pPr>
      <w:r>
        <w:rPr>
          <w:rFonts w:ascii="Arial" w:cs="Arial" w:eastAsia="Arial" w:hAnsi="Arial"/>
          <w:b/>
          <w:bCs/>
          <w:sz w:val="22"/>
          <w:szCs w:val="22"/>
        </w:rPr>
        <w:t xml:space="preserve">★ REVISED ELEMENT: "How to Procure" Box</w:t>
      </w:r>
    </w:p>
    <w:p>
      <w:pPr>
        <w:spacing w:after="120" w:line="276"/>
      </w:pPr>
      <w:r>
        <w:rPr>
          <w:rFonts w:ascii="Arial" w:cs="Arial" w:eastAsia="Arial" w:hAnsi="Arial"/>
          <w:i/>
          <w:iCs/>
          <w:sz w:val="22"/>
          <w:szCs w:val="22"/>
        </w:rPr>
        <w:t xml:space="preserve">[Designer note: Replace the "Monkton ISE" summary box (bottom-right of page 2) with a "How to Procure" section. Same size and position.]</w:t>
      </w:r>
    </w:p>
    <w:p>
      <w:pPr>
        <w:spacing w:after="120"/>
      </w:pPr>
    </w:p>
    <w:p>
      <w:pPr>
        <w:spacing w:after="120" w:line="276"/>
      </w:pPr>
      <w:r>
        <w:rPr>
          <w:rFonts w:ascii="Arial" w:cs="Arial" w:eastAsia="Arial" w:hAnsi="Arial"/>
          <w:b/>
          <w:bCs/>
          <w:sz w:val="22"/>
          <w:szCs w:val="22"/>
        </w:rPr>
        <w:t xml:space="preserve">Heading: </w:t>
      </w:r>
      <w:r>
        <w:rPr>
          <w:rFonts w:ascii="Arial" w:cs="Arial" w:eastAsia="Arial" w:hAnsi="Arial"/>
          <w:sz w:val="22"/>
          <w:szCs w:val="22"/>
        </w:rPr>
        <w:t xml:space="preserve">How to Procure</w:t>
      </w:r>
    </w:p>
    <w:p>
      <w:pPr>
        <w:spacing w:after="80"/>
      </w:pPr>
    </w:p>
    <w:p>
      <w:pPr>
        <w:spacing w:after="120" w:line="276"/>
        <w:ind w:left="720"/>
      </w:pPr>
      <w:r>
        <w:rPr>
          <w:rFonts w:ascii="Arial" w:cs="Arial" w:eastAsia="Arial" w:hAnsi="Arial"/>
          <w:b/>
          <w:bCs/>
          <w:sz w:val="22"/>
          <w:szCs w:val="22"/>
        </w:rPr>
        <w:t xml:space="preserve">G-Cloud (Lot 3: Cloud Support)</w:t>
      </w:r>
    </w:p>
    <w:p>
      <w:pPr>
        <w:spacing w:after="120" w:line="276"/>
        <w:ind w:left="720"/>
      </w:pPr>
      <w:r>
        <w:rPr>
          <w:rFonts w:ascii="Arial" w:cs="Arial" w:eastAsia="Arial" w:hAnsi="Arial"/>
          <w:sz w:val="22"/>
          <w:szCs w:val="22"/>
        </w:rPr>
        <w:t xml:space="preserve">Our professional services are listed on the Digital Marketplace. Search for “Monkton” at digitalmarketplace.service.gov.uk for call-off without a full tender.</w:t>
      </w:r>
    </w:p>
    <w:p>
      <w:pPr>
        <w:spacing w:after="80"/>
      </w:pPr>
    </w:p>
    <w:p>
      <w:pPr>
        <w:spacing w:after="120" w:line="276"/>
        <w:ind w:left="720"/>
      </w:pPr>
      <w:r>
        <w:rPr>
          <w:rFonts w:ascii="Arial" w:cs="Arial" w:eastAsia="Arial" w:hAnsi="Arial"/>
          <w:b/>
          <w:bCs/>
          <w:sz w:val="22"/>
          <w:szCs w:val="22"/>
        </w:rPr>
        <w:t xml:space="preserve">Other Frameworks</w:t>
      </w:r>
    </w:p>
    <w:p>
      <w:pPr>
        <w:spacing w:after="120" w:line="276"/>
        <w:ind w:left="720"/>
      </w:pPr>
      <w:r>
        <w:rPr>
          <w:rFonts w:ascii="Arial" w:cs="Arial" w:eastAsia="Arial" w:hAnsi="Arial"/>
          <w:sz w:val="22"/>
          <w:szCs w:val="22"/>
        </w:rPr>
        <w:t xml:space="preserve">Monkton can also be procured through other UK Government frameworks depending on your department’s preferred procurement route. Contact us to discuss which framework best suits your requirements.</w:t>
      </w:r>
    </w:p>
    <w:p>
      <w:pPr>
        <w:spacing w:after="80"/>
      </w:pPr>
    </w:p>
    <w:p>
      <w:pPr>
        <w:spacing w:after="120" w:line="276"/>
        <w:ind w:left="720"/>
      </w:pPr>
      <w:r>
        <w:rPr>
          <w:rFonts w:ascii="Arial" w:cs="Arial" w:eastAsia="Arial" w:hAnsi="Arial"/>
          <w:b/>
          <w:bCs/>
          <w:sz w:val="22"/>
          <w:szCs w:val="22"/>
        </w:rPr>
        <w:t xml:space="preserve">Direct Engagement</w:t>
      </w:r>
    </w:p>
    <w:p>
      <w:pPr>
        <w:spacing w:after="120" w:line="276"/>
        <w:ind w:left="720"/>
      </w:pPr>
      <w:r>
        <w:rPr>
          <w:rFonts w:ascii="Arial" w:cs="Arial" w:eastAsia="Arial" w:hAnsi="Arial"/>
          <w:sz w:val="22"/>
          <w:szCs w:val="22"/>
        </w:rPr>
        <w:t xml:space="preserve">For bespoke deployments, SECRET+ environments, or requirements outside existing framework scope, contact us directly.</w:t>
      </w:r>
    </w:p>
    <w:p>
      <w:pPr>
        <w:spacing w:after="80"/>
      </w:pPr>
    </w:p>
    <w:p>
      <w:pPr>
        <w:spacing w:after="120" w:line="276"/>
        <w:ind w:left="720"/>
      </w:pPr>
      <w:r>
        <w:rPr>
          <w:rFonts w:ascii="Arial" w:cs="Arial" w:eastAsia="Arial" w:hAnsi="Arial"/>
          <w:b/>
          <w:bCs/>
          <w:sz w:val="22"/>
          <w:szCs w:val="22"/>
        </w:rPr>
        <w:t xml:space="preserve">Contact</w:t>
      </w:r>
    </w:p>
    <w:p>
      <w:pPr>
        <w:spacing w:after="120" w:line="276"/>
        <w:ind w:left="720"/>
      </w:pPr>
      <w:r>
        <w:rPr>
          <w:rFonts w:ascii="Arial" w:cs="Arial" w:eastAsia="Arial" w:hAnsi="Arial"/>
          <w:sz w:val="22"/>
          <w:szCs w:val="22"/>
        </w:rPr>
        <w:t xml:space="preserve">tom.easdown@monkton.io | +44 7810 548177 | www.monkton.io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UK Government 1-Pager Copy Deck — Revised</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2026-03-19T18:32:03.378Z</dcterms:created>
  <dcterms:modified xsi:type="dcterms:W3CDTF">2026-03-19T18:32:03.378Z</dcterms:modified>
</cp:coreProperties>
</file>

<file path=docProps/custom.xml><?xml version="1.0" encoding="utf-8"?>
<Properties xmlns="http://schemas.openxmlformats.org/officeDocument/2006/custom-properties" xmlns:vt="http://schemas.openxmlformats.org/officeDocument/2006/docPropsVTypes"/>
</file>