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28558" w14:textId="77777777" w:rsidR="00EE041C" w:rsidRPr="00B57616" w:rsidRDefault="00000000">
      <w:pPr>
        <w:spacing w:after="60"/>
        <w:jc w:val="center"/>
        <w:rPr>
          <w:rFonts w:ascii="Calibri" w:hAnsi="Calibri" w:cs="Calibri"/>
          <w:sz w:val="20"/>
          <w:szCs w:val="20"/>
        </w:rPr>
      </w:pPr>
      <w:r w:rsidRPr="00B57616">
        <w:rPr>
          <w:rFonts w:ascii="Calibri" w:hAnsi="Calibri" w:cs="Calibri"/>
          <w:b/>
          <w:bCs/>
          <w:color w:val="1F3864"/>
          <w:sz w:val="36"/>
          <w:szCs w:val="36"/>
        </w:rPr>
        <w:t xml:space="preserve">Evaluating and Improving </w:t>
      </w:r>
      <w:proofErr w:type="spellStart"/>
      <w:r w:rsidRPr="00B57616">
        <w:rPr>
          <w:rFonts w:ascii="Calibri" w:hAnsi="Calibri" w:cs="Calibri"/>
          <w:b/>
          <w:bCs/>
          <w:color w:val="1F3864"/>
          <w:sz w:val="36"/>
          <w:szCs w:val="36"/>
        </w:rPr>
        <w:t>Bankdata’s</w:t>
      </w:r>
      <w:proofErr w:type="spellEnd"/>
      <w:r w:rsidRPr="00B57616">
        <w:rPr>
          <w:rFonts w:ascii="Calibri" w:hAnsi="Calibri" w:cs="Calibri"/>
          <w:b/>
          <w:bCs/>
          <w:color w:val="1F3864"/>
          <w:sz w:val="36"/>
          <w:szCs w:val="36"/>
        </w:rPr>
        <w:t xml:space="preserve"> Cost Forecasts</w:t>
      </w:r>
    </w:p>
    <w:p w14:paraId="440266DF" w14:textId="440308B6" w:rsidR="00EE041C" w:rsidRDefault="00000000" w:rsidP="00B57616">
      <w:pPr>
        <w:spacing w:after="60"/>
        <w:jc w:val="center"/>
        <w:rPr>
          <w:rFonts w:eastAsia="SimSun"/>
          <w:sz w:val="24"/>
          <w:szCs w:val="24"/>
        </w:rPr>
      </w:pPr>
      <w:r w:rsidRPr="00B57616">
        <w:rPr>
          <w:sz w:val="24"/>
          <w:szCs w:val="24"/>
        </w:rPr>
        <w:t>Case 1 — Forecasting Analysis</w:t>
      </w:r>
    </w:p>
    <w:p w14:paraId="1040D375" w14:textId="079BCD6C" w:rsidR="00B57616" w:rsidRPr="00B57616" w:rsidRDefault="00B57616" w:rsidP="00B57616">
      <w:pPr>
        <w:spacing w:after="60"/>
        <w:jc w:val="center"/>
        <w:rPr>
          <w:rFonts w:eastAsia="SimSun" w:hint="eastAsia"/>
          <w:sz w:val="18"/>
          <w:szCs w:val="18"/>
        </w:rPr>
      </w:pPr>
      <w:r w:rsidRPr="00B57616">
        <w:rPr>
          <w:rFonts w:eastAsia="SimSun" w:hint="eastAsia"/>
          <w:sz w:val="20"/>
          <w:szCs w:val="20"/>
        </w:rPr>
        <w:t>DDBD Ruyi Zhong</w:t>
      </w:r>
    </w:p>
    <w:p w14:paraId="2B3161B0" w14:textId="77777777" w:rsidR="00EE041C" w:rsidRDefault="00000000">
      <w:pPr>
        <w:spacing w:after="280"/>
        <w:jc w:val="center"/>
      </w:pPr>
      <w:r>
        <w:rPr>
          <w:color w:val="666666"/>
          <w:sz w:val="20"/>
          <w:szCs w:val="20"/>
        </w:rPr>
        <w:t>Data Analytics in Accounting, Spring 2026 · Tools: Excel + Power BI</w:t>
      </w:r>
    </w:p>
    <w:p w14:paraId="207D6D43" w14:textId="77777777" w:rsidR="00EE041C" w:rsidRPr="00905551" w:rsidRDefault="00000000">
      <w:pPr>
        <w:pStyle w:val="Heading1"/>
        <w:rPr>
          <w:rFonts w:ascii="Calibri" w:hAnsi="Calibri" w:cs="Calibri"/>
          <w:sz w:val="28"/>
          <w:szCs w:val="28"/>
        </w:rPr>
      </w:pPr>
      <w:r w:rsidRPr="00905551">
        <w:rPr>
          <w:rFonts w:ascii="Calibri" w:hAnsi="Calibri" w:cs="Calibri"/>
          <w:sz w:val="28"/>
          <w:szCs w:val="28"/>
        </w:rPr>
        <w:t>1. The task and the stakeholder</w:t>
      </w:r>
    </w:p>
    <w:p w14:paraId="06D57265" w14:textId="77777777" w:rsidR="00EE041C" w:rsidRPr="00905551" w:rsidRDefault="00000000" w:rsidP="00905551">
      <w:pPr>
        <w:spacing w:after="120"/>
        <w:jc w:val="both"/>
        <w:rPr>
          <w:rFonts w:ascii="Calibri" w:hAnsi="Calibri" w:cs="Calibri"/>
        </w:rPr>
      </w:pPr>
      <w:proofErr w:type="spellStart"/>
      <w:r w:rsidRPr="00905551">
        <w:rPr>
          <w:rFonts w:ascii="Calibri" w:hAnsi="Calibri" w:cs="Calibri"/>
        </w:rPr>
        <w:t>Bankdata</w:t>
      </w:r>
      <w:proofErr w:type="spellEnd"/>
      <w:r w:rsidRPr="00905551">
        <w:rPr>
          <w:rFonts w:ascii="Calibri" w:hAnsi="Calibri" w:cs="Calibri"/>
        </w:rPr>
        <w:t xml:space="preserve"> operates the shared IT and operations platform for a group of Danish banks and, each month, produces forecasts of consumption-based costs for the remainder of the year. These forecasts are generated by a statistical model whose output is, in some cases, manually replaced when judged unreliable. The case asks us to </w:t>
      </w:r>
      <w:proofErr w:type="spellStart"/>
      <w:r w:rsidRPr="00905551">
        <w:rPr>
          <w:rFonts w:ascii="Calibri" w:hAnsi="Calibri" w:cs="Calibri"/>
        </w:rPr>
        <w:t>analyse</w:t>
      </w:r>
      <w:proofErr w:type="spellEnd"/>
      <w:r w:rsidRPr="00905551">
        <w:rPr>
          <w:rFonts w:ascii="Calibri" w:hAnsi="Calibri" w:cs="Calibri"/>
        </w:rPr>
        <w:t xml:space="preserve"> selected cost forecasts, evaluate their accuracy, and finally generate a forecast for the following month (December) using the actual data.</w:t>
      </w:r>
    </w:p>
    <w:p w14:paraId="3351CA99" w14:textId="77777777" w:rsidR="00B57616" w:rsidRPr="00905551" w:rsidRDefault="00000000" w:rsidP="00905551">
      <w:pPr>
        <w:spacing w:after="120"/>
        <w:jc w:val="both"/>
        <w:rPr>
          <w:rFonts w:ascii="Calibri" w:hAnsi="Calibri" w:cs="Calibri"/>
        </w:rPr>
      </w:pPr>
      <w:r w:rsidRPr="00905551">
        <w:rPr>
          <w:rFonts w:ascii="Calibri" w:hAnsi="Calibri" w:cs="Calibri"/>
        </w:rPr>
        <w:t xml:space="preserve">The stakeholder is </w:t>
      </w:r>
      <w:proofErr w:type="spellStart"/>
      <w:r w:rsidRPr="00905551">
        <w:rPr>
          <w:rFonts w:ascii="Calibri" w:hAnsi="Calibri" w:cs="Calibri"/>
        </w:rPr>
        <w:t>Bankdata’s</w:t>
      </w:r>
      <w:proofErr w:type="spellEnd"/>
      <w:r w:rsidRPr="00905551">
        <w:rPr>
          <w:rFonts w:ascii="Calibri" w:hAnsi="Calibri" w:cs="Calibri"/>
        </w:rPr>
        <w:t xml:space="preserve"> finance/controlling function, and indirectly the member banks who plan their budgets against these numbers. </w:t>
      </w:r>
    </w:p>
    <w:p w14:paraId="251A91F9" w14:textId="4BAC2086" w:rsidR="00B57616" w:rsidRPr="00905551" w:rsidRDefault="00000000" w:rsidP="00905551">
      <w:pPr>
        <w:spacing w:after="120"/>
        <w:jc w:val="both"/>
        <w:rPr>
          <w:rFonts w:ascii="Calibri" w:hAnsi="Calibri" w:cs="Calibri"/>
        </w:rPr>
      </w:pPr>
      <w:r w:rsidRPr="00905551">
        <w:rPr>
          <w:rFonts w:ascii="Calibri" w:hAnsi="Calibri" w:cs="Calibri"/>
        </w:rPr>
        <w:t>Their problem</w:t>
      </w:r>
      <w:r w:rsidR="00B57616" w:rsidRPr="00905551">
        <w:rPr>
          <w:rFonts w:ascii="Calibri" w:hAnsi="Calibri" w:cs="Calibri" w:hint="eastAsia"/>
        </w:rPr>
        <w:t>s</w:t>
      </w:r>
      <w:r w:rsidRPr="00905551">
        <w:rPr>
          <w:rFonts w:ascii="Calibri" w:hAnsi="Calibri" w:cs="Calibri"/>
        </w:rPr>
        <w:t xml:space="preserve"> </w:t>
      </w:r>
      <w:proofErr w:type="gramStart"/>
      <w:r w:rsidR="00B57616" w:rsidRPr="00905551">
        <w:rPr>
          <w:rFonts w:ascii="Calibri" w:hAnsi="Calibri" w:cs="Calibri" w:hint="eastAsia"/>
        </w:rPr>
        <w:t>as</w:t>
      </w:r>
      <w:proofErr w:type="gramEnd"/>
      <w:r w:rsidR="00B57616" w:rsidRPr="00905551">
        <w:rPr>
          <w:rFonts w:ascii="Calibri" w:hAnsi="Calibri" w:cs="Calibri" w:hint="eastAsia"/>
        </w:rPr>
        <w:t xml:space="preserve"> below</w:t>
      </w:r>
      <w:r w:rsidRPr="00905551">
        <w:rPr>
          <w:rFonts w:ascii="Calibri" w:hAnsi="Calibri" w:cs="Calibri"/>
        </w:rPr>
        <w:t xml:space="preserve">: </w:t>
      </w:r>
    </w:p>
    <w:p w14:paraId="2D74CA31" w14:textId="1EEED69E" w:rsidR="00B57616" w:rsidRPr="00905551" w:rsidRDefault="00B57616" w:rsidP="00905551">
      <w:pPr>
        <w:pStyle w:val="ListParagraph"/>
        <w:numPr>
          <w:ilvl w:val="0"/>
          <w:numId w:val="10"/>
        </w:numPr>
        <w:spacing w:after="120"/>
        <w:jc w:val="both"/>
        <w:rPr>
          <w:rFonts w:ascii="Calibri" w:hAnsi="Calibri" w:cs="Calibri"/>
        </w:rPr>
      </w:pPr>
      <w:r w:rsidRPr="00905551">
        <w:rPr>
          <w:rFonts w:ascii="Calibri" w:hAnsi="Calibri" w:cs="Calibri"/>
        </w:rPr>
        <w:t>They</w:t>
      </w:r>
      <w:r w:rsidR="00000000" w:rsidRPr="00905551">
        <w:rPr>
          <w:rFonts w:ascii="Calibri" w:hAnsi="Calibri" w:cs="Calibri"/>
        </w:rPr>
        <w:t xml:space="preserve"> lack a systematic, evidence-based picture of how accurate the forecasts are and where they fail</w:t>
      </w:r>
      <w:r w:rsidRPr="00905551">
        <w:rPr>
          <w:rFonts w:ascii="Calibri" w:hAnsi="Calibri" w:cs="Calibri" w:hint="eastAsia"/>
        </w:rPr>
        <w:t>.</w:t>
      </w:r>
    </w:p>
    <w:p w14:paraId="03D7BA71" w14:textId="77777777" w:rsidR="00B57616" w:rsidRPr="00905551" w:rsidRDefault="00B57616" w:rsidP="00905551">
      <w:pPr>
        <w:pStyle w:val="ListParagraph"/>
        <w:numPr>
          <w:ilvl w:val="0"/>
          <w:numId w:val="10"/>
        </w:numPr>
        <w:spacing w:after="120"/>
        <w:jc w:val="both"/>
        <w:rPr>
          <w:rFonts w:ascii="Calibri" w:hAnsi="Calibri" w:cs="Calibri"/>
        </w:rPr>
      </w:pPr>
      <w:r w:rsidRPr="00905551">
        <w:rPr>
          <w:rFonts w:ascii="Calibri" w:hAnsi="Calibri" w:cs="Calibri" w:hint="eastAsia"/>
        </w:rPr>
        <w:t>T</w:t>
      </w:r>
      <w:r w:rsidR="00000000" w:rsidRPr="00905551">
        <w:rPr>
          <w:rFonts w:ascii="Calibri" w:hAnsi="Calibri" w:cs="Calibri"/>
        </w:rPr>
        <w:t>hey need a credible December forecast.</w:t>
      </w:r>
    </w:p>
    <w:p w14:paraId="645251B7" w14:textId="77777777" w:rsidR="00B57616" w:rsidRPr="00905551" w:rsidRDefault="00B57616" w:rsidP="00905551">
      <w:pPr>
        <w:spacing w:after="120"/>
        <w:jc w:val="both"/>
        <w:rPr>
          <w:rFonts w:ascii="Calibri" w:hAnsi="Calibri" w:cs="Calibri"/>
        </w:rPr>
      </w:pPr>
      <w:r w:rsidRPr="00905551">
        <w:rPr>
          <w:rFonts w:ascii="Calibri" w:hAnsi="Calibri" w:cs="Calibri" w:hint="eastAsia"/>
        </w:rPr>
        <w:t>T</w:t>
      </w:r>
      <w:r w:rsidR="00000000" w:rsidRPr="00905551">
        <w:rPr>
          <w:rFonts w:ascii="Calibri" w:hAnsi="Calibri" w:cs="Calibri"/>
        </w:rPr>
        <w:t>herefore</w:t>
      </w:r>
      <w:r w:rsidRPr="00905551">
        <w:rPr>
          <w:rFonts w:ascii="Calibri" w:hAnsi="Calibri" w:cs="Calibri" w:hint="eastAsia"/>
        </w:rPr>
        <w:t>, 3 parts have been included in this project</w:t>
      </w:r>
      <w:r w:rsidR="00000000" w:rsidRPr="00905551">
        <w:rPr>
          <w:rFonts w:ascii="Calibri" w:hAnsi="Calibri" w:cs="Calibri"/>
        </w:rPr>
        <w:t xml:space="preserve">: </w:t>
      </w:r>
    </w:p>
    <w:p w14:paraId="519239CB" w14:textId="77777777" w:rsidR="00B57616" w:rsidRPr="00905551" w:rsidRDefault="00B57616" w:rsidP="00905551">
      <w:pPr>
        <w:pStyle w:val="ListParagraph"/>
        <w:numPr>
          <w:ilvl w:val="0"/>
          <w:numId w:val="11"/>
        </w:numPr>
        <w:spacing w:after="120"/>
        <w:jc w:val="both"/>
        <w:rPr>
          <w:rFonts w:ascii="Calibri" w:hAnsi="Calibri" w:cs="Calibri"/>
        </w:rPr>
      </w:pPr>
      <w:r w:rsidRPr="00905551">
        <w:rPr>
          <w:rFonts w:ascii="Calibri" w:hAnsi="Calibri" w:cs="Calibri" w:hint="eastAsia"/>
        </w:rPr>
        <w:t>M</w:t>
      </w:r>
      <w:r w:rsidR="00000000" w:rsidRPr="00905551">
        <w:rPr>
          <w:rFonts w:ascii="Calibri" w:hAnsi="Calibri" w:cs="Calibri"/>
        </w:rPr>
        <w:t>easure forecast accuracy and diagnose its driver</w:t>
      </w:r>
    </w:p>
    <w:p w14:paraId="215BCF9D" w14:textId="77777777" w:rsidR="00B57616" w:rsidRPr="00905551" w:rsidRDefault="00B57616" w:rsidP="00905551">
      <w:pPr>
        <w:pStyle w:val="ListParagraph"/>
        <w:numPr>
          <w:ilvl w:val="0"/>
          <w:numId w:val="11"/>
        </w:numPr>
        <w:spacing w:after="120"/>
        <w:jc w:val="both"/>
        <w:rPr>
          <w:rFonts w:ascii="Calibri" w:hAnsi="Calibri" w:cs="Calibri"/>
        </w:rPr>
      </w:pPr>
      <w:r w:rsidRPr="00905551">
        <w:rPr>
          <w:rFonts w:ascii="Calibri" w:hAnsi="Calibri" w:cs="Calibri" w:hint="eastAsia"/>
        </w:rPr>
        <w:t>T</w:t>
      </w:r>
      <w:r w:rsidR="00000000" w:rsidRPr="00905551">
        <w:rPr>
          <w:rFonts w:ascii="Calibri" w:hAnsi="Calibri" w:cs="Calibri"/>
        </w:rPr>
        <w:t>est whether accuracy can be improved with transparent methods</w:t>
      </w:r>
    </w:p>
    <w:p w14:paraId="508C22E6" w14:textId="77777777" w:rsidR="00B57616" w:rsidRPr="00905551" w:rsidRDefault="00B57616" w:rsidP="00905551">
      <w:pPr>
        <w:pStyle w:val="ListParagraph"/>
        <w:numPr>
          <w:ilvl w:val="0"/>
          <w:numId w:val="11"/>
        </w:numPr>
        <w:spacing w:after="120"/>
        <w:jc w:val="both"/>
        <w:rPr>
          <w:rFonts w:ascii="Calibri" w:hAnsi="Calibri" w:cs="Calibri"/>
        </w:rPr>
      </w:pPr>
      <w:r w:rsidRPr="00905551">
        <w:rPr>
          <w:rFonts w:ascii="Calibri" w:hAnsi="Calibri" w:cs="Calibri" w:hint="eastAsia"/>
        </w:rPr>
        <w:t>P</w:t>
      </w:r>
      <w:r w:rsidR="00000000" w:rsidRPr="00905551">
        <w:rPr>
          <w:rFonts w:ascii="Calibri" w:hAnsi="Calibri" w:cs="Calibri"/>
        </w:rPr>
        <w:t xml:space="preserve">roduce the December 2025 forecast. </w:t>
      </w:r>
    </w:p>
    <w:p w14:paraId="45923201" w14:textId="31E62B0A" w:rsidR="00EE041C" w:rsidRPr="00905551" w:rsidRDefault="00000000" w:rsidP="00905551">
      <w:pPr>
        <w:spacing w:after="120"/>
        <w:jc w:val="both"/>
        <w:rPr>
          <w:rFonts w:ascii="Calibri" w:hAnsi="Calibri" w:cs="Calibri" w:hint="eastAsia"/>
        </w:rPr>
      </w:pPr>
      <w:r w:rsidRPr="00905551">
        <w:rPr>
          <w:rFonts w:ascii="Calibri" w:hAnsi="Calibri" w:cs="Calibri"/>
        </w:rPr>
        <w:t xml:space="preserve">The case explicitly suggests </w:t>
      </w:r>
      <w:proofErr w:type="spellStart"/>
      <w:r w:rsidRPr="00905551">
        <w:rPr>
          <w:rFonts w:ascii="Calibri" w:hAnsi="Calibri" w:cs="Calibri"/>
        </w:rPr>
        <w:t>analysing</w:t>
      </w:r>
      <w:proofErr w:type="spellEnd"/>
      <w:r w:rsidRPr="00905551">
        <w:rPr>
          <w:rFonts w:ascii="Calibri" w:hAnsi="Calibri" w:cs="Calibri"/>
        </w:rPr>
        <w:t xml:space="preserve"> accuracy by cost ID, by financial institute, and across time horizons, </w:t>
      </w:r>
      <w:proofErr w:type="spellStart"/>
      <w:r w:rsidRPr="00905551">
        <w:rPr>
          <w:rFonts w:ascii="Calibri" w:hAnsi="Calibri" w:cs="Calibri"/>
        </w:rPr>
        <w:t>analysing</w:t>
      </w:r>
      <w:proofErr w:type="spellEnd"/>
      <w:r w:rsidRPr="00905551">
        <w:rPr>
          <w:rFonts w:ascii="Calibri" w:hAnsi="Calibri" w:cs="Calibri"/>
        </w:rPr>
        <w:t xml:space="preserve"> how forecasts change as new data arrives (volatility), and </w:t>
      </w:r>
      <w:proofErr w:type="spellStart"/>
      <w:r w:rsidRPr="00905551">
        <w:rPr>
          <w:rFonts w:ascii="Calibri" w:hAnsi="Calibri" w:cs="Calibri"/>
        </w:rPr>
        <w:t>analysing</w:t>
      </w:r>
      <w:proofErr w:type="spellEnd"/>
      <w:r w:rsidRPr="00905551">
        <w:rPr>
          <w:rFonts w:ascii="Calibri" w:hAnsi="Calibri" w:cs="Calibri"/>
        </w:rPr>
        <w:t xml:space="preserve"> cumulative deviation</w:t>
      </w:r>
      <w:r w:rsidR="00B57616" w:rsidRPr="00905551">
        <w:rPr>
          <w:rFonts w:ascii="Calibri" w:hAnsi="Calibri" w:cs="Calibri" w:hint="eastAsia"/>
        </w:rPr>
        <w:t>.</w:t>
      </w:r>
    </w:p>
    <w:p w14:paraId="14953BBD" w14:textId="7D481AE1" w:rsidR="00EE041C" w:rsidRPr="00905551" w:rsidRDefault="00000000" w:rsidP="00905551">
      <w:pPr>
        <w:spacing w:after="120"/>
        <w:jc w:val="both"/>
        <w:rPr>
          <w:rFonts w:ascii="Calibri" w:hAnsi="Calibri" w:cs="Calibri"/>
        </w:rPr>
      </w:pPr>
      <w:r w:rsidRPr="00905551">
        <w:rPr>
          <w:rFonts w:ascii="Calibri" w:hAnsi="Calibri" w:cs="Calibri"/>
        </w:rPr>
        <w:t xml:space="preserve">The dataset contains 13 cost IDs (e.g. securities held, securities trading, </w:t>
      </w:r>
      <w:proofErr w:type="spellStart"/>
      <w:r w:rsidRPr="00905551">
        <w:rPr>
          <w:rFonts w:ascii="Calibri" w:hAnsi="Calibri" w:cs="Calibri"/>
        </w:rPr>
        <w:t>MobilePay</w:t>
      </w:r>
      <w:proofErr w:type="spellEnd"/>
      <w:r w:rsidRPr="00905551">
        <w:rPr>
          <w:rFonts w:ascii="Calibri" w:hAnsi="Calibri" w:cs="Calibri"/>
        </w:rPr>
        <w:t xml:space="preserve"> and card transactions, logins, reports, archived documents) across 8 </w:t>
      </w:r>
      <w:r w:rsidR="00B57616" w:rsidRPr="00905551">
        <w:rPr>
          <w:rFonts w:ascii="Calibri" w:hAnsi="Calibri" w:cs="Calibri"/>
        </w:rPr>
        <w:t>anonymized</w:t>
      </w:r>
      <w:r w:rsidRPr="00905551">
        <w:rPr>
          <w:rFonts w:ascii="Calibri" w:hAnsi="Calibri" w:cs="Calibri"/>
        </w:rPr>
        <w:t xml:space="preserve"> financial institutes (FIs). Actual values run monthly from January 2023 to November 2025; seven forecast vintages were produced at the start of each month from May to November 2025, each covering its own month through December. Values are scaled per institution by a secret multiplier for anonymity, so they are comparable within a series but never across cost IDs or across </w:t>
      </w:r>
      <w:r w:rsidR="00B57616" w:rsidRPr="00905551">
        <w:rPr>
          <w:rFonts w:ascii="Calibri" w:hAnsi="Calibri" w:cs="Calibri"/>
        </w:rPr>
        <w:t>F</w:t>
      </w:r>
      <w:r w:rsidR="00B57616" w:rsidRPr="00905551">
        <w:rPr>
          <w:rFonts w:ascii="Calibri" w:hAnsi="Calibri" w:cs="Calibri" w:hint="eastAsia"/>
        </w:rPr>
        <w:t>I</w:t>
      </w:r>
      <w:r w:rsidR="00B57616" w:rsidRPr="00905551">
        <w:rPr>
          <w:rFonts w:ascii="Calibri" w:hAnsi="Calibri" w:cs="Calibri"/>
        </w:rPr>
        <w:t>s</w:t>
      </w:r>
      <w:proofErr w:type="gramStart"/>
      <w:r w:rsidR="00B57616" w:rsidRPr="00905551">
        <w:rPr>
          <w:rFonts w:ascii="Calibri" w:hAnsi="Calibri" w:cs="Calibri"/>
        </w:rPr>
        <w:t>, every</w:t>
      </w:r>
      <w:proofErr w:type="gramEnd"/>
      <w:r w:rsidRPr="00905551">
        <w:rPr>
          <w:rFonts w:ascii="Calibri" w:hAnsi="Calibri" w:cs="Calibri"/>
        </w:rPr>
        <w:t xml:space="preserve"> metric we use is therefore percentage-based.</w:t>
      </w:r>
    </w:p>
    <w:p w14:paraId="3C21804D" w14:textId="77777777" w:rsidR="00EE041C" w:rsidRPr="00905551" w:rsidRDefault="00000000">
      <w:pPr>
        <w:pStyle w:val="Heading1"/>
        <w:rPr>
          <w:rFonts w:ascii="Calibri" w:hAnsi="Calibri" w:cs="Calibri"/>
          <w:sz w:val="28"/>
          <w:szCs w:val="28"/>
        </w:rPr>
      </w:pPr>
      <w:r w:rsidRPr="00905551">
        <w:rPr>
          <w:rFonts w:ascii="Calibri" w:hAnsi="Calibri" w:cs="Calibri"/>
          <w:sz w:val="28"/>
          <w:szCs w:val="28"/>
        </w:rPr>
        <w:t>2. Part 1 — How accurate are the forecasts, and why?</w:t>
      </w:r>
    </w:p>
    <w:p w14:paraId="676A0828" w14:textId="77777777" w:rsidR="00B57616" w:rsidRPr="00905551" w:rsidRDefault="00000000" w:rsidP="00905551">
      <w:pPr>
        <w:spacing w:after="120"/>
        <w:jc w:val="both"/>
        <w:rPr>
          <w:rFonts w:ascii="Calibri" w:hAnsi="Calibri" w:cs="Calibri"/>
        </w:rPr>
      </w:pPr>
      <w:r w:rsidRPr="00905551">
        <w:rPr>
          <w:rFonts w:ascii="Calibri" w:hAnsi="Calibri" w:cs="Calibri"/>
        </w:rPr>
        <w:t xml:space="preserve">Requirement: evaluate forecast accuracy. </w:t>
      </w:r>
    </w:p>
    <w:p w14:paraId="6C43DE1D" w14:textId="29861296" w:rsidR="00EE041C" w:rsidRPr="00905551" w:rsidRDefault="00000000" w:rsidP="00905551">
      <w:pPr>
        <w:spacing w:after="120"/>
        <w:jc w:val="both"/>
        <w:rPr>
          <w:rFonts w:ascii="Calibri" w:hAnsi="Calibri" w:cs="Calibri"/>
        </w:rPr>
      </w:pPr>
      <w:r w:rsidRPr="00905551">
        <w:rPr>
          <w:rFonts w:ascii="Calibri" w:hAnsi="Calibri" w:cs="Calibri"/>
        </w:rPr>
        <w:t>We built an error table pairing every forecast with its actual and computed, per point, the absolute percentage error (APE) and the signed percentage error (bias). As the case requires, the mean error uses absolute values (MAPE); the signed mean is reported separately as bias, since it reveals systematic over or under</w:t>
      </w:r>
      <w:r w:rsidR="00B57616" w:rsidRPr="00905551">
        <w:rPr>
          <w:rFonts w:ascii="Calibri" w:hAnsi="Calibri" w:cs="Calibri" w:hint="eastAsia"/>
        </w:rPr>
        <w:t xml:space="preserve"> </w:t>
      </w:r>
      <w:r w:rsidRPr="00905551">
        <w:rPr>
          <w:rFonts w:ascii="Calibri" w:hAnsi="Calibri" w:cs="Calibri"/>
        </w:rPr>
        <w:t>forecasting. We use MAPE rather than R² or raw RMSE because the task is to measure how far forecasts miss, and only a percentage is comparable across series of vastly different magnitudes.</w:t>
      </w:r>
    </w:p>
    <w:p w14:paraId="02ACFE11" w14:textId="77777777" w:rsidR="00EE041C" w:rsidRPr="00905551" w:rsidRDefault="00000000" w:rsidP="00905551">
      <w:pPr>
        <w:pStyle w:val="Heading1"/>
        <w:rPr>
          <w:rFonts w:ascii="Calibri" w:hAnsi="Calibri" w:cs="Calibri"/>
          <w:sz w:val="28"/>
          <w:szCs w:val="28"/>
        </w:rPr>
      </w:pPr>
      <w:r w:rsidRPr="00905551">
        <w:rPr>
          <w:rFonts w:ascii="Calibri" w:hAnsi="Calibri" w:cs="Calibri"/>
          <w:sz w:val="28"/>
          <w:szCs w:val="28"/>
        </w:rPr>
        <w:lastRenderedPageBreak/>
        <w:t>2.1 Accuracy by cost ID</w:t>
      </w:r>
    </w:p>
    <w:p w14:paraId="419B8BA5" w14:textId="77777777" w:rsidR="00EE041C" w:rsidRPr="00905551" w:rsidRDefault="00000000" w:rsidP="00905551">
      <w:pPr>
        <w:spacing w:after="120"/>
        <w:jc w:val="both"/>
        <w:rPr>
          <w:rFonts w:ascii="Calibri" w:hAnsi="Calibri" w:cs="Calibri"/>
        </w:rPr>
      </w:pPr>
      <w:r w:rsidRPr="00905551">
        <w:rPr>
          <w:rFonts w:ascii="Calibri" w:hAnsi="Calibri" w:cs="Calibri"/>
        </w:rPr>
        <w:t xml:space="preserve">Overall MAPE is 9.9% with a small under-forecast bias of −2.0%, but the average hides a very </w:t>
      </w:r>
      <w:proofErr w:type="gramStart"/>
      <w:r w:rsidRPr="00905551">
        <w:rPr>
          <w:rFonts w:ascii="Calibri" w:hAnsi="Calibri" w:cs="Calibri"/>
        </w:rPr>
        <w:t>wide spread</w:t>
      </w:r>
      <w:proofErr w:type="gramEnd"/>
      <w:r w:rsidRPr="00905551">
        <w:rPr>
          <w:rFonts w:ascii="Calibri" w:hAnsi="Calibri" w:cs="Calibri"/>
        </w:rPr>
        <w:t>:</w:t>
      </w:r>
    </w:p>
    <w:tbl>
      <w:tblPr>
        <w:tblW w:w="9026" w:type="dxa"/>
        <w:tblLayout w:type="fixed"/>
        <w:tblCellMar>
          <w:top w:w="60" w:type="dxa"/>
          <w:left w:w="100" w:type="dxa"/>
          <w:bottom w:w="60" w:type="dxa"/>
          <w:right w:w="100" w:type="dxa"/>
        </w:tblCellMar>
        <w:tblLook w:val="04A0" w:firstRow="1" w:lastRow="0" w:firstColumn="1" w:lastColumn="0" w:noHBand="0" w:noVBand="1"/>
      </w:tblPr>
      <w:tblGrid>
        <w:gridCol w:w="899"/>
        <w:gridCol w:w="2601"/>
        <w:gridCol w:w="1099"/>
        <w:gridCol w:w="1100"/>
        <w:gridCol w:w="3327"/>
      </w:tblGrid>
      <w:tr w:rsidR="00EE041C" w14:paraId="5DBC1831" w14:textId="77777777">
        <w:trPr>
          <w:tblHeader/>
        </w:trPr>
        <w:tc>
          <w:tcPr>
            <w:tcW w:w="899" w:type="dxa"/>
            <w:tcBorders>
              <w:top w:val="single" w:sz="2" w:space="0" w:color="CCCCCC"/>
              <w:left w:val="single" w:sz="2" w:space="0" w:color="CCCCCC"/>
              <w:bottom w:val="single" w:sz="2" w:space="0" w:color="CCCCCC"/>
              <w:right w:val="single" w:sz="2" w:space="0" w:color="CCCCCC"/>
            </w:tcBorders>
            <w:shd w:val="clear" w:color="auto" w:fill="1F3864"/>
          </w:tcPr>
          <w:p w14:paraId="07491F00" w14:textId="77777777" w:rsidR="00EE041C" w:rsidRDefault="00000000">
            <w:r>
              <w:rPr>
                <w:b/>
                <w:bCs/>
                <w:color w:val="FFFFFF"/>
                <w:sz w:val="19"/>
                <w:szCs w:val="19"/>
              </w:rPr>
              <w:t>Cost ID</w:t>
            </w:r>
          </w:p>
        </w:tc>
        <w:tc>
          <w:tcPr>
            <w:tcW w:w="2601" w:type="dxa"/>
            <w:tcBorders>
              <w:top w:val="single" w:sz="2" w:space="0" w:color="CCCCCC"/>
              <w:left w:val="single" w:sz="2" w:space="0" w:color="CCCCCC"/>
              <w:bottom w:val="single" w:sz="2" w:space="0" w:color="CCCCCC"/>
              <w:right w:val="single" w:sz="2" w:space="0" w:color="CCCCCC"/>
            </w:tcBorders>
            <w:shd w:val="clear" w:color="auto" w:fill="1F3864"/>
          </w:tcPr>
          <w:p w14:paraId="1B36F641" w14:textId="77777777" w:rsidR="00EE041C" w:rsidRDefault="00000000">
            <w:r>
              <w:rPr>
                <w:b/>
                <w:bCs/>
                <w:color w:val="FFFFFF"/>
                <w:sz w:val="19"/>
                <w:szCs w:val="19"/>
              </w:rPr>
              <w:t>Name</w:t>
            </w:r>
          </w:p>
        </w:tc>
        <w:tc>
          <w:tcPr>
            <w:tcW w:w="1099" w:type="dxa"/>
            <w:tcBorders>
              <w:top w:val="single" w:sz="2" w:space="0" w:color="CCCCCC"/>
              <w:left w:val="single" w:sz="2" w:space="0" w:color="CCCCCC"/>
              <w:bottom w:val="single" w:sz="2" w:space="0" w:color="CCCCCC"/>
              <w:right w:val="single" w:sz="2" w:space="0" w:color="CCCCCC"/>
            </w:tcBorders>
            <w:shd w:val="clear" w:color="auto" w:fill="1F3864"/>
          </w:tcPr>
          <w:p w14:paraId="2691D862" w14:textId="77777777" w:rsidR="00EE041C" w:rsidRDefault="00000000">
            <w:r>
              <w:rPr>
                <w:b/>
                <w:bCs/>
                <w:color w:val="FFFFFF"/>
                <w:sz w:val="19"/>
                <w:szCs w:val="19"/>
              </w:rPr>
              <w:t>MAPE</w:t>
            </w:r>
          </w:p>
        </w:tc>
        <w:tc>
          <w:tcPr>
            <w:tcW w:w="1100" w:type="dxa"/>
            <w:tcBorders>
              <w:top w:val="single" w:sz="2" w:space="0" w:color="CCCCCC"/>
              <w:left w:val="single" w:sz="2" w:space="0" w:color="CCCCCC"/>
              <w:bottom w:val="single" w:sz="2" w:space="0" w:color="CCCCCC"/>
              <w:right w:val="single" w:sz="2" w:space="0" w:color="CCCCCC"/>
            </w:tcBorders>
            <w:shd w:val="clear" w:color="auto" w:fill="1F3864"/>
          </w:tcPr>
          <w:p w14:paraId="4426E6FE" w14:textId="77777777" w:rsidR="00EE041C" w:rsidRDefault="00000000">
            <w:r>
              <w:rPr>
                <w:b/>
                <w:bCs/>
                <w:color w:val="FFFFFF"/>
                <w:sz w:val="19"/>
                <w:szCs w:val="19"/>
              </w:rPr>
              <w:t>Bias</w:t>
            </w:r>
          </w:p>
        </w:tc>
        <w:tc>
          <w:tcPr>
            <w:tcW w:w="3327" w:type="dxa"/>
            <w:tcBorders>
              <w:top w:val="single" w:sz="2" w:space="0" w:color="CCCCCC"/>
              <w:left w:val="single" w:sz="2" w:space="0" w:color="CCCCCC"/>
              <w:bottom w:val="single" w:sz="2" w:space="0" w:color="CCCCCC"/>
              <w:right w:val="single" w:sz="2" w:space="0" w:color="CCCCCC"/>
            </w:tcBorders>
            <w:shd w:val="clear" w:color="auto" w:fill="1F3864"/>
          </w:tcPr>
          <w:p w14:paraId="23786B60" w14:textId="77777777" w:rsidR="00EE041C" w:rsidRDefault="00000000">
            <w:r>
              <w:rPr>
                <w:b/>
                <w:bCs/>
                <w:color w:val="FFFFFF"/>
                <w:sz w:val="19"/>
                <w:szCs w:val="19"/>
              </w:rPr>
              <w:t>Reading</w:t>
            </w:r>
          </w:p>
        </w:tc>
      </w:tr>
      <w:tr w:rsidR="00EE041C" w14:paraId="4AFA25DB" w14:textId="77777777">
        <w:tc>
          <w:tcPr>
            <w:tcW w:w="899" w:type="dxa"/>
            <w:tcBorders>
              <w:top w:val="single" w:sz="2" w:space="0" w:color="CCCCCC"/>
              <w:left w:val="single" w:sz="2" w:space="0" w:color="CCCCCC"/>
              <w:bottom w:val="single" w:sz="2" w:space="0" w:color="CCCCCC"/>
              <w:right w:val="single" w:sz="2" w:space="0" w:color="CCCCCC"/>
            </w:tcBorders>
          </w:tcPr>
          <w:p w14:paraId="13F8F33C" w14:textId="77777777" w:rsidR="00EE041C" w:rsidRDefault="00000000">
            <w:r>
              <w:rPr>
                <w:color w:val="000000"/>
                <w:sz w:val="19"/>
                <w:szCs w:val="19"/>
              </w:rPr>
              <w:t>150</w:t>
            </w:r>
          </w:p>
        </w:tc>
        <w:tc>
          <w:tcPr>
            <w:tcW w:w="2601" w:type="dxa"/>
            <w:tcBorders>
              <w:top w:val="single" w:sz="2" w:space="0" w:color="CCCCCC"/>
              <w:left w:val="single" w:sz="2" w:space="0" w:color="CCCCCC"/>
              <w:bottom w:val="single" w:sz="2" w:space="0" w:color="CCCCCC"/>
              <w:right w:val="single" w:sz="2" w:space="0" w:color="CCCCCC"/>
            </w:tcBorders>
          </w:tcPr>
          <w:p w14:paraId="5097F9B2" w14:textId="77777777" w:rsidR="00EE041C" w:rsidRDefault="00000000">
            <w:r>
              <w:rPr>
                <w:color w:val="000000"/>
                <w:sz w:val="19"/>
                <w:szCs w:val="19"/>
              </w:rPr>
              <w:t>Securities held</w:t>
            </w:r>
          </w:p>
        </w:tc>
        <w:tc>
          <w:tcPr>
            <w:tcW w:w="1099" w:type="dxa"/>
            <w:tcBorders>
              <w:top w:val="single" w:sz="2" w:space="0" w:color="CCCCCC"/>
              <w:left w:val="single" w:sz="2" w:space="0" w:color="CCCCCC"/>
              <w:bottom w:val="single" w:sz="2" w:space="0" w:color="CCCCCC"/>
              <w:right w:val="single" w:sz="2" w:space="0" w:color="CCCCCC"/>
            </w:tcBorders>
          </w:tcPr>
          <w:p w14:paraId="715304A4" w14:textId="77777777" w:rsidR="00EE041C" w:rsidRDefault="00000000">
            <w:pPr>
              <w:jc w:val="right"/>
            </w:pPr>
            <w:r>
              <w:rPr>
                <w:color w:val="000000"/>
                <w:sz w:val="19"/>
                <w:szCs w:val="19"/>
              </w:rPr>
              <w:t>0.8%</w:t>
            </w:r>
          </w:p>
        </w:tc>
        <w:tc>
          <w:tcPr>
            <w:tcW w:w="1100" w:type="dxa"/>
            <w:tcBorders>
              <w:top w:val="single" w:sz="2" w:space="0" w:color="CCCCCC"/>
              <w:left w:val="single" w:sz="2" w:space="0" w:color="CCCCCC"/>
              <w:bottom w:val="single" w:sz="2" w:space="0" w:color="CCCCCC"/>
              <w:right w:val="single" w:sz="2" w:space="0" w:color="CCCCCC"/>
            </w:tcBorders>
          </w:tcPr>
          <w:p w14:paraId="18E605C3" w14:textId="77777777" w:rsidR="00EE041C" w:rsidRDefault="00000000">
            <w:pPr>
              <w:jc w:val="right"/>
            </w:pPr>
            <w:r>
              <w:rPr>
                <w:color w:val="000000"/>
                <w:sz w:val="19"/>
                <w:szCs w:val="19"/>
              </w:rPr>
              <w:t>−0.3%</w:t>
            </w:r>
          </w:p>
        </w:tc>
        <w:tc>
          <w:tcPr>
            <w:tcW w:w="3327" w:type="dxa"/>
            <w:tcBorders>
              <w:top w:val="single" w:sz="2" w:space="0" w:color="CCCCCC"/>
              <w:left w:val="single" w:sz="2" w:space="0" w:color="CCCCCC"/>
              <w:bottom w:val="single" w:sz="2" w:space="0" w:color="CCCCCC"/>
              <w:right w:val="single" w:sz="2" w:space="0" w:color="CCCCCC"/>
            </w:tcBorders>
          </w:tcPr>
          <w:p w14:paraId="4B77B8D2" w14:textId="77777777" w:rsidR="00EE041C" w:rsidRDefault="00000000">
            <w:r>
              <w:rPr>
                <w:color w:val="000000"/>
                <w:sz w:val="19"/>
                <w:szCs w:val="19"/>
              </w:rPr>
              <w:t>Near-perfect — stable stock variable</w:t>
            </w:r>
          </w:p>
        </w:tc>
      </w:tr>
      <w:tr w:rsidR="00EE041C" w14:paraId="764896B4" w14:textId="77777777">
        <w:tc>
          <w:tcPr>
            <w:tcW w:w="899" w:type="dxa"/>
            <w:tcBorders>
              <w:top w:val="single" w:sz="2" w:space="0" w:color="CCCCCC"/>
              <w:left w:val="single" w:sz="2" w:space="0" w:color="CCCCCC"/>
              <w:bottom w:val="single" w:sz="2" w:space="0" w:color="CCCCCC"/>
              <w:right w:val="single" w:sz="2" w:space="0" w:color="CCCCCC"/>
            </w:tcBorders>
          </w:tcPr>
          <w:p w14:paraId="798B2D07" w14:textId="77777777" w:rsidR="00EE041C" w:rsidRDefault="00000000">
            <w:r>
              <w:rPr>
                <w:color w:val="000000"/>
                <w:sz w:val="19"/>
                <w:szCs w:val="19"/>
              </w:rPr>
              <w:t>9683</w:t>
            </w:r>
          </w:p>
        </w:tc>
        <w:tc>
          <w:tcPr>
            <w:tcW w:w="2601" w:type="dxa"/>
            <w:tcBorders>
              <w:top w:val="single" w:sz="2" w:space="0" w:color="CCCCCC"/>
              <w:left w:val="single" w:sz="2" w:space="0" w:color="CCCCCC"/>
              <w:bottom w:val="single" w:sz="2" w:space="0" w:color="CCCCCC"/>
              <w:right w:val="single" w:sz="2" w:space="0" w:color="CCCCCC"/>
            </w:tcBorders>
          </w:tcPr>
          <w:p w14:paraId="6B4B6A04" w14:textId="77777777" w:rsidR="00EE041C" w:rsidRDefault="00000000">
            <w:r>
              <w:rPr>
                <w:color w:val="000000"/>
                <w:sz w:val="19"/>
                <w:szCs w:val="19"/>
              </w:rPr>
              <w:t>Logins</w:t>
            </w:r>
          </w:p>
        </w:tc>
        <w:tc>
          <w:tcPr>
            <w:tcW w:w="1099" w:type="dxa"/>
            <w:tcBorders>
              <w:top w:val="single" w:sz="2" w:space="0" w:color="CCCCCC"/>
              <w:left w:val="single" w:sz="2" w:space="0" w:color="CCCCCC"/>
              <w:bottom w:val="single" w:sz="2" w:space="0" w:color="CCCCCC"/>
              <w:right w:val="single" w:sz="2" w:space="0" w:color="CCCCCC"/>
            </w:tcBorders>
          </w:tcPr>
          <w:p w14:paraId="472EFAB0" w14:textId="77777777" w:rsidR="00EE041C" w:rsidRDefault="00000000">
            <w:pPr>
              <w:jc w:val="right"/>
            </w:pPr>
            <w:r>
              <w:rPr>
                <w:color w:val="000000"/>
                <w:sz w:val="19"/>
                <w:szCs w:val="19"/>
              </w:rPr>
              <w:t>4.7%</w:t>
            </w:r>
          </w:p>
        </w:tc>
        <w:tc>
          <w:tcPr>
            <w:tcW w:w="1100" w:type="dxa"/>
            <w:tcBorders>
              <w:top w:val="single" w:sz="2" w:space="0" w:color="CCCCCC"/>
              <w:left w:val="single" w:sz="2" w:space="0" w:color="CCCCCC"/>
              <w:bottom w:val="single" w:sz="2" w:space="0" w:color="CCCCCC"/>
              <w:right w:val="single" w:sz="2" w:space="0" w:color="CCCCCC"/>
            </w:tcBorders>
          </w:tcPr>
          <w:p w14:paraId="705406AE" w14:textId="77777777" w:rsidR="00EE041C" w:rsidRDefault="00000000">
            <w:pPr>
              <w:jc w:val="right"/>
            </w:pPr>
            <w:r>
              <w:rPr>
                <w:color w:val="000000"/>
                <w:sz w:val="19"/>
                <w:szCs w:val="19"/>
              </w:rPr>
              <w:t>−2.1%</w:t>
            </w:r>
          </w:p>
        </w:tc>
        <w:tc>
          <w:tcPr>
            <w:tcW w:w="3327" w:type="dxa"/>
            <w:tcBorders>
              <w:top w:val="single" w:sz="2" w:space="0" w:color="CCCCCC"/>
              <w:left w:val="single" w:sz="2" w:space="0" w:color="CCCCCC"/>
              <w:bottom w:val="single" w:sz="2" w:space="0" w:color="CCCCCC"/>
              <w:right w:val="single" w:sz="2" w:space="0" w:color="CCCCCC"/>
            </w:tcBorders>
          </w:tcPr>
          <w:p w14:paraId="62912BC2" w14:textId="390953A5" w:rsidR="00EE041C" w:rsidRDefault="00000000">
            <w:r>
              <w:rPr>
                <w:color w:val="000000"/>
                <w:sz w:val="19"/>
                <w:szCs w:val="19"/>
              </w:rPr>
              <w:t xml:space="preserve">Easy — smooth </w:t>
            </w:r>
            <w:r w:rsidR="00B57616">
              <w:rPr>
                <w:color w:val="000000"/>
                <w:sz w:val="19"/>
                <w:szCs w:val="19"/>
              </w:rPr>
              <w:t>behavioral</w:t>
            </w:r>
            <w:r>
              <w:rPr>
                <w:color w:val="000000"/>
                <w:sz w:val="19"/>
                <w:szCs w:val="19"/>
              </w:rPr>
              <w:t xml:space="preserve"> series</w:t>
            </w:r>
          </w:p>
        </w:tc>
      </w:tr>
      <w:tr w:rsidR="00EE041C" w14:paraId="38C3395F" w14:textId="77777777">
        <w:tc>
          <w:tcPr>
            <w:tcW w:w="899" w:type="dxa"/>
            <w:tcBorders>
              <w:top w:val="single" w:sz="2" w:space="0" w:color="CCCCCC"/>
              <w:left w:val="single" w:sz="2" w:space="0" w:color="CCCCCC"/>
              <w:bottom w:val="single" w:sz="2" w:space="0" w:color="CCCCCC"/>
              <w:right w:val="single" w:sz="2" w:space="0" w:color="CCCCCC"/>
            </w:tcBorders>
          </w:tcPr>
          <w:p w14:paraId="59CA6070" w14:textId="77777777" w:rsidR="00EE041C" w:rsidRDefault="00000000">
            <w:r>
              <w:rPr>
                <w:color w:val="000000"/>
                <w:sz w:val="19"/>
                <w:szCs w:val="19"/>
              </w:rPr>
              <w:t>9657</w:t>
            </w:r>
          </w:p>
        </w:tc>
        <w:tc>
          <w:tcPr>
            <w:tcW w:w="2601" w:type="dxa"/>
            <w:tcBorders>
              <w:top w:val="single" w:sz="2" w:space="0" w:color="CCCCCC"/>
              <w:left w:val="single" w:sz="2" w:space="0" w:color="CCCCCC"/>
              <w:bottom w:val="single" w:sz="2" w:space="0" w:color="CCCCCC"/>
              <w:right w:val="single" w:sz="2" w:space="0" w:color="CCCCCC"/>
            </w:tcBorders>
          </w:tcPr>
          <w:p w14:paraId="43E29C01" w14:textId="77777777" w:rsidR="00EE041C" w:rsidRDefault="00000000">
            <w:r>
              <w:rPr>
                <w:color w:val="000000"/>
                <w:sz w:val="19"/>
                <w:szCs w:val="19"/>
              </w:rPr>
              <w:t>Card transactions</w:t>
            </w:r>
          </w:p>
        </w:tc>
        <w:tc>
          <w:tcPr>
            <w:tcW w:w="1099" w:type="dxa"/>
            <w:tcBorders>
              <w:top w:val="single" w:sz="2" w:space="0" w:color="CCCCCC"/>
              <w:left w:val="single" w:sz="2" w:space="0" w:color="CCCCCC"/>
              <w:bottom w:val="single" w:sz="2" w:space="0" w:color="CCCCCC"/>
              <w:right w:val="single" w:sz="2" w:space="0" w:color="CCCCCC"/>
            </w:tcBorders>
          </w:tcPr>
          <w:p w14:paraId="67879ABE" w14:textId="77777777" w:rsidR="00EE041C" w:rsidRDefault="00000000">
            <w:pPr>
              <w:jc w:val="right"/>
            </w:pPr>
            <w:r>
              <w:rPr>
                <w:color w:val="000000"/>
                <w:sz w:val="19"/>
                <w:szCs w:val="19"/>
              </w:rPr>
              <w:t>5.2%</w:t>
            </w:r>
          </w:p>
        </w:tc>
        <w:tc>
          <w:tcPr>
            <w:tcW w:w="1100" w:type="dxa"/>
            <w:tcBorders>
              <w:top w:val="single" w:sz="2" w:space="0" w:color="CCCCCC"/>
              <w:left w:val="single" w:sz="2" w:space="0" w:color="CCCCCC"/>
              <w:bottom w:val="single" w:sz="2" w:space="0" w:color="CCCCCC"/>
              <w:right w:val="single" w:sz="2" w:space="0" w:color="CCCCCC"/>
            </w:tcBorders>
          </w:tcPr>
          <w:p w14:paraId="584856B2" w14:textId="77777777" w:rsidR="00EE041C" w:rsidRDefault="00000000">
            <w:pPr>
              <w:jc w:val="right"/>
            </w:pPr>
            <w:r>
              <w:rPr>
                <w:color w:val="000000"/>
                <w:sz w:val="19"/>
                <w:szCs w:val="19"/>
              </w:rPr>
              <w:t>−1.2%</w:t>
            </w:r>
          </w:p>
        </w:tc>
        <w:tc>
          <w:tcPr>
            <w:tcW w:w="3327" w:type="dxa"/>
            <w:tcBorders>
              <w:top w:val="single" w:sz="2" w:space="0" w:color="CCCCCC"/>
              <w:left w:val="single" w:sz="2" w:space="0" w:color="CCCCCC"/>
              <w:bottom w:val="single" w:sz="2" w:space="0" w:color="CCCCCC"/>
              <w:right w:val="single" w:sz="2" w:space="0" w:color="CCCCCC"/>
            </w:tcBorders>
          </w:tcPr>
          <w:p w14:paraId="6A32C52D" w14:textId="77777777" w:rsidR="00EE041C" w:rsidRDefault="00000000">
            <w:r>
              <w:rPr>
                <w:color w:val="000000"/>
                <w:sz w:val="19"/>
                <w:szCs w:val="19"/>
              </w:rPr>
              <w:t>Easy</w:t>
            </w:r>
          </w:p>
        </w:tc>
      </w:tr>
      <w:tr w:rsidR="00EE041C" w14:paraId="47CB2F4C" w14:textId="77777777">
        <w:tc>
          <w:tcPr>
            <w:tcW w:w="899" w:type="dxa"/>
            <w:tcBorders>
              <w:top w:val="single" w:sz="2" w:space="0" w:color="CCCCCC"/>
              <w:left w:val="single" w:sz="2" w:space="0" w:color="CCCCCC"/>
              <w:bottom w:val="single" w:sz="2" w:space="0" w:color="CCCCCC"/>
              <w:right w:val="single" w:sz="2" w:space="0" w:color="CCCCCC"/>
            </w:tcBorders>
          </w:tcPr>
          <w:p w14:paraId="347CCC2D" w14:textId="77777777" w:rsidR="00EE041C" w:rsidRDefault="00000000">
            <w:r>
              <w:rPr>
                <w:color w:val="000000"/>
                <w:sz w:val="19"/>
                <w:szCs w:val="19"/>
              </w:rPr>
              <w:t>9700</w:t>
            </w:r>
          </w:p>
        </w:tc>
        <w:tc>
          <w:tcPr>
            <w:tcW w:w="2601" w:type="dxa"/>
            <w:tcBorders>
              <w:top w:val="single" w:sz="2" w:space="0" w:color="CCCCCC"/>
              <w:left w:val="single" w:sz="2" w:space="0" w:color="CCCCCC"/>
              <w:bottom w:val="single" w:sz="2" w:space="0" w:color="CCCCCC"/>
              <w:right w:val="single" w:sz="2" w:space="0" w:color="CCCCCC"/>
            </w:tcBorders>
          </w:tcPr>
          <w:p w14:paraId="32B1ABF2" w14:textId="77777777" w:rsidR="00EE041C" w:rsidRDefault="00000000">
            <w:r>
              <w:rPr>
                <w:color w:val="000000"/>
                <w:sz w:val="19"/>
                <w:szCs w:val="19"/>
              </w:rPr>
              <w:t>Domestic transactions</w:t>
            </w:r>
          </w:p>
        </w:tc>
        <w:tc>
          <w:tcPr>
            <w:tcW w:w="1099" w:type="dxa"/>
            <w:tcBorders>
              <w:top w:val="single" w:sz="2" w:space="0" w:color="CCCCCC"/>
              <w:left w:val="single" w:sz="2" w:space="0" w:color="CCCCCC"/>
              <w:bottom w:val="single" w:sz="2" w:space="0" w:color="CCCCCC"/>
              <w:right w:val="single" w:sz="2" w:space="0" w:color="CCCCCC"/>
            </w:tcBorders>
          </w:tcPr>
          <w:p w14:paraId="651E3555" w14:textId="77777777" w:rsidR="00EE041C" w:rsidRDefault="00000000">
            <w:pPr>
              <w:jc w:val="right"/>
            </w:pPr>
            <w:r>
              <w:rPr>
                <w:color w:val="000000"/>
                <w:sz w:val="19"/>
                <w:szCs w:val="19"/>
              </w:rPr>
              <w:t>5.2%</w:t>
            </w:r>
          </w:p>
        </w:tc>
        <w:tc>
          <w:tcPr>
            <w:tcW w:w="1100" w:type="dxa"/>
            <w:tcBorders>
              <w:top w:val="single" w:sz="2" w:space="0" w:color="CCCCCC"/>
              <w:left w:val="single" w:sz="2" w:space="0" w:color="CCCCCC"/>
              <w:bottom w:val="single" w:sz="2" w:space="0" w:color="CCCCCC"/>
              <w:right w:val="single" w:sz="2" w:space="0" w:color="CCCCCC"/>
            </w:tcBorders>
          </w:tcPr>
          <w:p w14:paraId="52F0F696" w14:textId="77777777" w:rsidR="00EE041C" w:rsidRDefault="00000000">
            <w:pPr>
              <w:jc w:val="right"/>
            </w:pPr>
            <w:r>
              <w:rPr>
                <w:color w:val="000000"/>
                <w:sz w:val="19"/>
                <w:szCs w:val="19"/>
              </w:rPr>
              <w:t>−2.2%</w:t>
            </w:r>
          </w:p>
        </w:tc>
        <w:tc>
          <w:tcPr>
            <w:tcW w:w="3327" w:type="dxa"/>
            <w:tcBorders>
              <w:top w:val="single" w:sz="2" w:space="0" w:color="CCCCCC"/>
              <w:left w:val="single" w:sz="2" w:space="0" w:color="CCCCCC"/>
              <w:bottom w:val="single" w:sz="2" w:space="0" w:color="CCCCCC"/>
              <w:right w:val="single" w:sz="2" w:space="0" w:color="CCCCCC"/>
            </w:tcBorders>
          </w:tcPr>
          <w:p w14:paraId="0130CA3D" w14:textId="77777777" w:rsidR="00EE041C" w:rsidRDefault="00000000">
            <w:r>
              <w:rPr>
                <w:color w:val="000000"/>
                <w:sz w:val="19"/>
                <w:szCs w:val="19"/>
              </w:rPr>
              <w:t>Easy</w:t>
            </w:r>
          </w:p>
        </w:tc>
      </w:tr>
      <w:tr w:rsidR="00EE041C" w14:paraId="2E66A532" w14:textId="77777777">
        <w:tc>
          <w:tcPr>
            <w:tcW w:w="899" w:type="dxa"/>
            <w:tcBorders>
              <w:top w:val="single" w:sz="2" w:space="0" w:color="CCCCCC"/>
              <w:left w:val="single" w:sz="2" w:space="0" w:color="CCCCCC"/>
              <w:bottom w:val="single" w:sz="2" w:space="0" w:color="CCCCCC"/>
              <w:right w:val="single" w:sz="2" w:space="0" w:color="CCCCCC"/>
            </w:tcBorders>
          </w:tcPr>
          <w:p w14:paraId="58E245BC" w14:textId="77777777" w:rsidR="00EE041C" w:rsidRDefault="00000000">
            <w:r>
              <w:rPr>
                <w:color w:val="000000"/>
                <w:sz w:val="19"/>
                <w:szCs w:val="19"/>
              </w:rPr>
              <w:t>9656</w:t>
            </w:r>
          </w:p>
        </w:tc>
        <w:tc>
          <w:tcPr>
            <w:tcW w:w="2601" w:type="dxa"/>
            <w:tcBorders>
              <w:top w:val="single" w:sz="2" w:space="0" w:color="CCCCCC"/>
              <w:left w:val="single" w:sz="2" w:space="0" w:color="CCCCCC"/>
              <w:bottom w:val="single" w:sz="2" w:space="0" w:color="CCCCCC"/>
              <w:right w:val="single" w:sz="2" w:space="0" w:color="CCCCCC"/>
            </w:tcBorders>
          </w:tcPr>
          <w:p w14:paraId="7B9A1B67" w14:textId="77777777" w:rsidR="00EE041C" w:rsidRDefault="00000000">
            <w:proofErr w:type="spellStart"/>
            <w:r>
              <w:rPr>
                <w:color w:val="000000"/>
                <w:sz w:val="19"/>
                <w:szCs w:val="19"/>
              </w:rPr>
              <w:t>MobilePay</w:t>
            </w:r>
            <w:proofErr w:type="spellEnd"/>
          </w:p>
        </w:tc>
        <w:tc>
          <w:tcPr>
            <w:tcW w:w="1099" w:type="dxa"/>
            <w:tcBorders>
              <w:top w:val="single" w:sz="2" w:space="0" w:color="CCCCCC"/>
              <w:left w:val="single" w:sz="2" w:space="0" w:color="CCCCCC"/>
              <w:bottom w:val="single" w:sz="2" w:space="0" w:color="CCCCCC"/>
              <w:right w:val="single" w:sz="2" w:space="0" w:color="CCCCCC"/>
            </w:tcBorders>
          </w:tcPr>
          <w:p w14:paraId="621A4403" w14:textId="77777777" w:rsidR="00EE041C" w:rsidRDefault="00000000">
            <w:pPr>
              <w:jc w:val="right"/>
            </w:pPr>
            <w:r>
              <w:rPr>
                <w:color w:val="000000"/>
                <w:sz w:val="19"/>
                <w:szCs w:val="19"/>
              </w:rPr>
              <w:t>6.4%</w:t>
            </w:r>
          </w:p>
        </w:tc>
        <w:tc>
          <w:tcPr>
            <w:tcW w:w="1100" w:type="dxa"/>
            <w:tcBorders>
              <w:top w:val="single" w:sz="2" w:space="0" w:color="CCCCCC"/>
              <w:left w:val="single" w:sz="2" w:space="0" w:color="CCCCCC"/>
              <w:bottom w:val="single" w:sz="2" w:space="0" w:color="CCCCCC"/>
              <w:right w:val="single" w:sz="2" w:space="0" w:color="CCCCCC"/>
            </w:tcBorders>
          </w:tcPr>
          <w:p w14:paraId="24B02233" w14:textId="77777777" w:rsidR="00EE041C" w:rsidRDefault="00000000">
            <w:pPr>
              <w:jc w:val="right"/>
            </w:pPr>
            <w:r>
              <w:rPr>
                <w:color w:val="000000"/>
                <w:sz w:val="19"/>
                <w:szCs w:val="19"/>
              </w:rPr>
              <w:t>−1.8%</w:t>
            </w:r>
          </w:p>
        </w:tc>
        <w:tc>
          <w:tcPr>
            <w:tcW w:w="3327" w:type="dxa"/>
            <w:tcBorders>
              <w:top w:val="single" w:sz="2" w:space="0" w:color="CCCCCC"/>
              <w:left w:val="single" w:sz="2" w:space="0" w:color="CCCCCC"/>
              <w:bottom w:val="single" w:sz="2" w:space="0" w:color="CCCCCC"/>
              <w:right w:val="single" w:sz="2" w:space="0" w:color="CCCCCC"/>
            </w:tcBorders>
          </w:tcPr>
          <w:p w14:paraId="141CC2B7" w14:textId="77777777" w:rsidR="00EE041C" w:rsidRDefault="00000000">
            <w:r>
              <w:rPr>
                <w:color w:val="000000"/>
                <w:sz w:val="19"/>
                <w:szCs w:val="19"/>
              </w:rPr>
              <w:t>Easy</w:t>
            </w:r>
          </w:p>
        </w:tc>
      </w:tr>
      <w:tr w:rsidR="00EE041C" w14:paraId="6760B856" w14:textId="77777777">
        <w:tc>
          <w:tcPr>
            <w:tcW w:w="899" w:type="dxa"/>
            <w:tcBorders>
              <w:top w:val="single" w:sz="2" w:space="0" w:color="CCCCCC"/>
              <w:left w:val="single" w:sz="2" w:space="0" w:color="CCCCCC"/>
              <w:bottom w:val="single" w:sz="2" w:space="0" w:color="CCCCCC"/>
              <w:right w:val="single" w:sz="2" w:space="0" w:color="CCCCCC"/>
            </w:tcBorders>
          </w:tcPr>
          <w:p w14:paraId="32DC4A47" w14:textId="77777777" w:rsidR="00EE041C" w:rsidRDefault="00000000">
            <w:r>
              <w:rPr>
                <w:color w:val="000000"/>
                <w:sz w:val="19"/>
                <w:szCs w:val="19"/>
              </w:rPr>
              <w:t>9649</w:t>
            </w:r>
          </w:p>
        </w:tc>
        <w:tc>
          <w:tcPr>
            <w:tcW w:w="2601" w:type="dxa"/>
            <w:tcBorders>
              <w:top w:val="single" w:sz="2" w:space="0" w:color="CCCCCC"/>
              <w:left w:val="single" w:sz="2" w:space="0" w:color="CCCCCC"/>
              <w:bottom w:val="single" w:sz="2" w:space="0" w:color="CCCCCC"/>
              <w:right w:val="single" w:sz="2" w:space="0" w:color="CCCCCC"/>
            </w:tcBorders>
          </w:tcPr>
          <w:p w14:paraId="481A5AD6" w14:textId="77777777" w:rsidR="00EE041C" w:rsidRDefault="00000000">
            <w:r>
              <w:rPr>
                <w:color w:val="000000"/>
                <w:sz w:val="19"/>
                <w:szCs w:val="19"/>
              </w:rPr>
              <w:t>Credit cases</w:t>
            </w:r>
          </w:p>
        </w:tc>
        <w:tc>
          <w:tcPr>
            <w:tcW w:w="1099" w:type="dxa"/>
            <w:tcBorders>
              <w:top w:val="single" w:sz="2" w:space="0" w:color="CCCCCC"/>
              <w:left w:val="single" w:sz="2" w:space="0" w:color="CCCCCC"/>
              <w:bottom w:val="single" w:sz="2" w:space="0" w:color="CCCCCC"/>
              <w:right w:val="single" w:sz="2" w:space="0" w:color="CCCCCC"/>
            </w:tcBorders>
          </w:tcPr>
          <w:p w14:paraId="361BA3CD" w14:textId="77777777" w:rsidR="00EE041C" w:rsidRDefault="00000000">
            <w:pPr>
              <w:jc w:val="right"/>
            </w:pPr>
            <w:r>
              <w:rPr>
                <w:color w:val="000000"/>
                <w:sz w:val="19"/>
                <w:szCs w:val="19"/>
              </w:rPr>
              <w:t>10.4%</w:t>
            </w:r>
          </w:p>
        </w:tc>
        <w:tc>
          <w:tcPr>
            <w:tcW w:w="1100" w:type="dxa"/>
            <w:tcBorders>
              <w:top w:val="single" w:sz="2" w:space="0" w:color="CCCCCC"/>
              <w:left w:val="single" w:sz="2" w:space="0" w:color="CCCCCC"/>
              <w:bottom w:val="single" w:sz="2" w:space="0" w:color="CCCCCC"/>
              <w:right w:val="single" w:sz="2" w:space="0" w:color="CCCCCC"/>
            </w:tcBorders>
          </w:tcPr>
          <w:p w14:paraId="5D67C411" w14:textId="77777777" w:rsidR="00EE041C" w:rsidRDefault="00000000">
            <w:pPr>
              <w:jc w:val="right"/>
            </w:pPr>
            <w:r>
              <w:rPr>
                <w:color w:val="000000"/>
                <w:sz w:val="19"/>
                <w:szCs w:val="19"/>
              </w:rPr>
              <w:t>−6.0%</w:t>
            </w:r>
          </w:p>
        </w:tc>
        <w:tc>
          <w:tcPr>
            <w:tcW w:w="3327" w:type="dxa"/>
            <w:tcBorders>
              <w:top w:val="single" w:sz="2" w:space="0" w:color="CCCCCC"/>
              <w:left w:val="single" w:sz="2" w:space="0" w:color="CCCCCC"/>
              <w:bottom w:val="single" w:sz="2" w:space="0" w:color="CCCCCC"/>
              <w:right w:val="single" w:sz="2" w:space="0" w:color="CCCCCC"/>
            </w:tcBorders>
          </w:tcPr>
          <w:p w14:paraId="70D99CC9" w14:textId="77777777" w:rsidR="00EE041C" w:rsidRDefault="00000000">
            <w:r>
              <w:rPr>
                <w:color w:val="000000"/>
                <w:sz w:val="19"/>
                <w:szCs w:val="19"/>
              </w:rPr>
              <w:t>Harder; under-forecast</w:t>
            </w:r>
          </w:p>
        </w:tc>
      </w:tr>
      <w:tr w:rsidR="00EE041C" w14:paraId="09FB4CCD" w14:textId="77777777">
        <w:tc>
          <w:tcPr>
            <w:tcW w:w="899" w:type="dxa"/>
            <w:tcBorders>
              <w:top w:val="single" w:sz="2" w:space="0" w:color="CCCCCC"/>
              <w:left w:val="single" w:sz="2" w:space="0" w:color="CCCCCC"/>
              <w:bottom w:val="single" w:sz="2" w:space="0" w:color="CCCCCC"/>
              <w:right w:val="single" w:sz="2" w:space="0" w:color="CCCCCC"/>
            </w:tcBorders>
          </w:tcPr>
          <w:p w14:paraId="048CBC0C" w14:textId="77777777" w:rsidR="00EE041C" w:rsidRDefault="00000000">
            <w:r>
              <w:rPr>
                <w:color w:val="000000"/>
                <w:sz w:val="19"/>
                <w:szCs w:val="19"/>
              </w:rPr>
              <w:t>9692</w:t>
            </w:r>
          </w:p>
        </w:tc>
        <w:tc>
          <w:tcPr>
            <w:tcW w:w="2601" w:type="dxa"/>
            <w:tcBorders>
              <w:top w:val="single" w:sz="2" w:space="0" w:color="CCCCCC"/>
              <w:left w:val="single" w:sz="2" w:space="0" w:color="CCCCCC"/>
              <w:bottom w:val="single" w:sz="2" w:space="0" w:color="CCCCCC"/>
              <w:right w:val="single" w:sz="2" w:space="0" w:color="CCCCCC"/>
            </w:tcBorders>
          </w:tcPr>
          <w:p w14:paraId="2616D50E" w14:textId="77777777" w:rsidR="00EE041C" w:rsidRDefault="00000000">
            <w:r>
              <w:rPr>
                <w:color w:val="000000"/>
                <w:sz w:val="19"/>
                <w:szCs w:val="19"/>
              </w:rPr>
              <w:t>Documents archived</w:t>
            </w:r>
          </w:p>
        </w:tc>
        <w:tc>
          <w:tcPr>
            <w:tcW w:w="1099" w:type="dxa"/>
            <w:tcBorders>
              <w:top w:val="single" w:sz="2" w:space="0" w:color="CCCCCC"/>
              <w:left w:val="single" w:sz="2" w:space="0" w:color="CCCCCC"/>
              <w:bottom w:val="single" w:sz="2" w:space="0" w:color="CCCCCC"/>
              <w:right w:val="single" w:sz="2" w:space="0" w:color="CCCCCC"/>
            </w:tcBorders>
          </w:tcPr>
          <w:p w14:paraId="54F83282" w14:textId="77777777" w:rsidR="00EE041C" w:rsidRDefault="00000000">
            <w:pPr>
              <w:jc w:val="right"/>
            </w:pPr>
            <w:r>
              <w:rPr>
                <w:color w:val="000000"/>
                <w:sz w:val="19"/>
                <w:szCs w:val="19"/>
              </w:rPr>
              <w:t>11.5%</w:t>
            </w:r>
          </w:p>
        </w:tc>
        <w:tc>
          <w:tcPr>
            <w:tcW w:w="1100" w:type="dxa"/>
            <w:tcBorders>
              <w:top w:val="single" w:sz="2" w:space="0" w:color="CCCCCC"/>
              <w:left w:val="single" w:sz="2" w:space="0" w:color="CCCCCC"/>
              <w:bottom w:val="single" w:sz="2" w:space="0" w:color="CCCCCC"/>
              <w:right w:val="single" w:sz="2" w:space="0" w:color="CCCCCC"/>
            </w:tcBorders>
          </w:tcPr>
          <w:p w14:paraId="50B67673" w14:textId="77777777" w:rsidR="00EE041C" w:rsidRDefault="00000000">
            <w:pPr>
              <w:jc w:val="right"/>
            </w:pPr>
            <w:r>
              <w:rPr>
                <w:color w:val="000000"/>
                <w:sz w:val="19"/>
                <w:szCs w:val="19"/>
              </w:rPr>
              <w:t>+5.5%</w:t>
            </w:r>
          </w:p>
        </w:tc>
        <w:tc>
          <w:tcPr>
            <w:tcW w:w="3327" w:type="dxa"/>
            <w:tcBorders>
              <w:top w:val="single" w:sz="2" w:space="0" w:color="CCCCCC"/>
              <w:left w:val="single" w:sz="2" w:space="0" w:color="CCCCCC"/>
              <w:bottom w:val="single" w:sz="2" w:space="0" w:color="CCCCCC"/>
              <w:right w:val="single" w:sz="2" w:space="0" w:color="CCCCCC"/>
            </w:tcBorders>
          </w:tcPr>
          <w:p w14:paraId="02EAEFB9" w14:textId="77777777" w:rsidR="00EE041C" w:rsidRDefault="00000000">
            <w:r>
              <w:rPr>
                <w:color w:val="000000"/>
                <w:sz w:val="19"/>
                <w:szCs w:val="19"/>
              </w:rPr>
              <w:t>Lumpy; over-forecast</w:t>
            </w:r>
          </w:p>
        </w:tc>
      </w:tr>
      <w:tr w:rsidR="00EE041C" w14:paraId="04522DDB" w14:textId="77777777">
        <w:tc>
          <w:tcPr>
            <w:tcW w:w="899" w:type="dxa"/>
            <w:tcBorders>
              <w:top w:val="single" w:sz="2" w:space="0" w:color="CCCCCC"/>
              <w:left w:val="single" w:sz="2" w:space="0" w:color="CCCCCC"/>
              <w:bottom w:val="single" w:sz="2" w:space="0" w:color="CCCCCC"/>
              <w:right w:val="single" w:sz="2" w:space="0" w:color="CCCCCC"/>
            </w:tcBorders>
          </w:tcPr>
          <w:p w14:paraId="08BDF79F" w14:textId="77777777" w:rsidR="00EE041C" w:rsidRDefault="00000000">
            <w:r>
              <w:rPr>
                <w:color w:val="000000"/>
                <w:sz w:val="19"/>
                <w:szCs w:val="19"/>
              </w:rPr>
              <w:t>9652</w:t>
            </w:r>
          </w:p>
        </w:tc>
        <w:tc>
          <w:tcPr>
            <w:tcW w:w="2601" w:type="dxa"/>
            <w:tcBorders>
              <w:top w:val="single" w:sz="2" w:space="0" w:color="CCCCCC"/>
              <w:left w:val="single" w:sz="2" w:space="0" w:color="CCCCCC"/>
              <w:bottom w:val="single" w:sz="2" w:space="0" w:color="CCCCCC"/>
              <w:right w:val="single" w:sz="2" w:space="0" w:color="CCCCCC"/>
            </w:tcBorders>
          </w:tcPr>
          <w:p w14:paraId="7AD13A22" w14:textId="77777777" w:rsidR="00EE041C" w:rsidRDefault="00000000">
            <w:r>
              <w:rPr>
                <w:color w:val="000000"/>
                <w:sz w:val="19"/>
                <w:szCs w:val="19"/>
              </w:rPr>
              <w:t>Reports</w:t>
            </w:r>
          </w:p>
        </w:tc>
        <w:tc>
          <w:tcPr>
            <w:tcW w:w="1099" w:type="dxa"/>
            <w:tcBorders>
              <w:top w:val="single" w:sz="2" w:space="0" w:color="CCCCCC"/>
              <w:left w:val="single" w:sz="2" w:space="0" w:color="CCCCCC"/>
              <w:bottom w:val="single" w:sz="2" w:space="0" w:color="CCCCCC"/>
              <w:right w:val="single" w:sz="2" w:space="0" w:color="CCCCCC"/>
            </w:tcBorders>
          </w:tcPr>
          <w:p w14:paraId="47B021D1" w14:textId="77777777" w:rsidR="00EE041C" w:rsidRDefault="00000000">
            <w:pPr>
              <w:jc w:val="right"/>
            </w:pPr>
            <w:r>
              <w:rPr>
                <w:color w:val="000000"/>
                <w:sz w:val="19"/>
                <w:szCs w:val="19"/>
              </w:rPr>
              <w:t>12.4%</w:t>
            </w:r>
          </w:p>
        </w:tc>
        <w:tc>
          <w:tcPr>
            <w:tcW w:w="1100" w:type="dxa"/>
            <w:tcBorders>
              <w:top w:val="single" w:sz="2" w:space="0" w:color="CCCCCC"/>
              <w:left w:val="single" w:sz="2" w:space="0" w:color="CCCCCC"/>
              <w:bottom w:val="single" w:sz="2" w:space="0" w:color="CCCCCC"/>
              <w:right w:val="single" w:sz="2" w:space="0" w:color="CCCCCC"/>
            </w:tcBorders>
          </w:tcPr>
          <w:p w14:paraId="4B0E1E6D" w14:textId="77777777" w:rsidR="00EE041C" w:rsidRDefault="00000000">
            <w:pPr>
              <w:jc w:val="right"/>
            </w:pPr>
            <w:r>
              <w:rPr>
                <w:color w:val="000000"/>
                <w:sz w:val="19"/>
                <w:szCs w:val="19"/>
              </w:rPr>
              <w:t>+1.7%</w:t>
            </w:r>
          </w:p>
        </w:tc>
        <w:tc>
          <w:tcPr>
            <w:tcW w:w="3327" w:type="dxa"/>
            <w:tcBorders>
              <w:top w:val="single" w:sz="2" w:space="0" w:color="CCCCCC"/>
              <w:left w:val="single" w:sz="2" w:space="0" w:color="CCCCCC"/>
              <w:bottom w:val="single" w:sz="2" w:space="0" w:color="CCCCCC"/>
              <w:right w:val="single" w:sz="2" w:space="0" w:color="CCCCCC"/>
            </w:tcBorders>
          </w:tcPr>
          <w:p w14:paraId="77B20AB8" w14:textId="77777777" w:rsidR="00EE041C" w:rsidRDefault="00000000">
            <w:r>
              <w:rPr>
                <w:color w:val="000000"/>
                <w:sz w:val="19"/>
                <w:szCs w:val="19"/>
              </w:rPr>
              <w:t>Lumpy / event-driven</w:t>
            </w:r>
          </w:p>
        </w:tc>
      </w:tr>
      <w:tr w:rsidR="00EE041C" w14:paraId="22CE2A80" w14:textId="77777777">
        <w:tc>
          <w:tcPr>
            <w:tcW w:w="899" w:type="dxa"/>
            <w:tcBorders>
              <w:top w:val="single" w:sz="2" w:space="0" w:color="CCCCCC"/>
              <w:left w:val="single" w:sz="2" w:space="0" w:color="CCCCCC"/>
              <w:bottom w:val="single" w:sz="2" w:space="0" w:color="CCCCCC"/>
              <w:right w:val="single" w:sz="2" w:space="0" w:color="CCCCCC"/>
            </w:tcBorders>
          </w:tcPr>
          <w:p w14:paraId="5FB5EB85" w14:textId="77777777" w:rsidR="00EE041C" w:rsidRDefault="00000000">
            <w:r>
              <w:rPr>
                <w:color w:val="000000"/>
                <w:sz w:val="19"/>
                <w:szCs w:val="19"/>
              </w:rPr>
              <w:t>9768</w:t>
            </w:r>
          </w:p>
        </w:tc>
        <w:tc>
          <w:tcPr>
            <w:tcW w:w="2601" w:type="dxa"/>
            <w:tcBorders>
              <w:top w:val="single" w:sz="2" w:space="0" w:color="CCCCCC"/>
              <w:left w:val="single" w:sz="2" w:space="0" w:color="CCCCCC"/>
              <w:bottom w:val="single" w:sz="2" w:space="0" w:color="CCCCCC"/>
              <w:right w:val="single" w:sz="2" w:space="0" w:color="CCCCCC"/>
            </w:tcBorders>
          </w:tcPr>
          <w:p w14:paraId="611939A9" w14:textId="77777777" w:rsidR="00EE041C" w:rsidRDefault="00000000">
            <w:proofErr w:type="spellStart"/>
            <w:r>
              <w:rPr>
                <w:color w:val="000000"/>
                <w:sz w:val="19"/>
                <w:szCs w:val="19"/>
              </w:rPr>
              <w:t>Dopix</w:t>
            </w:r>
            <w:proofErr w:type="spellEnd"/>
            <w:r>
              <w:rPr>
                <w:color w:val="000000"/>
                <w:sz w:val="19"/>
                <w:szCs w:val="19"/>
              </w:rPr>
              <w:t xml:space="preserve"> documents</w:t>
            </w:r>
          </w:p>
        </w:tc>
        <w:tc>
          <w:tcPr>
            <w:tcW w:w="1099" w:type="dxa"/>
            <w:tcBorders>
              <w:top w:val="single" w:sz="2" w:space="0" w:color="CCCCCC"/>
              <w:left w:val="single" w:sz="2" w:space="0" w:color="CCCCCC"/>
              <w:bottom w:val="single" w:sz="2" w:space="0" w:color="CCCCCC"/>
              <w:right w:val="single" w:sz="2" w:space="0" w:color="CCCCCC"/>
            </w:tcBorders>
          </w:tcPr>
          <w:p w14:paraId="1FC5FB43" w14:textId="77777777" w:rsidR="00EE041C" w:rsidRDefault="00000000">
            <w:pPr>
              <w:jc w:val="right"/>
            </w:pPr>
            <w:r>
              <w:rPr>
                <w:color w:val="000000"/>
                <w:sz w:val="19"/>
                <w:szCs w:val="19"/>
              </w:rPr>
              <w:t>16.5%</w:t>
            </w:r>
          </w:p>
        </w:tc>
        <w:tc>
          <w:tcPr>
            <w:tcW w:w="1100" w:type="dxa"/>
            <w:tcBorders>
              <w:top w:val="single" w:sz="2" w:space="0" w:color="CCCCCC"/>
              <w:left w:val="single" w:sz="2" w:space="0" w:color="CCCCCC"/>
              <w:bottom w:val="single" w:sz="2" w:space="0" w:color="CCCCCC"/>
              <w:right w:val="single" w:sz="2" w:space="0" w:color="CCCCCC"/>
            </w:tcBorders>
          </w:tcPr>
          <w:p w14:paraId="0944FE47" w14:textId="77777777" w:rsidR="00EE041C" w:rsidRDefault="00000000">
            <w:pPr>
              <w:jc w:val="right"/>
            </w:pPr>
            <w:r>
              <w:rPr>
                <w:color w:val="000000"/>
                <w:sz w:val="19"/>
                <w:szCs w:val="19"/>
              </w:rPr>
              <w:t>+1.9%</w:t>
            </w:r>
          </w:p>
        </w:tc>
        <w:tc>
          <w:tcPr>
            <w:tcW w:w="3327" w:type="dxa"/>
            <w:tcBorders>
              <w:top w:val="single" w:sz="2" w:space="0" w:color="CCCCCC"/>
              <w:left w:val="single" w:sz="2" w:space="0" w:color="CCCCCC"/>
              <w:bottom w:val="single" w:sz="2" w:space="0" w:color="CCCCCC"/>
              <w:right w:val="single" w:sz="2" w:space="0" w:color="CCCCCC"/>
            </w:tcBorders>
          </w:tcPr>
          <w:p w14:paraId="36DBA177" w14:textId="77777777" w:rsidR="00EE041C" w:rsidRDefault="00000000">
            <w:r>
              <w:rPr>
                <w:color w:val="000000"/>
                <w:sz w:val="19"/>
                <w:szCs w:val="19"/>
              </w:rPr>
              <w:t>Lumpy / event-driven</w:t>
            </w:r>
          </w:p>
        </w:tc>
      </w:tr>
      <w:tr w:rsidR="00EE041C" w14:paraId="3A6FF280" w14:textId="77777777">
        <w:tc>
          <w:tcPr>
            <w:tcW w:w="899" w:type="dxa"/>
            <w:tcBorders>
              <w:top w:val="single" w:sz="2" w:space="0" w:color="CCCCCC"/>
              <w:left w:val="single" w:sz="2" w:space="0" w:color="CCCCCC"/>
              <w:bottom w:val="single" w:sz="2" w:space="0" w:color="CCCCCC"/>
              <w:right w:val="single" w:sz="2" w:space="0" w:color="CCCCCC"/>
            </w:tcBorders>
          </w:tcPr>
          <w:p w14:paraId="5A4122ED" w14:textId="77777777" w:rsidR="00EE041C" w:rsidRDefault="00000000">
            <w:r>
              <w:rPr>
                <w:color w:val="000000"/>
                <w:sz w:val="19"/>
                <w:szCs w:val="19"/>
              </w:rPr>
              <w:t>360</w:t>
            </w:r>
          </w:p>
        </w:tc>
        <w:tc>
          <w:tcPr>
            <w:tcW w:w="2601" w:type="dxa"/>
            <w:tcBorders>
              <w:top w:val="single" w:sz="2" w:space="0" w:color="CCCCCC"/>
              <w:left w:val="single" w:sz="2" w:space="0" w:color="CCCCCC"/>
              <w:bottom w:val="single" w:sz="2" w:space="0" w:color="CCCCCC"/>
              <w:right w:val="single" w:sz="2" w:space="0" w:color="CCCCCC"/>
            </w:tcBorders>
          </w:tcPr>
          <w:p w14:paraId="0FE5C14E" w14:textId="77777777" w:rsidR="00EE041C" w:rsidRDefault="00000000">
            <w:r>
              <w:rPr>
                <w:color w:val="000000"/>
                <w:sz w:val="19"/>
                <w:szCs w:val="19"/>
              </w:rPr>
              <w:t>Domestic securities trading</w:t>
            </w:r>
          </w:p>
        </w:tc>
        <w:tc>
          <w:tcPr>
            <w:tcW w:w="1099" w:type="dxa"/>
            <w:tcBorders>
              <w:top w:val="single" w:sz="2" w:space="0" w:color="CCCCCC"/>
              <w:left w:val="single" w:sz="2" w:space="0" w:color="CCCCCC"/>
              <w:bottom w:val="single" w:sz="2" w:space="0" w:color="CCCCCC"/>
              <w:right w:val="single" w:sz="2" w:space="0" w:color="CCCCCC"/>
            </w:tcBorders>
          </w:tcPr>
          <w:p w14:paraId="7C3593B1" w14:textId="77777777" w:rsidR="00EE041C" w:rsidRDefault="00000000">
            <w:pPr>
              <w:jc w:val="right"/>
            </w:pPr>
            <w:r>
              <w:rPr>
                <w:color w:val="000000"/>
                <w:sz w:val="19"/>
                <w:szCs w:val="19"/>
              </w:rPr>
              <w:t>21.3%</w:t>
            </w:r>
          </w:p>
        </w:tc>
        <w:tc>
          <w:tcPr>
            <w:tcW w:w="1100" w:type="dxa"/>
            <w:tcBorders>
              <w:top w:val="single" w:sz="2" w:space="0" w:color="CCCCCC"/>
              <w:left w:val="single" w:sz="2" w:space="0" w:color="CCCCCC"/>
              <w:bottom w:val="single" w:sz="2" w:space="0" w:color="CCCCCC"/>
              <w:right w:val="single" w:sz="2" w:space="0" w:color="CCCCCC"/>
            </w:tcBorders>
          </w:tcPr>
          <w:p w14:paraId="2E6FDCA5" w14:textId="77777777" w:rsidR="00EE041C" w:rsidRDefault="00000000">
            <w:pPr>
              <w:jc w:val="right"/>
            </w:pPr>
            <w:r>
              <w:rPr>
                <w:color w:val="000000"/>
                <w:sz w:val="19"/>
                <w:szCs w:val="19"/>
              </w:rPr>
              <w:t>−2.9%</w:t>
            </w:r>
          </w:p>
        </w:tc>
        <w:tc>
          <w:tcPr>
            <w:tcW w:w="3327" w:type="dxa"/>
            <w:tcBorders>
              <w:top w:val="single" w:sz="2" w:space="0" w:color="CCCCCC"/>
              <w:left w:val="single" w:sz="2" w:space="0" w:color="CCCCCC"/>
              <w:bottom w:val="single" w:sz="2" w:space="0" w:color="CCCCCC"/>
              <w:right w:val="single" w:sz="2" w:space="0" w:color="CCCCCC"/>
            </w:tcBorders>
          </w:tcPr>
          <w:p w14:paraId="14707CC9" w14:textId="77777777" w:rsidR="00EE041C" w:rsidRDefault="00000000">
            <w:r>
              <w:rPr>
                <w:color w:val="000000"/>
                <w:sz w:val="19"/>
                <w:szCs w:val="19"/>
              </w:rPr>
              <w:t>Volatile but unbiased</w:t>
            </w:r>
          </w:p>
        </w:tc>
      </w:tr>
      <w:tr w:rsidR="00EE041C" w14:paraId="70265BE3" w14:textId="77777777">
        <w:tc>
          <w:tcPr>
            <w:tcW w:w="899" w:type="dxa"/>
            <w:tcBorders>
              <w:top w:val="single" w:sz="2" w:space="0" w:color="CCCCCC"/>
              <w:left w:val="single" w:sz="2" w:space="0" w:color="CCCCCC"/>
              <w:bottom w:val="single" w:sz="2" w:space="0" w:color="CCCCCC"/>
              <w:right w:val="single" w:sz="2" w:space="0" w:color="CCCCCC"/>
            </w:tcBorders>
          </w:tcPr>
          <w:p w14:paraId="73B6FD47" w14:textId="77777777" w:rsidR="00EE041C" w:rsidRDefault="00000000">
            <w:r>
              <w:rPr>
                <w:color w:val="000000"/>
                <w:sz w:val="19"/>
                <w:szCs w:val="19"/>
              </w:rPr>
              <w:t>2370</w:t>
            </w:r>
          </w:p>
        </w:tc>
        <w:tc>
          <w:tcPr>
            <w:tcW w:w="2601" w:type="dxa"/>
            <w:tcBorders>
              <w:top w:val="single" w:sz="2" w:space="0" w:color="CCCCCC"/>
              <w:left w:val="single" w:sz="2" w:space="0" w:color="CCCCCC"/>
              <w:bottom w:val="single" w:sz="2" w:space="0" w:color="CCCCCC"/>
              <w:right w:val="single" w:sz="2" w:space="0" w:color="CCCCCC"/>
            </w:tcBorders>
          </w:tcPr>
          <w:p w14:paraId="4E1F7265" w14:textId="77777777" w:rsidR="00EE041C" w:rsidRDefault="00000000">
            <w:r>
              <w:rPr>
                <w:color w:val="000000"/>
                <w:sz w:val="19"/>
                <w:szCs w:val="19"/>
              </w:rPr>
              <w:t>Foreign securities trading</w:t>
            </w:r>
          </w:p>
        </w:tc>
        <w:tc>
          <w:tcPr>
            <w:tcW w:w="1099" w:type="dxa"/>
            <w:tcBorders>
              <w:top w:val="single" w:sz="2" w:space="0" w:color="CCCCCC"/>
              <w:left w:val="single" w:sz="2" w:space="0" w:color="CCCCCC"/>
              <w:bottom w:val="single" w:sz="2" w:space="0" w:color="CCCCCC"/>
              <w:right w:val="single" w:sz="2" w:space="0" w:color="CCCCCC"/>
            </w:tcBorders>
          </w:tcPr>
          <w:p w14:paraId="27747239" w14:textId="77777777" w:rsidR="00EE041C" w:rsidRDefault="00000000">
            <w:pPr>
              <w:jc w:val="right"/>
            </w:pPr>
            <w:r>
              <w:rPr>
                <w:color w:val="000000"/>
                <w:sz w:val="19"/>
                <w:szCs w:val="19"/>
              </w:rPr>
              <w:t>21.7%</w:t>
            </w:r>
          </w:p>
        </w:tc>
        <w:tc>
          <w:tcPr>
            <w:tcW w:w="1100" w:type="dxa"/>
            <w:tcBorders>
              <w:top w:val="single" w:sz="2" w:space="0" w:color="CCCCCC"/>
              <w:left w:val="single" w:sz="2" w:space="0" w:color="CCCCCC"/>
              <w:bottom w:val="single" w:sz="2" w:space="0" w:color="CCCCCC"/>
              <w:right w:val="single" w:sz="2" w:space="0" w:color="CCCCCC"/>
            </w:tcBorders>
          </w:tcPr>
          <w:p w14:paraId="394EACE7" w14:textId="77777777" w:rsidR="00EE041C" w:rsidRDefault="00000000">
            <w:pPr>
              <w:jc w:val="right"/>
            </w:pPr>
            <w:r>
              <w:rPr>
                <w:color w:val="000000"/>
                <w:sz w:val="19"/>
                <w:szCs w:val="19"/>
              </w:rPr>
              <w:t>−16.2%</w:t>
            </w:r>
          </w:p>
        </w:tc>
        <w:tc>
          <w:tcPr>
            <w:tcW w:w="3327" w:type="dxa"/>
            <w:tcBorders>
              <w:top w:val="single" w:sz="2" w:space="0" w:color="CCCCCC"/>
              <w:left w:val="single" w:sz="2" w:space="0" w:color="CCCCCC"/>
              <w:bottom w:val="single" w:sz="2" w:space="0" w:color="CCCCCC"/>
              <w:right w:val="single" w:sz="2" w:space="0" w:color="CCCCCC"/>
            </w:tcBorders>
          </w:tcPr>
          <w:p w14:paraId="1A4BFC9A" w14:textId="77777777" w:rsidR="00EE041C" w:rsidRDefault="00000000">
            <w:r>
              <w:rPr>
                <w:color w:val="000000"/>
                <w:sz w:val="19"/>
                <w:szCs w:val="19"/>
              </w:rPr>
              <w:t>Volatile AND systematically low</w:t>
            </w:r>
          </w:p>
        </w:tc>
      </w:tr>
    </w:tbl>
    <w:p w14:paraId="3ECF837E" w14:textId="77777777" w:rsidR="00EE041C" w:rsidRPr="00905551" w:rsidRDefault="00000000" w:rsidP="00905551">
      <w:pPr>
        <w:pStyle w:val="Heading1"/>
        <w:rPr>
          <w:rFonts w:ascii="Calibri" w:hAnsi="Calibri" w:cs="Calibri"/>
          <w:sz w:val="28"/>
          <w:szCs w:val="28"/>
        </w:rPr>
      </w:pPr>
      <w:r w:rsidRPr="00905551">
        <w:rPr>
          <w:rFonts w:ascii="Calibri" w:hAnsi="Calibri" w:cs="Calibri"/>
          <w:sz w:val="28"/>
          <w:szCs w:val="28"/>
        </w:rPr>
        <w:t>2.2 Accuracy by financial institute</w:t>
      </w:r>
    </w:p>
    <w:p w14:paraId="39F45875" w14:textId="64ACFE0E" w:rsidR="00EE041C" w:rsidRPr="00905551" w:rsidRDefault="00000000" w:rsidP="00905551">
      <w:pPr>
        <w:spacing w:after="120"/>
        <w:jc w:val="both"/>
        <w:rPr>
          <w:rFonts w:ascii="Calibri" w:hAnsi="Calibri" w:cs="Calibri"/>
        </w:rPr>
      </w:pPr>
      <w:r w:rsidRPr="00905551">
        <w:rPr>
          <w:rFonts w:ascii="Calibri" w:hAnsi="Calibri" w:cs="Calibri"/>
        </w:rPr>
        <w:t>Across banks, MAPE ranges only from 8.2% to 12.1</w:t>
      </w:r>
      <w:r w:rsidR="00B57616" w:rsidRPr="00905551">
        <w:rPr>
          <w:rFonts w:ascii="Calibri" w:hAnsi="Calibri" w:cs="Calibri" w:hint="eastAsia"/>
        </w:rPr>
        <w:t>.</w:t>
      </w:r>
      <w:r w:rsidRPr="00905551">
        <w:rPr>
          <w:rFonts w:ascii="Calibri" w:hAnsi="Calibri" w:cs="Calibri"/>
        </w:rPr>
        <w:t xml:space="preserve"> </w:t>
      </w:r>
      <w:r w:rsidR="00B57616" w:rsidRPr="00905551">
        <w:rPr>
          <w:rFonts w:ascii="Calibri" w:hAnsi="Calibri" w:cs="Calibri" w:hint="eastAsia"/>
        </w:rPr>
        <w:t>Thus, I</w:t>
      </w:r>
      <w:r w:rsidRPr="00905551">
        <w:rPr>
          <w:rFonts w:ascii="Calibri" w:hAnsi="Calibri" w:cs="Calibri"/>
        </w:rPr>
        <w:t>nstitute-level effects are minor; effort should target cost types, not banks.</w:t>
      </w:r>
    </w:p>
    <w:p w14:paraId="6DF2589E" w14:textId="77777777" w:rsidR="00EE041C" w:rsidRPr="00905551" w:rsidRDefault="00000000" w:rsidP="00905551">
      <w:pPr>
        <w:pStyle w:val="Heading1"/>
        <w:rPr>
          <w:rFonts w:ascii="Calibri" w:hAnsi="Calibri" w:cs="Calibri"/>
          <w:sz w:val="28"/>
          <w:szCs w:val="28"/>
        </w:rPr>
      </w:pPr>
      <w:r w:rsidRPr="00905551">
        <w:rPr>
          <w:rFonts w:ascii="Calibri" w:hAnsi="Calibri" w:cs="Calibri"/>
          <w:sz w:val="28"/>
          <w:szCs w:val="28"/>
        </w:rPr>
        <w:t>2.3 Horizon, vintage, and a hidden effect (the key analytical finding)</w:t>
      </w:r>
    </w:p>
    <w:p w14:paraId="053E969E" w14:textId="02A4B7D6" w:rsidR="00EE041C" w:rsidRPr="00905551" w:rsidRDefault="00000000" w:rsidP="00905551">
      <w:pPr>
        <w:spacing w:after="120"/>
        <w:jc w:val="both"/>
        <w:rPr>
          <w:rFonts w:ascii="Calibri" w:hAnsi="Calibri" w:cs="Calibri"/>
        </w:rPr>
      </w:pPr>
      <w:r w:rsidRPr="00905551">
        <w:rPr>
          <w:rFonts w:ascii="Calibri" w:hAnsi="Calibri" w:cs="Calibri"/>
        </w:rPr>
        <w:t xml:space="preserve">Pooled across all months, MAPE looks essentially flat across forecast </w:t>
      </w:r>
      <w:r w:rsidR="00B57616" w:rsidRPr="00905551">
        <w:rPr>
          <w:rFonts w:ascii="Calibri" w:hAnsi="Calibri" w:cs="Calibri"/>
        </w:rPr>
        <w:t>horizons. Taken</w:t>
      </w:r>
      <w:r w:rsidRPr="00905551">
        <w:rPr>
          <w:rFonts w:ascii="Calibri" w:hAnsi="Calibri" w:cs="Calibri"/>
        </w:rPr>
        <w:t xml:space="preserve"> alone this suggests the model does not benefit from incoming data. However, this is an aggregation artefact: short horizons are dominated by the hard summer months, long horizons by the easier autumn months, and the two effects cancel.</w:t>
      </w:r>
    </w:p>
    <w:p w14:paraId="4F18099A" w14:textId="77777777" w:rsidR="00B57616" w:rsidRPr="00905551" w:rsidRDefault="00000000" w:rsidP="00905551">
      <w:pPr>
        <w:spacing w:after="120"/>
        <w:jc w:val="both"/>
        <w:rPr>
          <w:rFonts w:ascii="Calibri" w:hAnsi="Calibri" w:cs="Calibri"/>
        </w:rPr>
      </w:pPr>
      <w:r w:rsidRPr="00905551">
        <w:rPr>
          <w:rFonts w:ascii="Calibri" w:hAnsi="Calibri" w:cs="Calibri"/>
        </w:rPr>
        <w:t xml:space="preserve">Controlling for this with a cross-check </w:t>
      </w:r>
      <w:proofErr w:type="gramStart"/>
      <w:r w:rsidRPr="00905551">
        <w:rPr>
          <w:rFonts w:ascii="Calibri" w:hAnsi="Calibri" w:cs="Calibri"/>
        </w:rPr>
        <w:t xml:space="preserve">matrix </w:t>
      </w:r>
      <w:r w:rsidR="00B57616" w:rsidRPr="00905551">
        <w:rPr>
          <w:rFonts w:ascii="Calibri" w:hAnsi="Calibri" w:cs="Calibri" w:hint="eastAsia"/>
        </w:rPr>
        <w:t>,</w:t>
      </w:r>
      <w:proofErr w:type="gramEnd"/>
      <w:r w:rsidR="00B57616" w:rsidRPr="00905551">
        <w:rPr>
          <w:rFonts w:ascii="Calibri" w:hAnsi="Calibri" w:cs="Calibri" w:hint="eastAsia"/>
        </w:rPr>
        <w:t xml:space="preserve"> </w:t>
      </w:r>
      <w:r w:rsidRPr="00905551">
        <w:rPr>
          <w:rFonts w:ascii="Calibri" w:hAnsi="Calibri" w:cs="Calibri"/>
        </w:rPr>
        <w:t>target month on the rows, forecast-creation month (vintage) on the columns</w:t>
      </w:r>
      <w:r w:rsidR="00B57616" w:rsidRPr="00905551">
        <w:rPr>
          <w:rFonts w:ascii="Calibri" w:hAnsi="Calibri" w:cs="Calibri" w:hint="eastAsia"/>
        </w:rPr>
        <w:t>,</w:t>
      </w:r>
      <w:r w:rsidRPr="00905551">
        <w:rPr>
          <w:rFonts w:ascii="Calibri" w:hAnsi="Calibri" w:cs="Calibri"/>
        </w:rPr>
        <w:t xml:space="preserve"> reverses the conclusion. </w:t>
      </w:r>
      <w:r w:rsidR="00B57616" w:rsidRPr="00905551">
        <w:rPr>
          <w:rFonts w:ascii="Calibri" w:hAnsi="Calibri" w:cs="Calibri" w:hint="eastAsia"/>
        </w:rPr>
        <w:t>T</w:t>
      </w:r>
      <w:r w:rsidRPr="00905551">
        <w:rPr>
          <w:rFonts w:ascii="Calibri" w:hAnsi="Calibri" w:cs="Calibri"/>
        </w:rPr>
        <w:t>he November target falls from 11.5% (May vintage) to 7.1% (November vintage), and October shows the same pattern. So fresh data genuinely does help</w:t>
      </w:r>
      <w:r w:rsidR="00B57616" w:rsidRPr="00905551">
        <w:rPr>
          <w:rFonts w:ascii="Calibri" w:hAnsi="Calibri" w:cs="Calibri" w:hint="eastAsia"/>
        </w:rPr>
        <w:t>.</w:t>
      </w:r>
    </w:p>
    <w:p w14:paraId="4D24F08F" w14:textId="5626983B" w:rsidR="00EE041C" w:rsidRPr="00905551" w:rsidRDefault="00B57616" w:rsidP="00905551">
      <w:pPr>
        <w:spacing w:after="120"/>
        <w:jc w:val="both"/>
        <w:rPr>
          <w:rFonts w:ascii="Calibri" w:hAnsi="Calibri" w:cs="Calibri" w:hint="eastAsia"/>
        </w:rPr>
      </w:pPr>
      <w:r w:rsidRPr="00905551">
        <w:rPr>
          <w:rFonts w:ascii="Calibri" w:hAnsi="Calibri" w:cs="Calibri" w:hint="eastAsia"/>
        </w:rPr>
        <w:t xml:space="preserve">In </w:t>
      </w:r>
      <w:r w:rsidRPr="00905551">
        <w:rPr>
          <w:rFonts w:ascii="Calibri" w:hAnsi="Calibri" w:cs="Calibri"/>
        </w:rPr>
        <w:t>addition</w:t>
      </w:r>
      <w:r w:rsidR="00000000" w:rsidRPr="00905551">
        <w:rPr>
          <w:rFonts w:ascii="Calibri" w:hAnsi="Calibri" w:cs="Calibri"/>
        </w:rPr>
        <w:t xml:space="preserve">, the summer target months (May–July) remain the hardest (12–13%) across every </w:t>
      </w:r>
      <w:proofErr w:type="gramStart"/>
      <w:r w:rsidRPr="00905551">
        <w:rPr>
          <w:rFonts w:ascii="Calibri" w:hAnsi="Calibri" w:cs="Calibri" w:hint="eastAsia"/>
        </w:rPr>
        <w:t>horizons</w:t>
      </w:r>
      <w:proofErr w:type="gramEnd"/>
      <w:r w:rsidRPr="00905551">
        <w:rPr>
          <w:rFonts w:ascii="Calibri" w:hAnsi="Calibri" w:cs="Calibri" w:hint="eastAsia"/>
        </w:rPr>
        <w:t>.</w:t>
      </w:r>
    </w:p>
    <w:p w14:paraId="1D2D6A87" w14:textId="77777777" w:rsidR="00EE041C" w:rsidRPr="00905551" w:rsidRDefault="00000000" w:rsidP="00905551">
      <w:pPr>
        <w:pStyle w:val="Heading1"/>
        <w:rPr>
          <w:rFonts w:ascii="Calibri" w:hAnsi="Calibri" w:cs="Calibri"/>
          <w:sz w:val="28"/>
          <w:szCs w:val="28"/>
        </w:rPr>
      </w:pPr>
      <w:r w:rsidRPr="00905551">
        <w:rPr>
          <w:rFonts w:ascii="Calibri" w:hAnsi="Calibri" w:cs="Calibri"/>
          <w:sz w:val="28"/>
          <w:szCs w:val="28"/>
        </w:rPr>
        <w:t>2.4 Forecast volatility (stability)</w:t>
      </w:r>
    </w:p>
    <w:p w14:paraId="3BC31F11" w14:textId="77777777" w:rsidR="00CA4896" w:rsidRPr="00905551" w:rsidRDefault="00000000" w:rsidP="00905551">
      <w:pPr>
        <w:spacing w:after="120"/>
        <w:jc w:val="both"/>
        <w:rPr>
          <w:rFonts w:ascii="Calibri" w:hAnsi="Calibri" w:cs="Calibri"/>
        </w:rPr>
      </w:pPr>
      <w:r w:rsidRPr="00905551">
        <w:rPr>
          <w:rFonts w:ascii="Calibri" w:hAnsi="Calibri" w:cs="Calibri"/>
        </w:rPr>
        <w:t>The case also asks how forecasts change as new data arrives. We measured the revision spread</w:t>
      </w:r>
      <w:r w:rsidR="00B57616" w:rsidRPr="00905551">
        <w:rPr>
          <w:rFonts w:ascii="Calibri" w:hAnsi="Calibri" w:cs="Calibri" w:hint="eastAsia"/>
        </w:rPr>
        <w:t>,</w:t>
      </w:r>
      <w:r w:rsidRPr="00905551">
        <w:rPr>
          <w:rFonts w:ascii="Calibri" w:hAnsi="Calibri" w:cs="Calibri"/>
        </w:rPr>
        <w:t xml:space="preserve"> (</w:t>
      </w:r>
      <w:proofErr w:type="gramStart"/>
      <w:r w:rsidRPr="00905551">
        <w:rPr>
          <w:rFonts w:ascii="Calibri" w:hAnsi="Calibri" w:cs="Calibri"/>
        </w:rPr>
        <w:t>max−min</w:t>
      </w:r>
      <w:proofErr w:type="gramEnd"/>
      <w:r w:rsidRPr="00905551">
        <w:rPr>
          <w:rFonts w:ascii="Calibri" w:hAnsi="Calibri" w:cs="Calibri"/>
        </w:rPr>
        <w:t>)/average of the successive vintage forecasts for a fixed target month</w:t>
      </w:r>
      <w:r w:rsidR="00B57616" w:rsidRPr="00905551">
        <w:rPr>
          <w:rFonts w:ascii="Calibri" w:hAnsi="Calibri" w:cs="Calibri" w:hint="eastAsia"/>
        </w:rPr>
        <w:t>,</w:t>
      </w:r>
      <w:r w:rsidRPr="00905551">
        <w:rPr>
          <w:rFonts w:ascii="Calibri" w:hAnsi="Calibri" w:cs="Calibri"/>
        </w:rPr>
        <w:t xml:space="preserve"> on representative series. Securities held (150) is revised by only ~2% across vintages; foreign securities (2370) by </w:t>
      </w:r>
      <w:r w:rsidR="00CA4896" w:rsidRPr="00905551">
        <w:rPr>
          <w:rFonts w:ascii="Calibri" w:hAnsi="Calibri" w:cs="Calibri" w:hint="eastAsia"/>
        </w:rPr>
        <w:t xml:space="preserve">around </w:t>
      </w:r>
      <w:r w:rsidRPr="00905551">
        <w:rPr>
          <w:rFonts w:ascii="Calibri" w:hAnsi="Calibri" w:cs="Calibri"/>
        </w:rPr>
        <w:t xml:space="preserve">21%. </w:t>
      </w:r>
    </w:p>
    <w:p w14:paraId="725C88F1" w14:textId="2C26776F" w:rsidR="00EE041C" w:rsidRPr="00905551" w:rsidRDefault="00CA4896" w:rsidP="00905551">
      <w:pPr>
        <w:spacing w:after="120"/>
        <w:jc w:val="both"/>
        <w:rPr>
          <w:rFonts w:ascii="Calibri" w:hAnsi="Calibri" w:cs="Calibri"/>
        </w:rPr>
      </w:pPr>
      <w:r w:rsidRPr="00905551">
        <w:rPr>
          <w:rFonts w:ascii="Calibri" w:hAnsi="Calibri" w:cs="Calibri" w:hint="eastAsia"/>
        </w:rPr>
        <w:t>Thus, s</w:t>
      </w:r>
      <w:r w:rsidR="00000000" w:rsidRPr="00905551">
        <w:rPr>
          <w:rFonts w:ascii="Calibri" w:hAnsi="Calibri" w:cs="Calibri"/>
        </w:rPr>
        <w:t xml:space="preserve">tability mirrors </w:t>
      </w:r>
      <w:r w:rsidRPr="00905551">
        <w:rPr>
          <w:rFonts w:ascii="Calibri" w:hAnsi="Calibri" w:cs="Calibri"/>
        </w:rPr>
        <w:t>accuracy, the</w:t>
      </w:r>
      <w:r w:rsidR="00000000" w:rsidRPr="00905551">
        <w:rPr>
          <w:rFonts w:ascii="Calibri" w:hAnsi="Calibri" w:cs="Calibri"/>
        </w:rPr>
        <w:t xml:space="preserve"> model "changes its mind" most about exactly the series it forecasts worst</w:t>
      </w:r>
      <w:r w:rsidRPr="00905551">
        <w:rPr>
          <w:rFonts w:ascii="Calibri" w:hAnsi="Calibri" w:cs="Calibri" w:hint="eastAsia"/>
        </w:rPr>
        <w:t>, such as ID 2370.</w:t>
      </w:r>
      <w:r w:rsidR="00000000" w:rsidRPr="00905551">
        <w:rPr>
          <w:rFonts w:ascii="Calibri" w:hAnsi="Calibri" w:cs="Calibri"/>
        </w:rPr>
        <w:t xml:space="preserve"> Importantly, 360 is equally volatile but non-directional, confirming that high volatility does not imply bias.</w:t>
      </w:r>
    </w:p>
    <w:p w14:paraId="62FE85D4" w14:textId="77777777" w:rsidR="00EE041C" w:rsidRPr="00905551" w:rsidRDefault="00000000" w:rsidP="00905551">
      <w:pPr>
        <w:pStyle w:val="Heading1"/>
        <w:rPr>
          <w:rFonts w:ascii="Calibri" w:hAnsi="Calibri" w:cs="Calibri"/>
          <w:sz w:val="28"/>
          <w:szCs w:val="28"/>
        </w:rPr>
      </w:pPr>
      <w:r w:rsidRPr="00905551">
        <w:rPr>
          <w:rFonts w:ascii="Calibri" w:hAnsi="Calibri" w:cs="Calibri"/>
          <w:sz w:val="28"/>
          <w:szCs w:val="28"/>
        </w:rPr>
        <w:t>2.5 Cumulative deviation</w:t>
      </w:r>
    </w:p>
    <w:p w14:paraId="50DFFACF" w14:textId="77777777" w:rsidR="00CA4896" w:rsidRPr="00905551" w:rsidRDefault="00000000" w:rsidP="00905551">
      <w:pPr>
        <w:spacing w:after="120"/>
        <w:jc w:val="both"/>
        <w:rPr>
          <w:rFonts w:ascii="Calibri" w:hAnsi="Calibri" w:cs="Calibri"/>
        </w:rPr>
      </w:pPr>
      <w:r w:rsidRPr="00905551">
        <w:rPr>
          <w:rFonts w:ascii="Calibri" w:hAnsi="Calibri" w:cs="Calibri"/>
        </w:rPr>
        <w:t>Finally</w:t>
      </w:r>
      <w:r w:rsidR="00CA4896" w:rsidRPr="00905551">
        <w:rPr>
          <w:rFonts w:ascii="Calibri" w:hAnsi="Calibri" w:cs="Calibri" w:hint="eastAsia"/>
        </w:rPr>
        <w:t xml:space="preserve">, </w:t>
      </w:r>
      <w:r w:rsidRPr="00905551">
        <w:rPr>
          <w:rFonts w:ascii="Calibri" w:hAnsi="Calibri" w:cs="Calibri"/>
        </w:rPr>
        <w:t xml:space="preserve">we examined cumulative (running-total) deviation, which matters for annual budgeting because monthly errors either compound or cancel in a total. </w:t>
      </w:r>
    </w:p>
    <w:p w14:paraId="5960EEA8" w14:textId="34988243" w:rsidR="00EE041C" w:rsidRDefault="00000000" w:rsidP="00905551">
      <w:pPr>
        <w:spacing w:after="120"/>
        <w:jc w:val="both"/>
      </w:pPr>
      <w:r w:rsidRPr="00905551">
        <w:rPr>
          <w:rFonts w:ascii="Calibri" w:hAnsi="Calibri" w:cs="Calibri"/>
        </w:rPr>
        <w:lastRenderedPageBreak/>
        <w:t xml:space="preserve">For foreign securities (2370), the May-vintage cumulative deviation drifts from +10% early in the year to −5% by </w:t>
      </w:r>
      <w:proofErr w:type="spellStart"/>
      <w:r w:rsidRPr="00905551">
        <w:rPr>
          <w:rFonts w:ascii="Calibri" w:hAnsi="Calibri" w:cs="Calibri"/>
        </w:rPr>
        <w:t>Novembe</w:t>
      </w:r>
      <w:proofErr w:type="spellEnd"/>
      <w:r w:rsidR="00CA4896" w:rsidRPr="00905551">
        <w:rPr>
          <w:rFonts w:ascii="Calibri" w:hAnsi="Calibri" w:cs="Calibri" w:hint="eastAsia"/>
        </w:rPr>
        <w:t xml:space="preserve">, thus </w:t>
      </w:r>
      <w:r w:rsidRPr="00905551">
        <w:rPr>
          <w:rFonts w:ascii="Calibri" w:hAnsi="Calibri" w:cs="Calibri"/>
        </w:rPr>
        <w:t>the autumn under-forecasting outweighs the summer over-forecasting, so even the full-period total ends meaningfully off. This reframes the stakeholder’s risk: a single early forecast round can mis-state the annual cost by 5%+ even for series that look acceptable month-to-month, so later vintages give a more reliable annual figure.</w:t>
      </w:r>
    </w:p>
    <w:p w14:paraId="76B0784C" w14:textId="77777777" w:rsidR="00EE041C" w:rsidRPr="00905551" w:rsidRDefault="00000000">
      <w:pPr>
        <w:pStyle w:val="Heading1"/>
        <w:rPr>
          <w:rFonts w:ascii="Calibri" w:hAnsi="Calibri" w:cs="Calibri"/>
          <w:sz w:val="28"/>
          <w:szCs w:val="28"/>
        </w:rPr>
      </w:pPr>
      <w:r w:rsidRPr="00905551">
        <w:rPr>
          <w:rFonts w:ascii="Calibri" w:hAnsi="Calibri" w:cs="Calibri"/>
          <w:sz w:val="28"/>
          <w:szCs w:val="28"/>
        </w:rPr>
        <w:t>3. Part 2 — Can accuracy be improved?</w:t>
      </w:r>
    </w:p>
    <w:p w14:paraId="529421C2" w14:textId="77777777" w:rsidR="00CA4896" w:rsidRPr="00905551" w:rsidRDefault="00CA4896" w:rsidP="00905551">
      <w:pPr>
        <w:spacing w:after="120"/>
        <w:jc w:val="both"/>
        <w:rPr>
          <w:rFonts w:ascii="Calibri" w:hAnsi="Calibri" w:cs="Calibri"/>
        </w:rPr>
      </w:pPr>
      <w:r w:rsidRPr="00905551">
        <w:rPr>
          <w:rFonts w:ascii="Calibri" w:hAnsi="Calibri" w:cs="Calibri"/>
        </w:rPr>
        <w:t>Requirements</w:t>
      </w:r>
      <w:r w:rsidR="00000000" w:rsidRPr="00905551">
        <w:rPr>
          <w:rFonts w:ascii="Calibri" w:hAnsi="Calibri" w:cs="Calibri"/>
        </w:rPr>
        <w:t xml:space="preserve"> (implied by the case’s emphasis on improving and generating forecasts): test transparent alternatives to the existing model.</w:t>
      </w:r>
    </w:p>
    <w:p w14:paraId="6B03F092" w14:textId="289BDCDC" w:rsidR="00EE041C" w:rsidRPr="00905551" w:rsidRDefault="00000000" w:rsidP="00905551">
      <w:pPr>
        <w:spacing w:after="120"/>
        <w:jc w:val="both"/>
        <w:rPr>
          <w:rFonts w:ascii="Calibri" w:hAnsi="Calibri" w:cs="Calibri"/>
        </w:rPr>
      </w:pPr>
      <w:r w:rsidRPr="00905551">
        <w:rPr>
          <w:rFonts w:ascii="Calibri" w:hAnsi="Calibri" w:cs="Calibri"/>
        </w:rPr>
        <w:t>We did not use regression or machine-learning regressors (Lasso, neural networks, etc.)</w:t>
      </w:r>
      <w:r w:rsidR="00CA4896" w:rsidRPr="00905551">
        <w:rPr>
          <w:rFonts w:ascii="Calibri" w:hAnsi="Calibri" w:cs="Calibri" w:hint="eastAsia"/>
        </w:rPr>
        <w:t xml:space="preserve">. Because </w:t>
      </w:r>
      <w:r w:rsidRPr="00905551">
        <w:rPr>
          <w:rFonts w:ascii="Calibri" w:hAnsi="Calibri" w:cs="Calibri"/>
        </w:rPr>
        <w:t>the data is univariate (only each series’ own history, no external predictors), short (~35 monthly observations), seasonal, and must be delivered in Excel/Power BI</w:t>
      </w:r>
      <w:r w:rsidR="00CA4896" w:rsidRPr="00905551">
        <w:rPr>
          <w:rFonts w:ascii="Calibri" w:hAnsi="Calibri" w:cs="Calibri" w:hint="eastAsia"/>
        </w:rPr>
        <w:t xml:space="preserve">. </w:t>
      </w:r>
      <w:proofErr w:type="gramStart"/>
      <w:r w:rsidRPr="00905551">
        <w:rPr>
          <w:rFonts w:ascii="Calibri" w:hAnsi="Calibri" w:cs="Calibri"/>
        </w:rPr>
        <w:t>Instead</w:t>
      </w:r>
      <w:proofErr w:type="gramEnd"/>
      <w:r w:rsidRPr="00905551">
        <w:rPr>
          <w:rFonts w:ascii="Calibri" w:hAnsi="Calibri" w:cs="Calibri"/>
        </w:rPr>
        <w:t xml:space="preserve"> we </w:t>
      </w:r>
      <w:proofErr w:type="gramStart"/>
      <w:r w:rsidRPr="00905551">
        <w:rPr>
          <w:rFonts w:ascii="Calibri" w:hAnsi="Calibri" w:cs="Calibri"/>
        </w:rPr>
        <w:t>built</w:t>
      </w:r>
      <w:proofErr w:type="gramEnd"/>
      <w:r w:rsidRPr="00905551">
        <w:rPr>
          <w:rFonts w:ascii="Calibri" w:hAnsi="Calibri" w:cs="Calibri"/>
        </w:rPr>
        <w:t xml:space="preserve"> two additional candidates and </w:t>
      </w:r>
      <w:proofErr w:type="gramStart"/>
      <w:r w:rsidRPr="00905551">
        <w:rPr>
          <w:rFonts w:ascii="Calibri" w:hAnsi="Calibri" w:cs="Calibri"/>
        </w:rPr>
        <w:t>ran</w:t>
      </w:r>
      <w:proofErr w:type="gramEnd"/>
      <w:r w:rsidRPr="00905551">
        <w:rPr>
          <w:rFonts w:ascii="Calibri" w:hAnsi="Calibri" w:cs="Calibri"/>
        </w:rPr>
        <w:t xml:space="preserve"> a head-to-head selection.</w:t>
      </w:r>
    </w:p>
    <w:p w14:paraId="1130FFB6" w14:textId="77777777" w:rsidR="00EE041C" w:rsidRPr="00905551" w:rsidRDefault="00000000" w:rsidP="00905551">
      <w:pPr>
        <w:pStyle w:val="ListParagraph"/>
        <w:numPr>
          <w:ilvl w:val="0"/>
          <w:numId w:val="9"/>
        </w:numPr>
        <w:spacing w:after="120"/>
        <w:jc w:val="both"/>
        <w:rPr>
          <w:rFonts w:ascii="Calibri" w:hAnsi="Calibri" w:cs="Calibri"/>
        </w:rPr>
      </w:pPr>
      <w:r w:rsidRPr="00905551">
        <w:rPr>
          <w:rFonts w:ascii="Calibri" w:hAnsi="Calibri" w:cs="Calibri"/>
        </w:rPr>
        <w:t>Seasonal-naive-with-drift (SND): last year’s same month × the average recent year-over-year growth (the three months known at forecast time). It captures seasonality and trend with no fitted parameters, and it directly uses the recent data the model under-exploits.</w:t>
      </w:r>
    </w:p>
    <w:p w14:paraId="1FCEA789" w14:textId="23C5B7BA" w:rsidR="00EE041C" w:rsidRPr="00905551" w:rsidRDefault="00000000" w:rsidP="00905551">
      <w:pPr>
        <w:pStyle w:val="ListParagraph"/>
        <w:numPr>
          <w:ilvl w:val="0"/>
          <w:numId w:val="9"/>
        </w:numPr>
        <w:spacing w:after="120"/>
        <w:jc w:val="both"/>
        <w:rPr>
          <w:rFonts w:ascii="Calibri" w:hAnsi="Calibri" w:cs="Calibri"/>
        </w:rPr>
      </w:pPr>
      <w:r w:rsidRPr="00905551">
        <w:rPr>
          <w:rFonts w:ascii="Calibri" w:hAnsi="Calibri" w:cs="Calibri"/>
        </w:rPr>
        <w:t xml:space="preserve">Bias-adjusted model: the </w:t>
      </w:r>
      <w:proofErr w:type="spellStart"/>
      <w:r w:rsidRPr="00905551">
        <w:rPr>
          <w:rFonts w:ascii="Calibri" w:hAnsi="Calibri" w:cs="Calibri"/>
        </w:rPr>
        <w:t>Bankdata</w:t>
      </w:r>
      <w:proofErr w:type="spellEnd"/>
      <w:r w:rsidRPr="00905551">
        <w:rPr>
          <w:rFonts w:ascii="Calibri" w:hAnsi="Calibri" w:cs="Calibri"/>
        </w:rPr>
        <w:t xml:space="preserve"> forecast × a correction factor estimated only from the early (May–Aug) window, to remove a systematic offse</w:t>
      </w:r>
      <w:r w:rsidR="00CA4896" w:rsidRPr="00905551">
        <w:rPr>
          <w:rFonts w:ascii="Calibri" w:hAnsi="Calibri" w:cs="Calibri" w:hint="eastAsia"/>
        </w:rPr>
        <w:t xml:space="preserve">t, </w:t>
      </w:r>
      <w:r w:rsidRPr="00905551">
        <w:rPr>
          <w:rFonts w:ascii="Calibri" w:hAnsi="Calibri" w:cs="Calibri"/>
        </w:rPr>
        <w:t xml:space="preserve">aimed at the directionally-biased </w:t>
      </w:r>
      <w:proofErr w:type="gramStart"/>
      <w:r w:rsidRPr="00905551">
        <w:rPr>
          <w:rFonts w:ascii="Calibri" w:hAnsi="Calibri" w:cs="Calibri"/>
        </w:rPr>
        <w:t>series.</w:t>
      </w:r>
      <w:r w:rsidR="00CA4896" w:rsidRPr="00905551">
        <w:rPr>
          <w:rFonts w:ascii="Calibri" w:hAnsi="Calibri" w:cs="Calibri" w:hint="eastAsia"/>
        </w:rPr>
        <w:t>(</w:t>
      </w:r>
      <w:proofErr w:type="gramEnd"/>
      <w:r w:rsidR="00CA4896" w:rsidRPr="00905551">
        <w:rPr>
          <w:rFonts w:ascii="Calibri" w:hAnsi="Calibri" w:cs="Calibri" w:hint="eastAsia"/>
        </w:rPr>
        <w:t>such as ID 2370)</w:t>
      </w:r>
    </w:p>
    <w:p w14:paraId="70C07370" w14:textId="77777777" w:rsidR="00CA4896" w:rsidRPr="00905551" w:rsidRDefault="00000000" w:rsidP="00905551">
      <w:pPr>
        <w:spacing w:after="120"/>
        <w:jc w:val="both"/>
        <w:rPr>
          <w:rFonts w:ascii="Calibri" w:hAnsi="Calibri" w:cs="Calibri"/>
        </w:rPr>
      </w:pPr>
      <w:r w:rsidRPr="00905551">
        <w:rPr>
          <w:rFonts w:ascii="Calibri" w:hAnsi="Calibri" w:cs="Calibri"/>
        </w:rPr>
        <w:t xml:space="preserve">We then chose the best of </w:t>
      </w:r>
      <w:r w:rsidR="00CA4896" w:rsidRPr="00905551">
        <w:rPr>
          <w:rFonts w:ascii="Calibri" w:hAnsi="Calibri" w:cs="Calibri" w:hint="eastAsia"/>
        </w:rPr>
        <w:t xml:space="preserve">current </w:t>
      </w:r>
      <w:r w:rsidRPr="00905551">
        <w:rPr>
          <w:rFonts w:ascii="Calibri" w:hAnsi="Calibri" w:cs="Calibri"/>
        </w:rPr>
        <w:t>Model, SND, Bias-adjusted per cost ID using only the May–Aug</w:t>
      </w:r>
      <w:r w:rsidR="00CA4896" w:rsidRPr="00905551">
        <w:rPr>
          <w:rFonts w:ascii="Calibri" w:hAnsi="Calibri" w:cs="Calibri" w:hint="eastAsia"/>
        </w:rPr>
        <w:t xml:space="preserve"> data</w:t>
      </w:r>
      <w:r w:rsidRPr="00905551">
        <w:rPr>
          <w:rFonts w:ascii="Calibri" w:hAnsi="Calibri" w:cs="Calibri"/>
        </w:rPr>
        <w:t xml:space="preserve"> and validated the choice out-of-sample </w:t>
      </w:r>
      <w:proofErr w:type="gramStart"/>
      <w:r w:rsidRPr="00905551">
        <w:rPr>
          <w:rFonts w:ascii="Calibri" w:hAnsi="Calibri" w:cs="Calibri"/>
        </w:rPr>
        <w:t>on</w:t>
      </w:r>
      <w:proofErr w:type="gramEnd"/>
      <w:r w:rsidRPr="00905551">
        <w:rPr>
          <w:rFonts w:ascii="Calibri" w:hAnsi="Calibri" w:cs="Calibri"/>
        </w:rPr>
        <w:t xml:space="preserve"> Sep–Nov</w:t>
      </w:r>
      <w:r w:rsidR="00CA4896" w:rsidRPr="00905551">
        <w:rPr>
          <w:rFonts w:ascii="Calibri" w:hAnsi="Calibri" w:cs="Calibri" w:hint="eastAsia"/>
        </w:rPr>
        <w:t xml:space="preserve"> data</w:t>
      </w:r>
      <w:r w:rsidRPr="00905551">
        <w:rPr>
          <w:rFonts w:ascii="Calibri" w:hAnsi="Calibri" w:cs="Calibri"/>
        </w:rPr>
        <w:t xml:space="preserve">. This train/test split is what makes the improvement claim honest rather than hindsight. </w:t>
      </w:r>
    </w:p>
    <w:p w14:paraId="55FDF202" w14:textId="5AAEFE57" w:rsidR="00EE041C" w:rsidRPr="00905551" w:rsidRDefault="00000000" w:rsidP="00905551">
      <w:pPr>
        <w:spacing w:after="120"/>
        <w:jc w:val="both"/>
        <w:rPr>
          <w:rFonts w:ascii="Calibri" w:hAnsi="Calibri" w:cs="Calibri"/>
        </w:rPr>
      </w:pPr>
      <w:r w:rsidRPr="00905551">
        <w:rPr>
          <w:rFonts w:ascii="Calibri" w:hAnsi="Calibri" w:cs="Calibri"/>
        </w:rPr>
        <w:t>We note one limitation: the two windows differ in difficulty (summer is harder), so the absolute MAPE levels in the test window are optimistic; however, the period difficulty applies equally to all methods, so the method ranking</w:t>
      </w:r>
      <w:r w:rsidR="00CA4896" w:rsidRPr="00905551">
        <w:rPr>
          <w:rFonts w:ascii="Calibri" w:hAnsi="Calibri" w:cs="Calibri" w:hint="eastAsia"/>
        </w:rPr>
        <w:t xml:space="preserve"> </w:t>
      </w:r>
      <w:r w:rsidRPr="00905551">
        <w:rPr>
          <w:rFonts w:ascii="Calibri" w:hAnsi="Calibri" w:cs="Calibri"/>
        </w:rPr>
        <w:t>is unaffected.</w:t>
      </w:r>
    </w:p>
    <w:p w14:paraId="0A3A1C42" w14:textId="77777777" w:rsidR="00EE041C" w:rsidRPr="00905551" w:rsidRDefault="00000000" w:rsidP="00905551">
      <w:pPr>
        <w:spacing w:after="120"/>
        <w:jc w:val="both"/>
        <w:rPr>
          <w:rFonts w:ascii="Calibri" w:hAnsi="Calibri" w:cs="Calibri"/>
        </w:rPr>
      </w:pPr>
      <w:r w:rsidRPr="00905551">
        <w:rPr>
          <w:rFonts w:ascii="Calibri" w:hAnsi="Calibri" w:cs="Calibri"/>
        </w:rPr>
        <w:t>Results of the validated selection (out-of-sample, Sep–Nov vintages):</w:t>
      </w:r>
    </w:p>
    <w:tbl>
      <w:tblPr>
        <w:tblW w:w="5000" w:type="pct"/>
        <w:tblLook w:val="04A0" w:firstRow="1" w:lastRow="0" w:firstColumn="1" w:lastColumn="0" w:noHBand="0" w:noVBand="1"/>
      </w:tblPr>
      <w:tblGrid>
        <w:gridCol w:w="1045"/>
        <w:gridCol w:w="1607"/>
        <w:gridCol w:w="1576"/>
        <w:gridCol w:w="1607"/>
        <w:gridCol w:w="1576"/>
        <w:gridCol w:w="1605"/>
      </w:tblGrid>
      <w:tr w:rsidR="00CA4896" w:rsidRPr="00CA4896" w14:paraId="7B4B11B8" w14:textId="77777777" w:rsidTr="00CA4896">
        <w:trPr>
          <w:trHeight w:val="300"/>
        </w:trPr>
        <w:tc>
          <w:tcPr>
            <w:tcW w:w="580" w:type="pct"/>
            <w:tcBorders>
              <w:top w:val="single" w:sz="4" w:space="0" w:color="auto"/>
              <w:left w:val="single" w:sz="4" w:space="0" w:color="auto"/>
              <w:bottom w:val="single" w:sz="4" w:space="0" w:color="auto"/>
              <w:right w:val="single" w:sz="4" w:space="0" w:color="auto"/>
            </w:tcBorders>
            <w:vAlign w:val="center"/>
            <w:hideMark/>
          </w:tcPr>
          <w:p w14:paraId="32BEB7E8" w14:textId="77777777" w:rsidR="00CA4896" w:rsidRPr="00CA4896" w:rsidRDefault="00CA4896" w:rsidP="00CA4896">
            <w:pPr>
              <w:suppressAutoHyphens w:val="0"/>
              <w:jc w:val="center"/>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ID</w:t>
            </w:r>
          </w:p>
        </w:tc>
        <w:tc>
          <w:tcPr>
            <w:tcW w:w="891" w:type="pct"/>
            <w:tcBorders>
              <w:top w:val="single" w:sz="4" w:space="0" w:color="auto"/>
              <w:left w:val="nil"/>
              <w:bottom w:val="single" w:sz="4" w:space="0" w:color="auto"/>
              <w:right w:val="single" w:sz="4" w:space="0" w:color="auto"/>
            </w:tcBorders>
            <w:vAlign w:val="center"/>
            <w:hideMark/>
          </w:tcPr>
          <w:p w14:paraId="59A22050" w14:textId="77777777" w:rsidR="00CA4896" w:rsidRPr="00CA4896" w:rsidRDefault="00CA4896" w:rsidP="00CA4896">
            <w:pPr>
              <w:suppressAutoHyphens w:val="0"/>
              <w:jc w:val="center"/>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ID name</w:t>
            </w:r>
          </w:p>
        </w:tc>
        <w:tc>
          <w:tcPr>
            <w:tcW w:w="874" w:type="pct"/>
            <w:tcBorders>
              <w:top w:val="single" w:sz="4" w:space="0" w:color="auto"/>
              <w:left w:val="nil"/>
              <w:bottom w:val="single" w:sz="4" w:space="0" w:color="auto"/>
              <w:right w:val="single" w:sz="4" w:space="0" w:color="auto"/>
            </w:tcBorders>
            <w:vAlign w:val="center"/>
            <w:hideMark/>
          </w:tcPr>
          <w:p w14:paraId="3BBE7F85" w14:textId="77777777" w:rsidR="00CA4896" w:rsidRPr="00CA4896" w:rsidRDefault="00CA4896" w:rsidP="00CA4896">
            <w:pPr>
              <w:suppressAutoHyphens w:val="0"/>
              <w:jc w:val="center"/>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Model</w:t>
            </w:r>
          </w:p>
        </w:tc>
        <w:tc>
          <w:tcPr>
            <w:tcW w:w="891" w:type="pct"/>
            <w:tcBorders>
              <w:top w:val="single" w:sz="4" w:space="0" w:color="auto"/>
              <w:left w:val="nil"/>
              <w:bottom w:val="single" w:sz="4" w:space="0" w:color="auto"/>
              <w:right w:val="single" w:sz="4" w:space="0" w:color="auto"/>
            </w:tcBorders>
            <w:vAlign w:val="center"/>
            <w:hideMark/>
          </w:tcPr>
          <w:p w14:paraId="162EDEB8" w14:textId="77777777" w:rsidR="00CA4896" w:rsidRPr="00CA4896" w:rsidRDefault="00CA4896" w:rsidP="00CA4896">
            <w:pPr>
              <w:suppressAutoHyphens w:val="0"/>
              <w:jc w:val="center"/>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SND</w:t>
            </w:r>
          </w:p>
        </w:tc>
        <w:tc>
          <w:tcPr>
            <w:tcW w:w="874" w:type="pct"/>
            <w:tcBorders>
              <w:top w:val="single" w:sz="4" w:space="0" w:color="auto"/>
              <w:left w:val="nil"/>
              <w:bottom w:val="single" w:sz="4" w:space="0" w:color="auto"/>
              <w:right w:val="single" w:sz="4" w:space="0" w:color="auto"/>
            </w:tcBorders>
            <w:vAlign w:val="center"/>
            <w:hideMark/>
          </w:tcPr>
          <w:p w14:paraId="1F2304AC" w14:textId="77777777" w:rsidR="00CA4896" w:rsidRPr="00CA4896" w:rsidRDefault="00CA4896" w:rsidP="00CA4896">
            <w:pPr>
              <w:suppressAutoHyphens w:val="0"/>
              <w:jc w:val="center"/>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Bias-adj</w:t>
            </w:r>
          </w:p>
        </w:tc>
        <w:tc>
          <w:tcPr>
            <w:tcW w:w="891" w:type="pct"/>
            <w:tcBorders>
              <w:top w:val="single" w:sz="4" w:space="0" w:color="auto"/>
              <w:left w:val="nil"/>
              <w:bottom w:val="single" w:sz="4" w:space="0" w:color="auto"/>
              <w:right w:val="single" w:sz="4" w:space="0" w:color="auto"/>
            </w:tcBorders>
            <w:vAlign w:val="center"/>
            <w:hideMark/>
          </w:tcPr>
          <w:p w14:paraId="1D770D6F" w14:textId="77777777" w:rsidR="00CA4896" w:rsidRPr="00CA4896" w:rsidRDefault="00CA4896" w:rsidP="00CA4896">
            <w:pPr>
              <w:suppressAutoHyphens w:val="0"/>
              <w:jc w:val="center"/>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Winner</w:t>
            </w:r>
          </w:p>
        </w:tc>
      </w:tr>
      <w:tr w:rsidR="00CA4896" w:rsidRPr="00CA4896" w14:paraId="13F34222" w14:textId="77777777" w:rsidTr="00CA4896">
        <w:trPr>
          <w:trHeight w:val="600"/>
        </w:trPr>
        <w:tc>
          <w:tcPr>
            <w:tcW w:w="580" w:type="pct"/>
            <w:tcBorders>
              <w:top w:val="nil"/>
              <w:left w:val="single" w:sz="4" w:space="0" w:color="auto"/>
              <w:bottom w:val="single" w:sz="4" w:space="0" w:color="auto"/>
              <w:right w:val="single" w:sz="4" w:space="0" w:color="auto"/>
            </w:tcBorders>
            <w:vAlign w:val="center"/>
            <w:hideMark/>
          </w:tcPr>
          <w:p w14:paraId="09F3BB1B"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150</w:t>
            </w:r>
          </w:p>
        </w:tc>
        <w:tc>
          <w:tcPr>
            <w:tcW w:w="891" w:type="pct"/>
            <w:tcBorders>
              <w:top w:val="nil"/>
              <w:left w:val="nil"/>
              <w:bottom w:val="single" w:sz="4" w:space="0" w:color="auto"/>
              <w:right w:val="single" w:sz="4" w:space="0" w:color="auto"/>
            </w:tcBorders>
            <w:vAlign w:val="center"/>
            <w:hideMark/>
          </w:tcPr>
          <w:p w14:paraId="665DA6A4"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Securities</w:t>
            </w:r>
          </w:p>
        </w:tc>
        <w:tc>
          <w:tcPr>
            <w:tcW w:w="874" w:type="pct"/>
            <w:tcBorders>
              <w:top w:val="nil"/>
              <w:left w:val="nil"/>
              <w:bottom w:val="single" w:sz="4" w:space="0" w:color="auto"/>
              <w:right w:val="single" w:sz="4" w:space="0" w:color="auto"/>
            </w:tcBorders>
            <w:vAlign w:val="center"/>
            <w:hideMark/>
          </w:tcPr>
          <w:p w14:paraId="31CEC562"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0,72%</w:t>
            </w:r>
          </w:p>
        </w:tc>
        <w:tc>
          <w:tcPr>
            <w:tcW w:w="891" w:type="pct"/>
            <w:tcBorders>
              <w:top w:val="nil"/>
              <w:left w:val="nil"/>
              <w:bottom w:val="single" w:sz="4" w:space="0" w:color="auto"/>
              <w:right w:val="single" w:sz="4" w:space="0" w:color="auto"/>
            </w:tcBorders>
            <w:vAlign w:val="center"/>
            <w:hideMark/>
          </w:tcPr>
          <w:p w14:paraId="64771857"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1,36%</w:t>
            </w:r>
          </w:p>
        </w:tc>
        <w:tc>
          <w:tcPr>
            <w:tcW w:w="874" w:type="pct"/>
            <w:tcBorders>
              <w:top w:val="nil"/>
              <w:left w:val="nil"/>
              <w:bottom w:val="single" w:sz="4" w:space="0" w:color="auto"/>
              <w:right w:val="single" w:sz="4" w:space="0" w:color="auto"/>
            </w:tcBorders>
            <w:vAlign w:val="center"/>
            <w:hideMark/>
          </w:tcPr>
          <w:p w14:paraId="47EDB658"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0,59%</w:t>
            </w:r>
          </w:p>
        </w:tc>
        <w:tc>
          <w:tcPr>
            <w:tcW w:w="891" w:type="pct"/>
            <w:tcBorders>
              <w:top w:val="nil"/>
              <w:left w:val="nil"/>
              <w:bottom w:val="single" w:sz="4" w:space="0" w:color="auto"/>
              <w:right w:val="single" w:sz="4" w:space="0" w:color="auto"/>
            </w:tcBorders>
            <w:vAlign w:val="center"/>
            <w:hideMark/>
          </w:tcPr>
          <w:p w14:paraId="057927A9"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 xml:space="preserve">Bias </w:t>
            </w:r>
            <w:proofErr w:type="spellStart"/>
            <w:r w:rsidRPr="00CA4896">
              <w:rPr>
                <w:rFonts w:ascii="Aptos Narrow" w:eastAsia="Times New Roman" w:hAnsi="Aptos Narrow" w:cs="Times New Roman"/>
                <w:color w:val="000000"/>
                <w:lang w:val="en-DK" w:bidi="ar-SA"/>
              </w:rPr>
              <w:t>djust</w:t>
            </w:r>
            <w:proofErr w:type="spellEnd"/>
            <w:r w:rsidRPr="00CA4896">
              <w:rPr>
                <w:rFonts w:ascii="Aptos Narrow" w:eastAsia="Times New Roman" w:hAnsi="Aptos Narrow" w:cs="Times New Roman"/>
                <w:color w:val="000000"/>
                <w:lang w:val="en-DK" w:bidi="ar-SA"/>
              </w:rPr>
              <w:t xml:space="preserve"> based on model</w:t>
            </w:r>
          </w:p>
        </w:tc>
      </w:tr>
      <w:tr w:rsidR="00CA4896" w:rsidRPr="00CA4896" w14:paraId="5D55389F" w14:textId="77777777" w:rsidTr="00CA4896">
        <w:trPr>
          <w:trHeight w:val="300"/>
        </w:trPr>
        <w:tc>
          <w:tcPr>
            <w:tcW w:w="580" w:type="pct"/>
            <w:tcBorders>
              <w:top w:val="nil"/>
              <w:left w:val="single" w:sz="4" w:space="0" w:color="auto"/>
              <w:bottom w:val="single" w:sz="4" w:space="0" w:color="auto"/>
              <w:right w:val="single" w:sz="4" w:space="0" w:color="auto"/>
            </w:tcBorders>
            <w:vAlign w:val="center"/>
            <w:hideMark/>
          </w:tcPr>
          <w:p w14:paraId="763CCD9E"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360</w:t>
            </w:r>
          </w:p>
        </w:tc>
        <w:tc>
          <w:tcPr>
            <w:tcW w:w="891" w:type="pct"/>
            <w:tcBorders>
              <w:top w:val="nil"/>
              <w:left w:val="nil"/>
              <w:bottom w:val="single" w:sz="4" w:space="0" w:color="auto"/>
              <w:right w:val="single" w:sz="4" w:space="0" w:color="auto"/>
            </w:tcBorders>
            <w:vAlign w:val="center"/>
            <w:hideMark/>
          </w:tcPr>
          <w:p w14:paraId="15A91A3E"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Domestic Securities</w:t>
            </w:r>
          </w:p>
        </w:tc>
        <w:tc>
          <w:tcPr>
            <w:tcW w:w="874" w:type="pct"/>
            <w:tcBorders>
              <w:top w:val="nil"/>
              <w:left w:val="nil"/>
              <w:bottom w:val="single" w:sz="4" w:space="0" w:color="auto"/>
              <w:right w:val="single" w:sz="4" w:space="0" w:color="auto"/>
            </w:tcBorders>
            <w:vAlign w:val="center"/>
            <w:hideMark/>
          </w:tcPr>
          <w:p w14:paraId="1360691C"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16,79%</w:t>
            </w:r>
          </w:p>
        </w:tc>
        <w:tc>
          <w:tcPr>
            <w:tcW w:w="891" w:type="pct"/>
            <w:tcBorders>
              <w:top w:val="nil"/>
              <w:left w:val="nil"/>
              <w:bottom w:val="single" w:sz="4" w:space="0" w:color="auto"/>
              <w:right w:val="single" w:sz="4" w:space="0" w:color="auto"/>
            </w:tcBorders>
            <w:vAlign w:val="center"/>
            <w:hideMark/>
          </w:tcPr>
          <w:p w14:paraId="74AD0D91"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22,85%</w:t>
            </w:r>
          </w:p>
        </w:tc>
        <w:tc>
          <w:tcPr>
            <w:tcW w:w="874" w:type="pct"/>
            <w:tcBorders>
              <w:top w:val="nil"/>
              <w:left w:val="nil"/>
              <w:bottom w:val="single" w:sz="4" w:space="0" w:color="auto"/>
              <w:right w:val="single" w:sz="4" w:space="0" w:color="auto"/>
            </w:tcBorders>
            <w:vAlign w:val="center"/>
            <w:hideMark/>
          </w:tcPr>
          <w:p w14:paraId="2DEE6EEF"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16,84%</w:t>
            </w:r>
          </w:p>
        </w:tc>
        <w:tc>
          <w:tcPr>
            <w:tcW w:w="891" w:type="pct"/>
            <w:tcBorders>
              <w:top w:val="nil"/>
              <w:left w:val="nil"/>
              <w:bottom w:val="single" w:sz="4" w:space="0" w:color="auto"/>
              <w:right w:val="single" w:sz="4" w:space="0" w:color="auto"/>
            </w:tcBorders>
            <w:vAlign w:val="center"/>
            <w:hideMark/>
          </w:tcPr>
          <w:p w14:paraId="2F229906"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Model</w:t>
            </w:r>
          </w:p>
        </w:tc>
      </w:tr>
      <w:tr w:rsidR="00CA4896" w:rsidRPr="00CA4896" w14:paraId="067A8FD6" w14:textId="77777777" w:rsidTr="00CA4896">
        <w:trPr>
          <w:trHeight w:val="600"/>
        </w:trPr>
        <w:tc>
          <w:tcPr>
            <w:tcW w:w="580" w:type="pct"/>
            <w:tcBorders>
              <w:top w:val="nil"/>
              <w:left w:val="single" w:sz="4" w:space="0" w:color="auto"/>
              <w:bottom w:val="single" w:sz="4" w:space="0" w:color="auto"/>
              <w:right w:val="single" w:sz="4" w:space="0" w:color="auto"/>
            </w:tcBorders>
            <w:vAlign w:val="center"/>
            <w:hideMark/>
          </w:tcPr>
          <w:p w14:paraId="296A0381"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2370</w:t>
            </w:r>
          </w:p>
        </w:tc>
        <w:tc>
          <w:tcPr>
            <w:tcW w:w="891" w:type="pct"/>
            <w:tcBorders>
              <w:top w:val="nil"/>
              <w:left w:val="nil"/>
              <w:bottom w:val="single" w:sz="4" w:space="0" w:color="auto"/>
              <w:right w:val="single" w:sz="4" w:space="0" w:color="auto"/>
            </w:tcBorders>
            <w:vAlign w:val="center"/>
            <w:hideMark/>
          </w:tcPr>
          <w:p w14:paraId="63153A3D"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Foreign Securities</w:t>
            </w:r>
          </w:p>
        </w:tc>
        <w:tc>
          <w:tcPr>
            <w:tcW w:w="874" w:type="pct"/>
            <w:tcBorders>
              <w:top w:val="nil"/>
              <w:left w:val="nil"/>
              <w:bottom w:val="single" w:sz="4" w:space="0" w:color="auto"/>
              <w:right w:val="single" w:sz="4" w:space="0" w:color="auto"/>
            </w:tcBorders>
            <w:vAlign w:val="center"/>
            <w:hideMark/>
          </w:tcPr>
          <w:p w14:paraId="40680FDA"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19,74%</w:t>
            </w:r>
          </w:p>
        </w:tc>
        <w:tc>
          <w:tcPr>
            <w:tcW w:w="891" w:type="pct"/>
            <w:tcBorders>
              <w:top w:val="nil"/>
              <w:left w:val="nil"/>
              <w:bottom w:val="single" w:sz="4" w:space="0" w:color="auto"/>
              <w:right w:val="single" w:sz="4" w:space="0" w:color="auto"/>
            </w:tcBorders>
            <w:vAlign w:val="center"/>
            <w:hideMark/>
          </w:tcPr>
          <w:p w14:paraId="7334E1ED"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24,85%</w:t>
            </w:r>
          </w:p>
        </w:tc>
        <w:tc>
          <w:tcPr>
            <w:tcW w:w="874" w:type="pct"/>
            <w:tcBorders>
              <w:top w:val="nil"/>
              <w:left w:val="nil"/>
              <w:bottom w:val="single" w:sz="4" w:space="0" w:color="auto"/>
              <w:right w:val="single" w:sz="4" w:space="0" w:color="auto"/>
            </w:tcBorders>
            <w:vAlign w:val="center"/>
            <w:hideMark/>
          </w:tcPr>
          <w:p w14:paraId="4ECC4918"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11,79%</w:t>
            </w:r>
          </w:p>
        </w:tc>
        <w:tc>
          <w:tcPr>
            <w:tcW w:w="891" w:type="pct"/>
            <w:tcBorders>
              <w:top w:val="nil"/>
              <w:left w:val="nil"/>
              <w:bottom w:val="single" w:sz="4" w:space="0" w:color="auto"/>
              <w:right w:val="single" w:sz="4" w:space="0" w:color="auto"/>
            </w:tcBorders>
            <w:vAlign w:val="center"/>
            <w:hideMark/>
          </w:tcPr>
          <w:p w14:paraId="0E1CEB46"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 xml:space="preserve">Bias </w:t>
            </w:r>
            <w:proofErr w:type="spellStart"/>
            <w:r w:rsidRPr="00CA4896">
              <w:rPr>
                <w:rFonts w:ascii="Aptos Narrow" w:eastAsia="Times New Roman" w:hAnsi="Aptos Narrow" w:cs="Times New Roman"/>
                <w:color w:val="000000"/>
                <w:lang w:val="en-DK" w:bidi="ar-SA"/>
              </w:rPr>
              <w:t>djust</w:t>
            </w:r>
            <w:proofErr w:type="spellEnd"/>
            <w:r w:rsidRPr="00CA4896">
              <w:rPr>
                <w:rFonts w:ascii="Aptos Narrow" w:eastAsia="Times New Roman" w:hAnsi="Aptos Narrow" w:cs="Times New Roman"/>
                <w:color w:val="000000"/>
                <w:lang w:val="en-DK" w:bidi="ar-SA"/>
              </w:rPr>
              <w:t xml:space="preserve"> based on model</w:t>
            </w:r>
          </w:p>
        </w:tc>
      </w:tr>
      <w:tr w:rsidR="00CA4896" w:rsidRPr="00CA4896" w14:paraId="0556E685" w14:textId="77777777" w:rsidTr="00CA4896">
        <w:trPr>
          <w:trHeight w:val="600"/>
        </w:trPr>
        <w:tc>
          <w:tcPr>
            <w:tcW w:w="580" w:type="pct"/>
            <w:tcBorders>
              <w:top w:val="nil"/>
              <w:left w:val="single" w:sz="4" w:space="0" w:color="auto"/>
              <w:bottom w:val="single" w:sz="4" w:space="0" w:color="auto"/>
              <w:right w:val="single" w:sz="4" w:space="0" w:color="auto"/>
            </w:tcBorders>
            <w:vAlign w:val="center"/>
            <w:hideMark/>
          </w:tcPr>
          <w:p w14:paraId="26ECA916"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9649</w:t>
            </w:r>
          </w:p>
        </w:tc>
        <w:tc>
          <w:tcPr>
            <w:tcW w:w="891" w:type="pct"/>
            <w:tcBorders>
              <w:top w:val="nil"/>
              <w:left w:val="nil"/>
              <w:bottom w:val="single" w:sz="4" w:space="0" w:color="auto"/>
              <w:right w:val="single" w:sz="4" w:space="0" w:color="auto"/>
            </w:tcBorders>
            <w:vAlign w:val="center"/>
            <w:hideMark/>
          </w:tcPr>
          <w:p w14:paraId="601F6823"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Credit cases</w:t>
            </w:r>
          </w:p>
        </w:tc>
        <w:tc>
          <w:tcPr>
            <w:tcW w:w="874" w:type="pct"/>
            <w:tcBorders>
              <w:top w:val="nil"/>
              <w:left w:val="nil"/>
              <w:bottom w:val="single" w:sz="4" w:space="0" w:color="auto"/>
              <w:right w:val="single" w:sz="4" w:space="0" w:color="auto"/>
            </w:tcBorders>
            <w:vAlign w:val="center"/>
            <w:hideMark/>
          </w:tcPr>
          <w:p w14:paraId="2FEAFAEE"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10,79%</w:t>
            </w:r>
          </w:p>
        </w:tc>
        <w:tc>
          <w:tcPr>
            <w:tcW w:w="891" w:type="pct"/>
            <w:tcBorders>
              <w:top w:val="nil"/>
              <w:left w:val="nil"/>
              <w:bottom w:val="single" w:sz="4" w:space="0" w:color="auto"/>
              <w:right w:val="single" w:sz="4" w:space="0" w:color="auto"/>
            </w:tcBorders>
            <w:vAlign w:val="center"/>
            <w:hideMark/>
          </w:tcPr>
          <w:p w14:paraId="64A94BBC"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9,94%</w:t>
            </w:r>
          </w:p>
        </w:tc>
        <w:tc>
          <w:tcPr>
            <w:tcW w:w="874" w:type="pct"/>
            <w:tcBorders>
              <w:top w:val="nil"/>
              <w:left w:val="nil"/>
              <w:bottom w:val="single" w:sz="4" w:space="0" w:color="auto"/>
              <w:right w:val="single" w:sz="4" w:space="0" w:color="auto"/>
            </w:tcBorders>
            <w:vAlign w:val="center"/>
            <w:hideMark/>
          </w:tcPr>
          <w:p w14:paraId="4DCB4BE1"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8,30%</w:t>
            </w:r>
          </w:p>
        </w:tc>
        <w:tc>
          <w:tcPr>
            <w:tcW w:w="891" w:type="pct"/>
            <w:tcBorders>
              <w:top w:val="nil"/>
              <w:left w:val="nil"/>
              <w:bottom w:val="single" w:sz="4" w:space="0" w:color="auto"/>
              <w:right w:val="single" w:sz="4" w:space="0" w:color="auto"/>
            </w:tcBorders>
            <w:vAlign w:val="center"/>
            <w:hideMark/>
          </w:tcPr>
          <w:p w14:paraId="0B2AD5C0"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 xml:space="preserve">Bias </w:t>
            </w:r>
            <w:proofErr w:type="spellStart"/>
            <w:r w:rsidRPr="00CA4896">
              <w:rPr>
                <w:rFonts w:ascii="Aptos Narrow" w:eastAsia="Times New Roman" w:hAnsi="Aptos Narrow" w:cs="Times New Roman"/>
                <w:color w:val="000000"/>
                <w:lang w:val="en-DK" w:bidi="ar-SA"/>
              </w:rPr>
              <w:t>djust</w:t>
            </w:r>
            <w:proofErr w:type="spellEnd"/>
            <w:r w:rsidRPr="00CA4896">
              <w:rPr>
                <w:rFonts w:ascii="Aptos Narrow" w:eastAsia="Times New Roman" w:hAnsi="Aptos Narrow" w:cs="Times New Roman"/>
                <w:color w:val="000000"/>
                <w:lang w:val="en-DK" w:bidi="ar-SA"/>
              </w:rPr>
              <w:t xml:space="preserve"> based on model</w:t>
            </w:r>
          </w:p>
        </w:tc>
      </w:tr>
      <w:tr w:rsidR="00CA4896" w:rsidRPr="00CA4896" w14:paraId="1B13A477" w14:textId="77777777" w:rsidTr="00CA4896">
        <w:trPr>
          <w:trHeight w:val="300"/>
        </w:trPr>
        <w:tc>
          <w:tcPr>
            <w:tcW w:w="580" w:type="pct"/>
            <w:tcBorders>
              <w:top w:val="nil"/>
              <w:left w:val="single" w:sz="4" w:space="0" w:color="auto"/>
              <w:bottom w:val="single" w:sz="4" w:space="0" w:color="auto"/>
              <w:right w:val="single" w:sz="4" w:space="0" w:color="auto"/>
            </w:tcBorders>
            <w:vAlign w:val="center"/>
            <w:hideMark/>
          </w:tcPr>
          <w:p w14:paraId="71D61F88"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9652</w:t>
            </w:r>
          </w:p>
        </w:tc>
        <w:tc>
          <w:tcPr>
            <w:tcW w:w="891" w:type="pct"/>
            <w:tcBorders>
              <w:top w:val="nil"/>
              <w:left w:val="nil"/>
              <w:bottom w:val="single" w:sz="4" w:space="0" w:color="auto"/>
              <w:right w:val="single" w:sz="4" w:space="0" w:color="auto"/>
            </w:tcBorders>
            <w:vAlign w:val="center"/>
            <w:hideMark/>
          </w:tcPr>
          <w:p w14:paraId="3E848C7B"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Reports</w:t>
            </w:r>
          </w:p>
        </w:tc>
        <w:tc>
          <w:tcPr>
            <w:tcW w:w="874" w:type="pct"/>
            <w:tcBorders>
              <w:top w:val="nil"/>
              <w:left w:val="nil"/>
              <w:bottom w:val="single" w:sz="4" w:space="0" w:color="auto"/>
              <w:right w:val="single" w:sz="4" w:space="0" w:color="auto"/>
            </w:tcBorders>
            <w:vAlign w:val="center"/>
            <w:hideMark/>
          </w:tcPr>
          <w:p w14:paraId="7E0E300F"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9,30%</w:t>
            </w:r>
          </w:p>
        </w:tc>
        <w:tc>
          <w:tcPr>
            <w:tcW w:w="891" w:type="pct"/>
            <w:tcBorders>
              <w:top w:val="nil"/>
              <w:left w:val="nil"/>
              <w:bottom w:val="single" w:sz="4" w:space="0" w:color="auto"/>
              <w:right w:val="single" w:sz="4" w:space="0" w:color="auto"/>
            </w:tcBorders>
            <w:vAlign w:val="center"/>
            <w:hideMark/>
          </w:tcPr>
          <w:p w14:paraId="0156A671"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20,00%</w:t>
            </w:r>
          </w:p>
        </w:tc>
        <w:tc>
          <w:tcPr>
            <w:tcW w:w="874" w:type="pct"/>
            <w:tcBorders>
              <w:top w:val="nil"/>
              <w:left w:val="nil"/>
              <w:bottom w:val="single" w:sz="4" w:space="0" w:color="auto"/>
              <w:right w:val="single" w:sz="4" w:space="0" w:color="auto"/>
            </w:tcBorders>
            <w:vAlign w:val="center"/>
            <w:hideMark/>
          </w:tcPr>
          <w:p w14:paraId="743BDB3E"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9,60%</w:t>
            </w:r>
          </w:p>
        </w:tc>
        <w:tc>
          <w:tcPr>
            <w:tcW w:w="891" w:type="pct"/>
            <w:tcBorders>
              <w:top w:val="nil"/>
              <w:left w:val="nil"/>
              <w:bottom w:val="single" w:sz="4" w:space="0" w:color="auto"/>
              <w:right w:val="single" w:sz="4" w:space="0" w:color="auto"/>
            </w:tcBorders>
            <w:vAlign w:val="center"/>
            <w:hideMark/>
          </w:tcPr>
          <w:p w14:paraId="3756E172"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Model</w:t>
            </w:r>
          </w:p>
        </w:tc>
      </w:tr>
      <w:tr w:rsidR="00CA4896" w:rsidRPr="00CA4896" w14:paraId="2FD71DBD" w14:textId="77777777" w:rsidTr="00CA4896">
        <w:trPr>
          <w:trHeight w:val="300"/>
        </w:trPr>
        <w:tc>
          <w:tcPr>
            <w:tcW w:w="580" w:type="pct"/>
            <w:tcBorders>
              <w:top w:val="nil"/>
              <w:left w:val="single" w:sz="4" w:space="0" w:color="auto"/>
              <w:bottom w:val="single" w:sz="4" w:space="0" w:color="auto"/>
              <w:right w:val="single" w:sz="4" w:space="0" w:color="auto"/>
            </w:tcBorders>
            <w:vAlign w:val="center"/>
            <w:hideMark/>
          </w:tcPr>
          <w:p w14:paraId="5B9918BC"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9656</w:t>
            </w:r>
          </w:p>
        </w:tc>
        <w:tc>
          <w:tcPr>
            <w:tcW w:w="891" w:type="pct"/>
            <w:tcBorders>
              <w:top w:val="nil"/>
              <w:left w:val="nil"/>
              <w:bottom w:val="single" w:sz="4" w:space="0" w:color="auto"/>
              <w:right w:val="single" w:sz="4" w:space="0" w:color="auto"/>
            </w:tcBorders>
            <w:vAlign w:val="center"/>
            <w:hideMark/>
          </w:tcPr>
          <w:p w14:paraId="1B56C448" w14:textId="77777777" w:rsidR="00CA4896" w:rsidRPr="00CA4896" w:rsidRDefault="00CA4896" w:rsidP="00CA4896">
            <w:pPr>
              <w:suppressAutoHyphens w:val="0"/>
              <w:rPr>
                <w:rFonts w:ascii="Aptos Narrow" w:eastAsia="Times New Roman" w:hAnsi="Aptos Narrow" w:cs="Times New Roman"/>
                <w:color w:val="000000"/>
                <w:lang w:val="en-DK" w:bidi="ar-SA"/>
              </w:rPr>
            </w:pPr>
            <w:proofErr w:type="spellStart"/>
            <w:r w:rsidRPr="00CA4896">
              <w:rPr>
                <w:rFonts w:ascii="Aptos Narrow" w:eastAsia="Times New Roman" w:hAnsi="Aptos Narrow" w:cs="Times New Roman"/>
                <w:color w:val="000000"/>
                <w:lang w:val="en-DK" w:bidi="ar-SA"/>
              </w:rPr>
              <w:t>MobilePay</w:t>
            </w:r>
            <w:proofErr w:type="spellEnd"/>
            <w:r w:rsidRPr="00CA4896">
              <w:rPr>
                <w:rFonts w:ascii="Aptos Narrow" w:eastAsia="Times New Roman" w:hAnsi="Aptos Narrow" w:cs="Times New Roman"/>
                <w:color w:val="000000"/>
                <w:lang w:val="en-DK" w:bidi="ar-SA"/>
              </w:rPr>
              <w:t xml:space="preserve"> transactions</w:t>
            </w:r>
          </w:p>
        </w:tc>
        <w:tc>
          <w:tcPr>
            <w:tcW w:w="874" w:type="pct"/>
            <w:tcBorders>
              <w:top w:val="nil"/>
              <w:left w:val="nil"/>
              <w:bottom w:val="single" w:sz="4" w:space="0" w:color="auto"/>
              <w:right w:val="single" w:sz="4" w:space="0" w:color="auto"/>
            </w:tcBorders>
            <w:vAlign w:val="center"/>
            <w:hideMark/>
          </w:tcPr>
          <w:p w14:paraId="6AB4CBC8"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5,43%</w:t>
            </w:r>
          </w:p>
        </w:tc>
        <w:tc>
          <w:tcPr>
            <w:tcW w:w="891" w:type="pct"/>
            <w:tcBorders>
              <w:top w:val="nil"/>
              <w:left w:val="nil"/>
              <w:bottom w:val="single" w:sz="4" w:space="0" w:color="auto"/>
              <w:right w:val="single" w:sz="4" w:space="0" w:color="auto"/>
            </w:tcBorders>
            <w:vAlign w:val="center"/>
            <w:hideMark/>
          </w:tcPr>
          <w:p w14:paraId="34FA9864"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2,76%</w:t>
            </w:r>
          </w:p>
        </w:tc>
        <w:tc>
          <w:tcPr>
            <w:tcW w:w="874" w:type="pct"/>
            <w:tcBorders>
              <w:top w:val="nil"/>
              <w:left w:val="nil"/>
              <w:bottom w:val="single" w:sz="4" w:space="0" w:color="auto"/>
              <w:right w:val="single" w:sz="4" w:space="0" w:color="auto"/>
            </w:tcBorders>
            <w:vAlign w:val="center"/>
            <w:hideMark/>
          </w:tcPr>
          <w:p w14:paraId="0CB4FAEA"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5,37%</w:t>
            </w:r>
          </w:p>
        </w:tc>
        <w:tc>
          <w:tcPr>
            <w:tcW w:w="891" w:type="pct"/>
            <w:tcBorders>
              <w:top w:val="nil"/>
              <w:left w:val="nil"/>
              <w:bottom w:val="single" w:sz="4" w:space="0" w:color="auto"/>
              <w:right w:val="single" w:sz="4" w:space="0" w:color="auto"/>
            </w:tcBorders>
            <w:vAlign w:val="center"/>
            <w:hideMark/>
          </w:tcPr>
          <w:p w14:paraId="160A9A88"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 xml:space="preserve">SND </w:t>
            </w:r>
          </w:p>
        </w:tc>
      </w:tr>
      <w:tr w:rsidR="00CA4896" w:rsidRPr="00CA4896" w14:paraId="3260817E" w14:textId="77777777" w:rsidTr="00CA4896">
        <w:trPr>
          <w:trHeight w:val="300"/>
        </w:trPr>
        <w:tc>
          <w:tcPr>
            <w:tcW w:w="580" w:type="pct"/>
            <w:tcBorders>
              <w:top w:val="nil"/>
              <w:left w:val="single" w:sz="4" w:space="0" w:color="auto"/>
              <w:bottom w:val="single" w:sz="4" w:space="0" w:color="auto"/>
              <w:right w:val="single" w:sz="4" w:space="0" w:color="auto"/>
            </w:tcBorders>
            <w:vAlign w:val="center"/>
            <w:hideMark/>
          </w:tcPr>
          <w:p w14:paraId="6A9C9654"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9657</w:t>
            </w:r>
          </w:p>
        </w:tc>
        <w:tc>
          <w:tcPr>
            <w:tcW w:w="891" w:type="pct"/>
            <w:tcBorders>
              <w:top w:val="nil"/>
              <w:left w:val="nil"/>
              <w:bottom w:val="single" w:sz="4" w:space="0" w:color="auto"/>
              <w:right w:val="single" w:sz="4" w:space="0" w:color="auto"/>
            </w:tcBorders>
            <w:vAlign w:val="center"/>
            <w:hideMark/>
          </w:tcPr>
          <w:p w14:paraId="143FF6F9"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Card transactions</w:t>
            </w:r>
          </w:p>
        </w:tc>
        <w:tc>
          <w:tcPr>
            <w:tcW w:w="874" w:type="pct"/>
            <w:tcBorders>
              <w:top w:val="nil"/>
              <w:left w:val="nil"/>
              <w:bottom w:val="single" w:sz="4" w:space="0" w:color="auto"/>
              <w:right w:val="single" w:sz="4" w:space="0" w:color="auto"/>
            </w:tcBorders>
            <w:vAlign w:val="center"/>
            <w:hideMark/>
          </w:tcPr>
          <w:p w14:paraId="74F27BDB"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3,86%</w:t>
            </w:r>
          </w:p>
        </w:tc>
        <w:tc>
          <w:tcPr>
            <w:tcW w:w="891" w:type="pct"/>
            <w:tcBorders>
              <w:top w:val="nil"/>
              <w:left w:val="nil"/>
              <w:bottom w:val="single" w:sz="4" w:space="0" w:color="auto"/>
              <w:right w:val="single" w:sz="4" w:space="0" w:color="auto"/>
            </w:tcBorders>
            <w:vAlign w:val="center"/>
            <w:hideMark/>
          </w:tcPr>
          <w:p w14:paraId="158672C1"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2,56%</w:t>
            </w:r>
          </w:p>
        </w:tc>
        <w:tc>
          <w:tcPr>
            <w:tcW w:w="874" w:type="pct"/>
            <w:tcBorders>
              <w:top w:val="nil"/>
              <w:left w:val="nil"/>
              <w:bottom w:val="single" w:sz="4" w:space="0" w:color="auto"/>
              <w:right w:val="single" w:sz="4" w:space="0" w:color="auto"/>
            </w:tcBorders>
            <w:vAlign w:val="center"/>
            <w:hideMark/>
          </w:tcPr>
          <w:p w14:paraId="61ED02B2"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4,47%</w:t>
            </w:r>
          </w:p>
        </w:tc>
        <w:tc>
          <w:tcPr>
            <w:tcW w:w="891" w:type="pct"/>
            <w:tcBorders>
              <w:top w:val="nil"/>
              <w:left w:val="nil"/>
              <w:bottom w:val="single" w:sz="4" w:space="0" w:color="auto"/>
              <w:right w:val="single" w:sz="4" w:space="0" w:color="auto"/>
            </w:tcBorders>
            <w:vAlign w:val="center"/>
            <w:hideMark/>
          </w:tcPr>
          <w:p w14:paraId="5C8D436D"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 xml:space="preserve">SND </w:t>
            </w:r>
          </w:p>
        </w:tc>
      </w:tr>
      <w:tr w:rsidR="00CA4896" w:rsidRPr="00CA4896" w14:paraId="01939990" w14:textId="77777777" w:rsidTr="00CA4896">
        <w:trPr>
          <w:trHeight w:val="300"/>
        </w:trPr>
        <w:tc>
          <w:tcPr>
            <w:tcW w:w="580" w:type="pct"/>
            <w:tcBorders>
              <w:top w:val="nil"/>
              <w:left w:val="single" w:sz="4" w:space="0" w:color="auto"/>
              <w:bottom w:val="single" w:sz="4" w:space="0" w:color="auto"/>
              <w:right w:val="single" w:sz="4" w:space="0" w:color="auto"/>
            </w:tcBorders>
            <w:vAlign w:val="center"/>
            <w:hideMark/>
          </w:tcPr>
          <w:p w14:paraId="3B5490E5"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9683</w:t>
            </w:r>
          </w:p>
        </w:tc>
        <w:tc>
          <w:tcPr>
            <w:tcW w:w="891" w:type="pct"/>
            <w:tcBorders>
              <w:top w:val="nil"/>
              <w:left w:val="nil"/>
              <w:bottom w:val="single" w:sz="4" w:space="0" w:color="auto"/>
              <w:right w:val="single" w:sz="4" w:space="0" w:color="auto"/>
            </w:tcBorders>
            <w:vAlign w:val="center"/>
            <w:hideMark/>
          </w:tcPr>
          <w:p w14:paraId="36477E07"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 xml:space="preserve">Logins </w:t>
            </w:r>
            <w:proofErr w:type="spellStart"/>
            <w:r w:rsidRPr="00CA4896">
              <w:rPr>
                <w:rFonts w:ascii="Aptos Narrow" w:eastAsia="Times New Roman" w:hAnsi="Aptos Narrow" w:cs="Times New Roman"/>
                <w:color w:val="000000"/>
                <w:lang w:val="en-DK" w:bidi="ar-SA"/>
              </w:rPr>
              <w:t>Mobilbank</w:t>
            </w:r>
            <w:proofErr w:type="spellEnd"/>
            <w:r w:rsidRPr="00CA4896">
              <w:rPr>
                <w:rFonts w:ascii="Aptos Narrow" w:eastAsia="Times New Roman" w:hAnsi="Aptos Narrow" w:cs="Times New Roman"/>
                <w:color w:val="000000"/>
                <w:lang w:val="en-DK" w:bidi="ar-SA"/>
              </w:rPr>
              <w:t>/Netbank</w:t>
            </w:r>
          </w:p>
        </w:tc>
        <w:tc>
          <w:tcPr>
            <w:tcW w:w="874" w:type="pct"/>
            <w:tcBorders>
              <w:top w:val="nil"/>
              <w:left w:val="nil"/>
              <w:bottom w:val="single" w:sz="4" w:space="0" w:color="auto"/>
              <w:right w:val="single" w:sz="4" w:space="0" w:color="auto"/>
            </w:tcBorders>
            <w:vAlign w:val="center"/>
            <w:hideMark/>
          </w:tcPr>
          <w:p w14:paraId="6FBAAE67"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3,15%</w:t>
            </w:r>
          </w:p>
        </w:tc>
        <w:tc>
          <w:tcPr>
            <w:tcW w:w="891" w:type="pct"/>
            <w:tcBorders>
              <w:top w:val="nil"/>
              <w:left w:val="nil"/>
              <w:bottom w:val="single" w:sz="4" w:space="0" w:color="auto"/>
              <w:right w:val="single" w:sz="4" w:space="0" w:color="auto"/>
            </w:tcBorders>
            <w:vAlign w:val="center"/>
            <w:hideMark/>
          </w:tcPr>
          <w:p w14:paraId="67C199C8"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2,12%</w:t>
            </w:r>
          </w:p>
        </w:tc>
        <w:tc>
          <w:tcPr>
            <w:tcW w:w="874" w:type="pct"/>
            <w:tcBorders>
              <w:top w:val="nil"/>
              <w:left w:val="nil"/>
              <w:bottom w:val="single" w:sz="4" w:space="0" w:color="auto"/>
              <w:right w:val="single" w:sz="4" w:space="0" w:color="auto"/>
            </w:tcBorders>
            <w:vAlign w:val="center"/>
            <w:hideMark/>
          </w:tcPr>
          <w:p w14:paraId="09356AF2"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2,49%</w:t>
            </w:r>
          </w:p>
        </w:tc>
        <w:tc>
          <w:tcPr>
            <w:tcW w:w="891" w:type="pct"/>
            <w:tcBorders>
              <w:top w:val="nil"/>
              <w:left w:val="nil"/>
              <w:bottom w:val="single" w:sz="4" w:space="0" w:color="auto"/>
              <w:right w:val="single" w:sz="4" w:space="0" w:color="auto"/>
            </w:tcBorders>
            <w:vAlign w:val="center"/>
            <w:hideMark/>
          </w:tcPr>
          <w:p w14:paraId="61547EDC"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SND</w:t>
            </w:r>
          </w:p>
        </w:tc>
      </w:tr>
      <w:tr w:rsidR="00CA4896" w:rsidRPr="00CA4896" w14:paraId="64A3FE98" w14:textId="77777777" w:rsidTr="00CA4896">
        <w:trPr>
          <w:trHeight w:val="300"/>
        </w:trPr>
        <w:tc>
          <w:tcPr>
            <w:tcW w:w="580" w:type="pct"/>
            <w:tcBorders>
              <w:top w:val="nil"/>
              <w:left w:val="single" w:sz="4" w:space="0" w:color="auto"/>
              <w:bottom w:val="single" w:sz="4" w:space="0" w:color="auto"/>
              <w:right w:val="single" w:sz="4" w:space="0" w:color="auto"/>
            </w:tcBorders>
            <w:vAlign w:val="center"/>
            <w:hideMark/>
          </w:tcPr>
          <w:p w14:paraId="1676E269"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9692</w:t>
            </w:r>
          </w:p>
        </w:tc>
        <w:tc>
          <w:tcPr>
            <w:tcW w:w="891" w:type="pct"/>
            <w:tcBorders>
              <w:top w:val="nil"/>
              <w:left w:val="nil"/>
              <w:bottom w:val="single" w:sz="4" w:space="0" w:color="auto"/>
              <w:right w:val="single" w:sz="4" w:space="0" w:color="auto"/>
            </w:tcBorders>
            <w:vAlign w:val="center"/>
            <w:hideMark/>
          </w:tcPr>
          <w:p w14:paraId="69D8995B"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Documents archived</w:t>
            </w:r>
          </w:p>
        </w:tc>
        <w:tc>
          <w:tcPr>
            <w:tcW w:w="874" w:type="pct"/>
            <w:tcBorders>
              <w:top w:val="nil"/>
              <w:left w:val="nil"/>
              <w:bottom w:val="single" w:sz="4" w:space="0" w:color="auto"/>
              <w:right w:val="single" w:sz="4" w:space="0" w:color="auto"/>
            </w:tcBorders>
            <w:vAlign w:val="center"/>
            <w:hideMark/>
          </w:tcPr>
          <w:p w14:paraId="35801AC7"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6,85%</w:t>
            </w:r>
          </w:p>
        </w:tc>
        <w:tc>
          <w:tcPr>
            <w:tcW w:w="891" w:type="pct"/>
            <w:tcBorders>
              <w:top w:val="nil"/>
              <w:left w:val="nil"/>
              <w:bottom w:val="single" w:sz="4" w:space="0" w:color="auto"/>
              <w:right w:val="single" w:sz="4" w:space="0" w:color="auto"/>
            </w:tcBorders>
            <w:vAlign w:val="center"/>
            <w:hideMark/>
          </w:tcPr>
          <w:p w14:paraId="0E9016DE"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15,69%</w:t>
            </w:r>
          </w:p>
        </w:tc>
        <w:tc>
          <w:tcPr>
            <w:tcW w:w="874" w:type="pct"/>
            <w:tcBorders>
              <w:top w:val="nil"/>
              <w:left w:val="nil"/>
              <w:bottom w:val="single" w:sz="4" w:space="0" w:color="auto"/>
              <w:right w:val="single" w:sz="4" w:space="0" w:color="auto"/>
            </w:tcBorders>
            <w:vAlign w:val="center"/>
            <w:hideMark/>
          </w:tcPr>
          <w:p w14:paraId="48C9FC91"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9,56%</w:t>
            </w:r>
          </w:p>
        </w:tc>
        <w:tc>
          <w:tcPr>
            <w:tcW w:w="891" w:type="pct"/>
            <w:tcBorders>
              <w:top w:val="nil"/>
              <w:left w:val="nil"/>
              <w:bottom w:val="single" w:sz="4" w:space="0" w:color="auto"/>
              <w:right w:val="single" w:sz="4" w:space="0" w:color="auto"/>
            </w:tcBorders>
            <w:vAlign w:val="center"/>
            <w:hideMark/>
          </w:tcPr>
          <w:p w14:paraId="07EB302E"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Model</w:t>
            </w:r>
          </w:p>
        </w:tc>
      </w:tr>
      <w:tr w:rsidR="00CA4896" w:rsidRPr="00CA4896" w14:paraId="6E99616F" w14:textId="77777777" w:rsidTr="00CA4896">
        <w:trPr>
          <w:trHeight w:val="300"/>
        </w:trPr>
        <w:tc>
          <w:tcPr>
            <w:tcW w:w="580" w:type="pct"/>
            <w:tcBorders>
              <w:top w:val="nil"/>
              <w:left w:val="single" w:sz="4" w:space="0" w:color="auto"/>
              <w:bottom w:val="single" w:sz="4" w:space="0" w:color="auto"/>
              <w:right w:val="single" w:sz="4" w:space="0" w:color="auto"/>
            </w:tcBorders>
            <w:vAlign w:val="center"/>
            <w:hideMark/>
          </w:tcPr>
          <w:p w14:paraId="026AFBAB"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lastRenderedPageBreak/>
              <w:t>9700</w:t>
            </w:r>
          </w:p>
        </w:tc>
        <w:tc>
          <w:tcPr>
            <w:tcW w:w="891" w:type="pct"/>
            <w:tcBorders>
              <w:top w:val="nil"/>
              <w:left w:val="nil"/>
              <w:bottom w:val="single" w:sz="4" w:space="0" w:color="auto"/>
              <w:right w:val="single" w:sz="4" w:space="0" w:color="auto"/>
            </w:tcBorders>
            <w:vAlign w:val="center"/>
            <w:hideMark/>
          </w:tcPr>
          <w:p w14:paraId="5D45788E"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Domestic transactions</w:t>
            </w:r>
          </w:p>
        </w:tc>
        <w:tc>
          <w:tcPr>
            <w:tcW w:w="874" w:type="pct"/>
            <w:tcBorders>
              <w:top w:val="nil"/>
              <w:left w:val="nil"/>
              <w:bottom w:val="single" w:sz="4" w:space="0" w:color="auto"/>
              <w:right w:val="single" w:sz="4" w:space="0" w:color="auto"/>
            </w:tcBorders>
            <w:vAlign w:val="center"/>
            <w:hideMark/>
          </w:tcPr>
          <w:p w14:paraId="4D2ECA96"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4,47%</w:t>
            </w:r>
          </w:p>
        </w:tc>
        <w:tc>
          <w:tcPr>
            <w:tcW w:w="891" w:type="pct"/>
            <w:tcBorders>
              <w:top w:val="nil"/>
              <w:left w:val="nil"/>
              <w:bottom w:val="single" w:sz="4" w:space="0" w:color="auto"/>
              <w:right w:val="single" w:sz="4" w:space="0" w:color="auto"/>
            </w:tcBorders>
            <w:vAlign w:val="center"/>
            <w:hideMark/>
          </w:tcPr>
          <w:p w14:paraId="171EB5A9"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2,06%</w:t>
            </w:r>
          </w:p>
        </w:tc>
        <w:tc>
          <w:tcPr>
            <w:tcW w:w="874" w:type="pct"/>
            <w:tcBorders>
              <w:top w:val="nil"/>
              <w:left w:val="nil"/>
              <w:bottom w:val="single" w:sz="4" w:space="0" w:color="auto"/>
              <w:right w:val="single" w:sz="4" w:space="0" w:color="auto"/>
            </w:tcBorders>
            <w:vAlign w:val="center"/>
            <w:hideMark/>
          </w:tcPr>
          <w:p w14:paraId="102BCDB8"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3,25%</w:t>
            </w:r>
          </w:p>
        </w:tc>
        <w:tc>
          <w:tcPr>
            <w:tcW w:w="891" w:type="pct"/>
            <w:tcBorders>
              <w:top w:val="nil"/>
              <w:left w:val="nil"/>
              <w:bottom w:val="single" w:sz="4" w:space="0" w:color="auto"/>
              <w:right w:val="single" w:sz="4" w:space="0" w:color="auto"/>
            </w:tcBorders>
            <w:vAlign w:val="center"/>
            <w:hideMark/>
          </w:tcPr>
          <w:p w14:paraId="7B7FBD98"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SND</w:t>
            </w:r>
          </w:p>
        </w:tc>
      </w:tr>
      <w:tr w:rsidR="00CA4896" w:rsidRPr="00CA4896" w14:paraId="55BA0E98" w14:textId="77777777" w:rsidTr="00CA4896">
        <w:trPr>
          <w:trHeight w:val="300"/>
        </w:trPr>
        <w:tc>
          <w:tcPr>
            <w:tcW w:w="580" w:type="pct"/>
            <w:tcBorders>
              <w:top w:val="nil"/>
              <w:left w:val="single" w:sz="4" w:space="0" w:color="auto"/>
              <w:bottom w:val="single" w:sz="4" w:space="0" w:color="auto"/>
              <w:right w:val="single" w:sz="4" w:space="0" w:color="auto"/>
            </w:tcBorders>
            <w:vAlign w:val="center"/>
            <w:hideMark/>
          </w:tcPr>
          <w:p w14:paraId="0D3BCADA"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9701</w:t>
            </w:r>
          </w:p>
        </w:tc>
        <w:tc>
          <w:tcPr>
            <w:tcW w:w="891" w:type="pct"/>
            <w:tcBorders>
              <w:top w:val="nil"/>
              <w:left w:val="nil"/>
              <w:bottom w:val="single" w:sz="4" w:space="0" w:color="auto"/>
              <w:right w:val="single" w:sz="4" w:space="0" w:color="auto"/>
            </w:tcBorders>
            <w:vAlign w:val="center"/>
            <w:hideMark/>
          </w:tcPr>
          <w:p w14:paraId="49E1B37C"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International transactions</w:t>
            </w:r>
          </w:p>
        </w:tc>
        <w:tc>
          <w:tcPr>
            <w:tcW w:w="874" w:type="pct"/>
            <w:tcBorders>
              <w:top w:val="nil"/>
              <w:left w:val="nil"/>
              <w:bottom w:val="single" w:sz="4" w:space="0" w:color="auto"/>
              <w:right w:val="single" w:sz="4" w:space="0" w:color="auto"/>
            </w:tcBorders>
            <w:vAlign w:val="center"/>
            <w:hideMark/>
          </w:tcPr>
          <w:p w14:paraId="72AF6EEA"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7,24%</w:t>
            </w:r>
          </w:p>
        </w:tc>
        <w:tc>
          <w:tcPr>
            <w:tcW w:w="891" w:type="pct"/>
            <w:tcBorders>
              <w:top w:val="nil"/>
              <w:left w:val="nil"/>
              <w:bottom w:val="single" w:sz="4" w:space="0" w:color="auto"/>
              <w:right w:val="single" w:sz="4" w:space="0" w:color="auto"/>
            </w:tcBorders>
            <w:vAlign w:val="center"/>
            <w:hideMark/>
          </w:tcPr>
          <w:p w14:paraId="4F3F032A"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4,04%</w:t>
            </w:r>
          </w:p>
        </w:tc>
        <w:tc>
          <w:tcPr>
            <w:tcW w:w="874" w:type="pct"/>
            <w:tcBorders>
              <w:top w:val="nil"/>
              <w:left w:val="nil"/>
              <w:bottom w:val="single" w:sz="4" w:space="0" w:color="auto"/>
              <w:right w:val="single" w:sz="4" w:space="0" w:color="auto"/>
            </w:tcBorders>
            <w:vAlign w:val="center"/>
            <w:hideMark/>
          </w:tcPr>
          <w:p w14:paraId="3F693B59"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7,13%</w:t>
            </w:r>
          </w:p>
        </w:tc>
        <w:tc>
          <w:tcPr>
            <w:tcW w:w="891" w:type="pct"/>
            <w:tcBorders>
              <w:top w:val="nil"/>
              <w:left w:val="nil"/>
              <w:bottom w:val="single" w:sz="4" w:space="0" w:color="auto"/>
              <w:right w:val="single" w:sz="4" w:space="0" w:color="auto"/>
            </w:tcBorders>
            <w:vAlign w:val="center"/>
            <w:hideMark/>
          </w:tcPr>
          <w:p w14:paraId="43169E0C"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SND</w:t>
            </w:r>
          </w:p>
        </w:tc>
      </w:tr>
      <w:tr w:rsidR="00CA4896" w:rsidRPr="00CA4896" w14:paraId="726C8820" w14:textId="77777777" w:rsidTr="00CA4896">
        <w:trPr>
          <w:trHeight w:val="300"/>
        </w:trPr>
        <w:tc>
          <w:tcPr>
            <w:tcW w:w="580" w:type="pct"/>
            <w:tcBorders>
              <w:top w:val="nil"/>
              <w:left w:val="single" w:sz="4" w:space="0" w:color="auto"/>
              <w:bottom w:val="single" w:sz="4" w:space="0" w:color="auto"/>
              <w:right w:val="single" w:sz="4" w:space="0" w:color="auto"/>
            </w:tcBorders>
            <w:vAlign w:val="center"/>
            <w:hideMark/>
          </w:tcPr>
          <w:p w14:paraId="5DCECE0F"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9702</w:t>
            </w:r>
          </w:p>
        </w:tc>
        <w:tc>
          <w:tcPr>
            <w:tcW w:w="891" w:type="pct"/>
            <w:tcBorders>
              <w:top w:val="nil"/>
              <w:left w:val="nil"/>
              <w:bottom w:val="single" w:sz="4" w:space="0" w:color="auto"/>
              <w:right w:val="single" w:sz="4" w:space="0" w:color="auto"/>
            </w:tcBorders>
            <w:vAlign w:val="center"/>
            <w:hideMark/>
          </w:tcPr>
          <w:p w14:paraId="61C4046B"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European transactions</w:t>
            </w:r>
          </w:p>
        </w:tc>
        <w:tc>
          <w:tcPr>
            <w:tcW w:w="874" w:type="pct"/>
            <w:tcBorders>
              <w:top w:val="nil"/>
              <w:left w:val="nil"/>
              <w:bottom w:val="single" w:sz="4" w:space="0" w:color="auto"/>
              <w:right w:val="single" w:sz="4" w:space="0" w:color="auto"/>
            </w:tcBorders>
            <w:vAlign w:val="center"/>
            <w:hideMark/>
          </w:tcPr>
          <w:p w14:paraId="37EA5716"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5,63%</w:t>
            </w:r>
          </w:p>
        </w:tc>
        <w:tc>
          <w:tcPr>
            <w:tcW w:w="891" w:type="pct"/>
            <w:tcBorders>
              <w:top w:val="nil"/>
              <w:left w:val="nil"/>
              <w:bottom w:val="single" w:sz="4" w:space="0" w:color="auto"/>
              <w:right w:val="single" w:sz="4" w:space="0" w:color="auto"/>
            </w:tcBorders>
            <w:vAlign w:val="center"/>
            <w:hideMark/>
          </w:tcPr>
          <w:p w14:paraId="341BB525"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4,93%</w:t>
            </w:r>
          </w:p>
        </w:tc>
        <w:tc>
          <w:tcPr>
            <w:tcW w:w="874" w:type="pct"/>
            <w:tcBorders>
              <w:top w:val="nil"/>
              <w:left w:val="nil"/>
              <w:bottom w:val="single" w:sz="4" w:space="0" w:color="auto"/>
              <w:right w:val="single" w:sz="4" w:space="0" w:color="auto"/>
            </w:tcBorders>
            <w:vAlign w:val="center"/>
            <w:hideMark/>
          </w:tcPr>
          <w:p w14:paraId="2601113A"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5,73%</w:t>
            </w:r>
          </w:p>
        </w:tc>
        <w:tc>
          <w:tcPr>
            <w:tcW w:w="891" w:type="pct"/>
            <w:tcBorders>
              <w:top w:val="nil"/>
              <w:left w:val="nil"/>
              <w:bottom w:val="single" w:sz="4" w:space="0" w:color="auto"/>
              <w:right w:val="single" w:sz="4" w:space="0" w:color="auto"/>
            </w:tcBorders>
            <w:vAlign w:val="center"/>
            <w:hideMark/>
          </w:tcPr>
          <w:p w14:paraId="11FEAE2C"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SND</w:t>
            </w:r>
          </w:p>
        </w:tc>
      </w:tr>
      <w:tr w:rsidR="00CA4896" w:rsidRPr="00CA4896" w14:paraId="3AA39726" w14:textId="77777777" w:rsidTr="00CA4896">
        <w:trPr>
          <w:trHeight w:val="600"/>
        </w:trPr>
        <w:tc>
          <w:tcPr>
            <w:tcW w:w="580" w:type="pct"/>
            <w:tcBorders>
              <w:top w:val="nil"/>
              <w:left w:val="single" w:sz="4" w:space="0" w:color="auto"/>
              <w:bottom w:val="single" w:sz="4" w:space="0" w:color="auto"/>
              <w:right w:val="single" w:sz="4" w:space="0" w:color="auto"/>
            </w:tcBorders>
            <w:vAlign w:val="center"/>
            <w:hideMark/>
          </w:tcPr>
          <w:p w14:paraId="48AF3207"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9768</w:t>
            </w:r>
          </w:p>
        </w:tc>
        <w:tc>
          <w:tcPr>
            <w:tcW w:w="891" w:type="pct"/>
            <w:tcBorders>
              <w:top w:val="nil"/>
              <w:left w:val="nil"/>
              <w:bottom w:val="single" w:sz="4" w:space="0" w:color="auto"/>
              <w:right w:val="single" w:sz="4" w:space="0" w:color="auto"/>
            </w:tcBorders>
            <w:vAlign w:val="center"/>
            <w:hideMark/>
          </w:tcPr>
          <w:p w14:paraId="041F20DF" w14:textId="77777777" w:rsidR="00CA4896" w:rsidRPr="00CA4896" w:rsidRDefault="00CA4896" w:rsidP="00CA4896">
            <w:pPr>
              <w:suppressAutoHyphens w:val="0"/>
              <w:rPr>
                <w:rFonts w:ascii="Aptos Narrow" w:eastAsia="Times New Roman" w:hAnsi="Aptos Narrow" w:cs="Times New Roman"/>
                <w:color w:val="000000"/>
                <w:lang w:val="en-DK" w:bidi="ar-SA"/>
              </w:rPr>
            </w:pPr>
            <w:proofErr w:type="spellStart"/>
            <w:r w:rsidRPr="00CA4896">
              <w:rPr>
                <w:rFonts w:ascii="Aptos Narrow" w:eastAsia="Times New Roman" w:hAnsi="Aptos Narrow" w:cs="Times New Roman"/>
                <w:color w:val="000000"/>
                <w:lang w:val="en-DK" w:bidi="ar-SA"/>
              </w:rPr>
              <w:t>Dopix</w:t>
            </w:r>
            <w:proofErr w:type="spellEnd"/>
            <w:r w:rsidRPr="00CA4896">
              <w:rPr>
                <w:rFonts w:ascii="Aptos Narrow" w:eastAsia="Times New Roman" w:hAnsi="Aptos Narrow" w:cs="Times New Roman"/>
                <w:color w:val="000000"/>
                <w:lang w:val="en-DK" w:bidi="ar-SA"/>
              </w:rPr>
              <w:t xml:space="preserve"> documents</w:t>
            </w:r>
          </w:p>
        </w:tc>
        <w:tc>
          <w:tcPr>
            <w:tcW w:w="874" w:type="pct"/>
            <w:tcBorders>
              <w:top w:val="nil"/>
              <w:left w:val="nil"/>
              <w:bottom w:val="single" w:sz="4" w:space="0" w:color="auto"/>
              <w:right w:val="single" w:sz="4" w:space="0" w:color="auto"/>
            </w:tcBorders>
            <w:vAlign w:val="center"/>
            <w:hideMark/>
          </w:tcPr>
          <w:p w14:paraId="393CB4D3"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10,58%</w:t>
            </w:r>
          </w:p>
        </w:tc>
        <w:tc>
          <w:tcPr>
            <w:tcW w:w="891" w:type="pct"/>
            <w:tcBorders>
              <w:top w:val="nil"/>
              <w:left w:val="nil"/>
              <w:bottom w:val="single" w:sz="4" w:space="0" w:color="auto"/>
              <w:right w:val="single" w:sz="4" w:space="0" w:color="auto"/>
            </w:tcBorders>
            <w:vAlign w:val="center"/>
            <w:hideMark/>
          </w:tcPr>
          <w:p w14:paraId="68F1C3C3" w14:textId="77777777" w:rsidR="00CA4896" w:rsidRPr="00CA4896" w:rsidRDefault="00CA4896" w:rsidP="00CA4896">
            <w:pPr>
              <w:suppressAutoHyphens w:val="0"/>
              <w:jc w:val="right"/>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19,38%</w:t>
            </w:r>
          </w:p>
        </w:tc>
        <w:tc>
          <w:tcPr>
            <w:tcW w:w="874" w:type="pct"/>
            <w:tcBorders>
              <w:top w:val="nil"/>
              <w:left w:val="nil"/>
              <w:bottom w:val="single" w:sz="4" w:space="0" w:color="auto"/>
              <w:right w:val="single" w:sz="4" w:space="0" w:color="auto"/>
            </w:tcBorders>
            <w:vAlign w:val="center"/>
            <w:hideMark/>
          </w:tcPr>
          <w:p w14:paraId="1DF00A20" w14:textId="77777777" w:rsidR="00CA4896" w:rsidRPr="00CA4896" w:rsidRDefault="00CA4896" w:rsidP="00CA4896">
            <w:pPr>
              <w:suppressAutoHyphens w:val="0"/>
              <w:jc w:val="right"/>
              <w:rPr>
                <w:rFonts w:ascii="Aptos Narrow" w:eastAsia="Times New Roman" w:hAnsi="Aptos Narrow" w:cs="Times New Roman"/>
                <w:b/>
                <w:bCs/>
                <w:color w:val="000000"/>
                <w:lang w:val="en-DK" w:bidi="ar-SA"/>
              </w:rPr>
            </w:pPr>
            <w:r w:rsidRPr="00CA4896">
              <w:rPr>
                <w:rFonts w:ascii="Aptos Narrow" w:eastAsia="Times New Roman" w:hAnsi="Aptos Narrow" w:cs="Times New Roman"/>
                <w:b/>
                <w:bCs/>
                <w:color w:val="000000"/>
                <w:lang w:val="en-DK" w:bidi="ar-SA"/>
              </w:rPr>
              <w:t>10,08%</w:t>
            </w:r>
          </w:p>
        </w:tc>
        <w:tc>
          <w:tcPr>
            <w:tcW w:w="891" w:type="pct"/>
            <w:tcBorders>
              <w:top w:val="nil"/>
              <w:left w:val="nil"/>
              <w:bottom w:val="single" w:sz="4" w:space="0" w:color="auto"/>
              <w:right w:val="single" w:sz="4" w:space="0" w:color="auto"/>
            </w:tcBorders>
            <w:vAlign w:val="center"/>
            <w:hideMark/>
          </w:tcPr>
          <w:p w14:paraId="1CC131E3" w14:textId="77777777" w:rsidR="00CA4896" w:rsidRPr="00CA4896" w:rsidRDefault="00CA4896" w:rsidP="00CA4896">
            <w:pPr>
              <w:suppressAutoHyphens w:val="0"/>
              <w:rPr>
                <w:rFonts w:ascii="Aptos Narrow" w:eastAsia="Times New Roman" w:hAnsi="Aptos Narrow" w:cs="Times New Roman"/>
                <w:color w:val="000000"/>
                <w:lang w:val="en-DK" w:bidi="ar-SA"/>
              </w:rPr>
            </w:pPr>
            <w:r w:rsidRPr="00CA4896">
              <w:rPr>
                <w:rFonts w:ascii="Aptos Narrow" w:eastAsia="Times New Roman" w:hAnsi="Aptos Narrow" w:cs="Times New Roman"/>
                <w:color w:val="000000"/>
                <w:lang w:val="en-DK" w:bidi="ar-SA"/>
              </w:rPr>
              <w:t xml:space="preserve">Bias </w:t>
            </w:r>
            <w:proofErr w:type="spellStart"/>
            <w:r w:rsidRPr="00CA4896">
              <w:rPr>
                <w:rFonts w:ascii="Aptos Narrow" w:eastAsia="Times New Roman" w:hAnsi="Aptos Narrow" w:cs="Times New Roman"/>
                <w:color w:val="000000"/>
                <w:lang w:val="en-DK" w:bidi="ar-SA"/>
              </w:rPr>
              <w:t>djust</w:t>
            </w:r>
            <w:proofErr w:type="spellEnd"/>
            <w:r w:rsidRPr="00CA4896">
              <w:rPr>
                <w:rFonts w:ascii="Aptos Narrow" w:eastAsia="Times New Roman" w:hAnsi="Aptos Narrow" w:cs="Times New Roman"/>
                <w:color w:val="000000"/>
                <w:lang w:val="en-DK" w:bidi="ar-SA"/>
              </w:rPr>
              <w:t xml:space="preserve"> based on model</w:t>
            </w:r>
          </w:p>
        </w:tc>
      </w:tr>
    </w:tbl>
    <w:p w14:paraId="32854B48" w14:textId="77777777" w:rsidR="00EE041C" w:rsidRDefault="00EE041C">
      <w:pPr>
        <w:spacing w:after="120"/>
      </w:pPr>
    </w:p>
    <w:p w14:paraId="24B71F4C" w14:textId="77777777" w:rsidR="00CA4896" w:rsidRPr="00905551" w:rsidRDefault="00000000" w:rsidP="00905551">
      <w:pPr>
        <w:spacing w:after="120"/>
        <w:jc w:val="both"/>
        <w:rPr>
          <w:rFonts w:ascii="Calibri" w:eastAsia="SimSun" w:hAnsi="Calibri" w:cs="Calibri"/>
        </w:rPr>
      </w:pPr>
      <w:r w:rsidRPr="00905551">
        <w:rPr>
          <w:rFonts w:ascii="Calibri" w:hAnsi="Calibri" w:cs="Calibri"/>
        </w:rPr>
        <w:t xml:space="preserve">SND wins on the stable </w:t>
      </w:r>
      <w:r w:rsidR="00CA4896" w:rsidRPr="00905551">
        <w:rPr>
          <w:rFonts w:ascii="Calibri" w:hAnsi="Calibri" w:cs="Calibri"/>
        </w:rPr>
        <w:t>behavioral</w:t>
      </w:r>
      <w:r w:rsidRPr="00905551">
        <w:rPr>
          <w:rFonts w:ascii="Calibri" w:hAnsi="Calibri" w:cs="Calibri"/>
        </w:rPr>
        <w:t xml:space="preserve"> series (</w:t>
      </w:r>
      <w:proofErr w:type="spellStart"/>
      <w:r w:rsidRPr="00905551">
        <w:rPr>
          <w:rFonts w:ascii="Calibri" w:hAnsi="Calibri" w:cs="Calibri"/>
        </w:rPr>
        <w:t>MobilePay</w:t>
      </w:r>
      <w:proofErr w:type="spellEnd"/>
      <w:r w:rsidRPr="00905551">
        <w:rPr>
          <w:rFonts w:ascii="Calibri" w:hAnsi="Calibri" w:cs="Calibri"/>
        </w:rPr>
        <w:t>, cards, logins, domestic/international/European transactions)</w:t>
      </w:r>
      <w:r w:rsidR="00CA4896" w:rsidRPr="00905551">
        <w:rPr>
          <w:rFonts w:ascii="Calibri" w:eastAsia="SimSun" w:hAnsi="Calibri" w:cs="Calibri"/>
        </w:rPr>
        <w:t xml:space="preserve">. </w:t>
      </w:r>
      <w:r w:rsidR="00CA4896" w:rsidRPr="00905551">
        <w:rPr>
          <w:rFonts w:ascii="Calibri" w:hAnsi="Calibri" w:cs="Calibri"/>
        </w:rPr>
        <w:t>These</w:t>
      </w:r>
      <w:r w:rsidRPr="00905551">
        <w:rPr>
          <w:rFonts w:ascii="Calibri" w:hAnsi="Calibri" w:cs="Calibri"/>
        </w:rPr>
        <w:t xml:space="preserve"> have strong, consistent seasonal</w:t>
      </w:r>
      <w:r w:rsidR="00CA4896" w:rsidRPr="00905551">
        <w:rPr>
          <w:rFonts w:ascii="Calibri" w:eastAsia="SimSun" w:hAnsi="Calibri" w:cs="Calibri"/>
        </w:rPr>
        <w:t xml:space="preserve"> </w:t>
      </w:r>
      <w:r w:rsidRPr="00905551">
        <w:rPr>
          <w:rFonts w:ascii="Calibri" w:hAnsi="Calibri" w:cs="Calibri"/>
        </w:rPr>
        <w:t>and</w:t>
      </w:r>
      <w:r w:rsidR="00CA4896" w:rsidRPr="00905551">
        <w:rPr>
          <w:rFonts w:ascii="Calibri" w:eastAsia="SimSun" w:hAnsi="Calibri" w:cs="Calibri"/>
        </w:rPr>
        <w:t xml:space="preserve"> </w:t>
      </w:r>
      <w:r w:rsidRPr="00905551">
        <w:rPr>
          <w:rFonts w:ascii="Calibri" w:hAnsi="Calibri" w:cs="Calibri"/>
        </w:rPr>
        <w:t xml:space="preserve">trend structure, so a simple history projection beats the model. </w:t>
      </w:r>
    </w:p>
    <w:p w14:paraId="02C8BDA1" w14:textId="77777777" w:rsidR="00CA4896" w:rsidRPr="00905551" w:rsidRDefault="00000000" w:rsidP="00905551">
      <w:pPr>
        <w:spacing w:after="120"/>
        <w:jc w:val="both"/>
        <w:rPr>
          <w:rFonts w:ascii="Calibri" w:eastAsia="SimSun" w:hAnsi="Calibri" w:cs="Calibri"/>
        </w:rPr>
      </w:pPr>
      <w:r w:rsidRPr="00905551">
        <w:rPr>
          <w:rFonts w:ascii="Calibri" w:hAnsi="Calibri" w:cs="Calibri"/>
        </w:rPr>
        <w:t xml:space="preserve">The model (or its bias-adjusted version) wins on the volatile and lumpy series (securities trading, reports, archived documents, </w:t>
      </w:r>
      <w:proofErr w:type="spellStart"/>
      <w:r w:rsidRPr="00905551">
        <w:rPr>
          <w:rFonts w:ascii="Calibri" w:hAnsi="Calibri" w:cs="Calibri"/>
        </w:rPr>
        <w:t>Dopix</w:t>
      </w:r>
      <w:proofErr w:type="spellEnd"/>
      <w:r w:rsidRPr="00905551">
        <w:rPr>
          <w:rFonts w:ascii="Calibri" w:hAnsi="Calibri" w:cs="Calibri"/>
        </w:rPr>
        <w:t xml:space="preserve">), whose history does not cleanly predict their future. </w:t>
      </w:r>
    </w:p>
    <w:p w14:paraId="3EA5CE8A" w14:textId="72DA9CFA" w:rsidR="00EE041C" w:rsidRPr="00905551" w:rsidRDefault="00000000" w:rsidP="00905551">
      <w:pPr>
        <w:spacing w:after="120"/>
        <w:jc w:val="both"/>
        <w:rPr>
          <w:rFonts w:ascii="Calibri" w:eastAsia="SimSun" w:hAnsi="Calibri" w:cs="Calibri"/>
        </w:rPr>
      </w:pPr>
      <w:r w:rsidRPr="00905551">
        <w:rPr>
          <w:rFonts w:ascii="Calibri" w:hAnsi="Calibri" w:cs="Calibri"/>
        </w:rPr>
        <w:t>Crucially, the bias-adjusted model is the clear winner for foreign securities (2370)</w:t>
      </w:r>
      <w:r w:rsidR="00CA4896" w:rsidRPr="00905551">
        <w:rPr>
          <w:rFonts w:ascii="Calibri" w:eastAsia="SimSun" w:hAnsi="Calibri" w:cs="Calibri"/>
        </w:rPr>
        <w:t xml:space="preserve">. </w:t>
      </w:r>
      <w:r w:rsidRPr="00905551">
        <w:rPr>
          <w:rFonts w:ascii="Calibri" w:hAnsi="Calibri" w:cs="Calibri"/>
        </w:rPr>
        <w:t>Bias correction was applied only where the bias is large and persistent</w:t>
      </w:r>
      <w:r w:rsidR="00CA4896" w:rsidRPr="00905551">
        <w:rPr>
          <w:rFonts w:ascii="Calibri" w:eastAsia="SimSun" w:hAnsi="Calibri" w:cs="Calibri"/>
        </w:rPr>
        <w:t>.</w:t>
      </w:r>
    </w:p>
    <w:p w14:paraId="79F1659C" w14:textId="77777777" w:rsidR="00EE041C" w:rsidRPr="00905551" w:rsidRDefault="00000000">
      <w:pPr>
        <w:pStyle w:val="Heading1"/>
        <w:rPr>
          <w:rFonts w:ascii="Calibri" w:hAnsi="Calibri" w:cs="Calibri"/>
          <w:sz w:val="28"/>
          <w:szCs w:val="28"/>
        </w:rPr>
      </w:pPr>
      <w:r w:rsidRPr="00905551">
        <w:rPr>
          <w:rFonts w:ascii="Calibri" w:hAnsi="Calibri" w:cs="Calibri"/>
          <w:sz w:val="28"/>
          <w:szCs w:val="28"/>
        </w:rPr>
        <w:t>4. Part 3 — The December 2025 forecast</w:t>
      </w:r>
    </w:p>
    <w:p w14:paraId="3CD41DF0" w14:textId="77777777" w:rsidR="00EE041C" w:rsidRPr="00905551" w:rsidRDefault="00000000" w:rsidP="00905551">
      <w:pPr>
        <w:spacing w:after="120"/>
        <w:jc w:val="both"/>
        <w:rPr>
          <w:rFonts w:ascii="Calibri" w:hAnsi="Calibri" w:cs="Calibri"/>
        </w:rPr>
      </w:pPr>
      <w:r w:rsidRPr="00905551">
        <w:rPr>
          <w:rFonts w:ascii="Calibri" w:hAnsi="Calibri" w:cs="Calibri"/>
        </w:rPr>
        <w:t>Requirement: generate the December forecast from the actual data. For each of the 104 cost-ID × FI series we computed all three candidate December forecasts and routed each series to its validated winning method:</w:t>
      </w:r>
    </w:p>
    <w:p w14:paraId="308D5B3A" w14:textId="77777777" w:rsidR="00EE041C" w:rsidRPr="00905551" w:rsidRDefault="00000000" w:rsidP="00905551">
      <w:pPr>
        <w:pStyle w:val="ListParagraph"/>
        <w:numPr>
          <w:ilvl w:val="0"/>
          <w:numId w:val="8"/>
        </w:numPr>
        <w:spacing w:after="120"/>
        <w:jc w:val="both"/>
        <w:rPr>
          <w:rFonts w:ascii="Calibri" w:hAnsi="Calibri" w:cs="Calibri"/>
        </w:rPr>
      </w:pPr>
      <w:r w:rsidRPr="00905551">
        <w:rPr>
          <w:rFonts w:ascii="Calibri" w:hAnsi="Calibri" w:cs="Calibri"/>
        </w:rPr>
        <w:t xml:space="preserve">SND for the </w:t>
      </w:r>
      <w:proofErr w:type="spellStart"/>
      <w:r w:rsidRPr="00905551">
        <w:rPr>
          <w:rFonts w:ascii="Calibri" w:hAnsi="Calibri" w:cs="Calibri"/>
        </w:rPr>
        <w:t>behavioural</w:t>
      </w:r>
      <w:proofErr w:type="spellEnd"/>
      <w:r w:rsidRPr="00905551">
        <w:rPr>
          <w:rFonts w:ascii="Calibri" w:hAnsi="Calibri" w:cs="Calibri"/>
        </w:rPr>
        <w:t xml:space="preserve"> series (9656, 9657, 9683, 9700, 9701, 9702).</w:t>
      </w:r>
    </w:p>
    <w:p w14:paraId="39F18E25" w14:textId="77777777" w:rsidR="00EE041C" w:rsidRPr="00905551" w:rsidRDefault="00000000" w:rsidP="00905551">
      <w:pPr>
        <w:pStyle w:val="ListParagraph"/>
        <w:numPr>
          <w:ilvl w:val="0"/>
          <w:numId w:val="8"/>
        </w:numPr>
        <w:spacing w:after="120"/>
        <w:jc w:val="both"/>
        <w:rPr>
          <w:rFonts w:ascii="Calibri" w:hAnsi="Calibri" w:cs="Calibri"/>
        </w:rPr>
      </w:pPr>
      <w:r w:rsidRPr="00905551">
        <w:rPr>
          <w:rFonts w:ascii="Calibri" w:hAnsi="Calibri" w:cs="Calibri"/>
        </w:rPr>
        <w:t>Bias-adjusted model for the systematically biased series (2370, 9649, and marginally 150, 9768).</w:t>
      </w:r>
    </w:p>
    <w:p w14:paraId="02E705A0" w14:textId="77777777" w:rsidR="00EE041C" w:rsidRPr="00905551" w:rsidRDefault="00000000" w:rsidP="00905551">
      <w:pPr>
        <w:pStyle w:val="ListParagraph"/>
        <w:numPr>
          <w:ilvl w:val="0"/>
          <w:numId w:val="8"/>
        </w:numPr>
        <w:spacing w:after="120"/>
        <w:jc w:val="both"/>
        <w:rPr>
          <w:rFonts w:ascii="Calibri" w:hAnsi="Calibri" w:cs="Calibri"/>
        </w:rPr>
      </w:pPr>
      <w:r w:rsidRPr="00905551">
        <w:rPr>
          <w:rFonts w:ascii="Calibri" w:hAnsi="Calibri" w:cs="Calibri"/>
        </w:rPr>
        <w:t xml:space="preserve">Plain </w:t>
      </w:r>
      <w:proofErr w:type="spellStart"/>
      <w:r w:rsidRPr="00905551">
        <w:rPr>
          <w:rFonts w:ascii="Calibri" w:hAnsi="Calibri" w:cs="Calibri"/>
        </w:rPr>
        <w:t>Bankdata</w:t>
      </w:r>
      <w:proofErr w:type="spellEnd"/>
      <w:r w:rsidRPr="00905551">
        <w:rPr>
          <w:rFonts w:ascii="Calibri" w:hAnsi="Calibri" w:cs="Calibri"/>
        </w:rPr>
        <w:t xml:space="preserve"> model for the volatile/lumpy series where it already wins (360, 9652, 9692).</w:t>
      </w:r>
    </w:p>
    <w:p w14:paraId="73CF78FA" w14:textId="0C73AFEB" w:rsidR="00EE041C" w:rsidRPr="00905551" w:rsidRDefault="00000000" w:rsidP="00905551">
      <w:pPr>
        <w:spacing w:after="120"/>
        <w:jc w:val="both"/>
        <w:rPr>
          <w:rFonts w:ascii="Calibri" w:hAnsi="Calibri" w:cs="Calibri" w:hint="eastAsia"/>
        </w:rPr>
      </w:pPr>
      <w:r w:rsidRPr="00905551">
        <w:rPr>
          <w:rFonts w:ascii="Calibri" w:hAnsi="Calibri" w:cs="Calibri"/>
        </w:rPr>
        <w:t xml:space="preserve">The recommended December forecast equals each series’ December value from its assigned method, and a "deviation vs </w:t>
      </w:r>
      <w:proofErr w:type="spellStart"/>
      <w:r w:rsidRPr="00905551">
        <w:rPr>
          <w:rFonts w:ascii="Calibri" w:hAnsi="Calibri" w:cs="Calibri"/>
        </w:rPr>
        <w:t>Bankdata</w:t>
      </w:r>
      <w:proofErr w:type="spellEnd"/>
      <w:r w:rsidRPr="00905551">
        <w:rPr>
          <w:rFonts w:ascii="Calibri" w:hAnsi="Calibri" w:cs="Calibri"/>
        </w:rPr>
        <w:t xml:space="preserve">" column shows where and by how much we depart from </w:t>
      </w:r>
      <w:proofErr w:type="spellStart"/>
      <w:r w:rsidRPr="00905551">
        <w:rPr>
          <w:rFonts w:ascii="Calibri" w:hAnsi="Calibri" w:cs="Calibri"/>
        </w:rPr>
        <w:t>Bankdata’s</w:t>
      </w:r>
      <w:proofErr w:type="spellEnd"/>
      <w:r w:rsidRPr="00905551">
        <w:rPr>
          <w:rFonts w:ascii="Calibri" w:hAnsi="Calibri" w:cs="Calibri"/>
        </w:rPr>
        <w:t xml:space="preserve"> own number. For most series the deviation is zero (we trust the model where it is best); the deliberate, justified changes concentrate in the </w:t>
      </w:r>
      <w:proofErr w:type="spellStart"/>
      <w:r w:rsidRPr="00905551">
        <w:rPr>
          <w:rFonts w:ascii="Calibri" w:hAnsi="Calibri" w:cs="Calibri"/>
        </w:rPr>
        <w:t>behavioural</w:t>
      </w:r>
      <w:proofErr w:type="spellEnd"/>
      <w:r w:rsidRPr="00905551">
        <w:rPr>
          <w:rFonts w:ascii="Calibri" w:hAnsi="Calibri" w:cs="Calibri"/>
        </w:rPr>
        <w:t xml:space="preserve"> series (where SND wins) and in foreign securities (raised</w:t>
      </w:r>
      <w:r w:rsidR="00CA4896" w:rsidRPr="00905551">
        <w:rPr>
          <w:rFonts w:ascii="Calibri" w:hAnsi="Calibri" w:cs="Calibri" w:hint="eastAsia"/>
        </w:rPr>
        <w:t xml:space="preserve"> </w:t>
      </w:r>
      <w:r w:rsidRPr="00905551">
        <w:rPr>
          <w:rFonts w:ascii="Calibri" w:hAnsi="Calibri" w:cs="Calibri"/>
        </w:rPr>
        <w:t>+7% by the bias correction). Because December has no actual yet, its accuracy cannot be checked now</w:t>
      </w:r>
      <w:r w:rsidR="00CA4896" w:rsidRPr="00905551">
        <w:rPr>
          <w:rFonts w:ascii="Calibri" w:hAnsi="Calibri" w:cs="Calibri" w:hint="eastAsia"/>
        </w:rPr>
        <w:t>.</w:t>
      </w:r>
    </w:p>
    <w:p w14:paraId="79611551" w14:textId="77777777" w:rsidR="00EE041C" w:rsidRPr="00905551" w:rsidRDefault="00000000" w:rsidP="00905551">
      <w:pPr>
        <w:pStyle w:val="Heading1"/>
        <w:rPr>
          <w:rFonts w:ascii="Calibri" w:hAnsi="Calibri" w:cs="Calibri"/>
          <w:sz w:val="28"/>
          <w:szCs w:val="28"/>
        </w:rPr>
      </w:pPr>
      <w:r w:rsidRPr="00905551">
        <w:rPr>
          <w:rFonts w:ascii="Calibri" w:hAnsi="Calibri" w:cs="Calibri"/>
          <w:sz w:val="28"/>
          <w:szCs w:val="28"/>
        </w:rPr>
        <w:t>4.1 Delivery in Power BI</w:t>
      </w:r>
    </w:p>
    <w:p w14:paraId="5BD0F78A" w14:textId="77777777" w:rsidR="00CA4896" w:rsidRPr="00905551" w:rsidRDefault="00000000" w:rsidP="00905551">
      <w:pPr>
        <w:spacing w:after="120"/>
        <w:jc w:val="both"/>
        <w:rPr>
          <w:rFonts w:ascii="Calibri" w:hAnsi="Calibri" w:cs="Calibri"/>
        </w:rPr>
      </w:pPr>
      <w:r w:rsidRPr="00905551">
        <w:rPr>
          <w:rFonts w:ascii="Calibri" w:hAnsi="Calibri" w:cs="Calibri"/>
        </w:rPr>
        <w:t xml:space="preserve">The whole pipeline is exposed in an interactive Power BI report connected live to the analysis workbook. </w:t>
      </w:r>
    </w:p>
    <w:p w14:paraId="39244B9B" w14:textId="77777777" w:rsidR="00CA4896" w:rsidRPr="00905551" w:rsidRDefault="00000000" w:rsidP="00905551">
      <w:pPr>
        <w:spacing w:after="120"/>
        <w:jc w:val="both"/>
        <w:rPr>
          <w:rFonts w:ascii="Calibri" w:hAnsi="Calibri" w:cs="Calibri"/>
        </w:rPr>
      </w:pPr>
      <w:r w:rsidRPr="00905551">
        <w:rPr>
          <w:rFonts w:ascii="Calibri" w:hAnsi="Calibri" w:cs="Calibri"/>
        </w:rPr>
        <w:t xml:space="preserve">A Forecast Explorer page lets a manager select a cost ID and FI and instantly see the chosen method, the recommended forecast, the deviation from </w:t>
      </w:r>
      <w:proofErr w:type="spellStart"/>
      <w:r w:rsidRPr="00905551">
        <w:rPr>
          <w:rFonts w:ascii="Calibri" w:hAnsi="Calibri" w:cs="Calibri"/>
        </w:rPr>
        <w:t>Bankdata</w:t>
      </w:r>
      <w:proofErr w:type="spellEnd"/>
      <w:r w:rsidRPr="00905551">
        <w:rPr>
          <w:rFonts w:ascii="Calibri" w:hAnsi="Calibri" w:cs="Calibri"/>
        </w:rPr>
        <w:t xml:space="preserve">, and a line chart of actual (2023–2025) against the competing forecasts. </w:t>
      </w:r>
    </w:p>
    <w:p w14:paraId="1ED80EE9" w14:textId="251598C0" w:rsidR="00CA4896" w:rsidRPr="00CA4896" w:rsidRDefault="00CA4896">
      <w:pPr>
        <w:spacing w:after="120"/>
        <w:rPr>
          <w:rFonts w:eastAsia="SimSun" w:hint="eastAsia"/>
        </w:rPr>
      </w:pPr>
      <w:r w:rsidRPr="00CA4896">
        <w:rPr>
          <w:rFonts w:eastAsia="SimSun"/>
        </w:rPr>
        <w:lastRenderedPageBreak/>
        <w:drawing>
          <wp:inline distT="0" distB="0" distL="0" distR="0" wp14:anchorId="4891C588" wp14:editId="5E135337">
            <wp:extent cx="5731510" cy="3287395"/>
            <wp:effectExtent l="0" t="0" r="2540" b="8255"/>
            <wp:docPr id="21328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3501" name=""/>
                    <pic:cNvPicPr/>
                  </pic:nvPicPr>
                  <pic:blipFill>
                    <a:blip r:embed="rId5"/>
                    <a:stretch>
                      <a:fillRect/>
                    </a:stretch>
                  </pic:blipFill>
                  <pic:spPr>
                    <a:xfrm>
                      <a:off x="0" y="0"/>
                      <a:ext cx="5731510" cy="3287395"/>
                    </a:xfrm>
                    <a:prstGeom prst="rect">
                      <a:avLst/>
                    </a:prstGeom>
                  </pic:spPr>
                </pic:pic>
              </a:graphicData>
            </a:graphic>
          </wp:inline>
        </w:drawing>
      </w:r>
    </w:p>
    <w:p w14:paraId="1B69077F" w14:textId="58BA5F33" w:rsidR="00CA4896" w:rsidRPr="00905551" w:rsidRDefault="00CA4896" w:rsidP="00905551">
      <w:pPr>
        <w:spacing w:after="120"/>
        <w:jc w:val="both"/>
        <w:rPr>
          <w:rFonts w:ascii="Calibri" w:hAnsi="Calibri" w:cs="Calibri"/>
        </w:rPr>
      </w:pPr>
      <w:r w:rsidRPr="00905551">
        <w:rPr>
          <w:rFonts w:ascii="Calibri" w:hAnsi="Calibri" w:cs="Calibri"/>
        </w:rPr>
        <w:t>A Manual-override page provides a bounded (±20%) adjustment slider so a manager can apply business judgement on top of the data-driven number</w:t>
      </w:r>
      <w:r w:rsidRPr="00905551">
        <w:rPr>
          <w:rFonts w:ascii="Calibri" w:hAnsi="Calibri" w:cs="Calibri" w:hint="eastAsia"/>
        </w:rPr>
        <w:t xml:space="preserve">. </w:t>
      </w:r>
      <w:r w:rsidRPr="00905551">
        <w:rPr>
          <w:rFonts w:ascii="Calibri" w:hAnsi="Calibri" w:cs="Calibri"/>
        </w:rPr>
        <w:t xml:space="preserve">This override is intended specifically for the event-driven series (reports, </w:t>
      </w:r>
      <w:proofErr w:type="spellStart"/>
      <w:r w:rsidRPr="00905551">
        <w:rPr>
          <w:rFonts w:ascii="Calibri" w:hAnsi="Calibri" w:cs="Calibri"/>
        </w:rPr>
        <w:t>Dopix</w:t>
      </w:r>
      <w:proofErr w:type="spellEnd"/>
      <w:r w:rsidRPr="00905551">
        <w:rPr>
          <w:rFonts w:ascii="Calibri" w:hAnsi="Calibri" w:cs="Calibri"/>
        </w:rPr>
        <w:t>, archived documents), where one-off events a human can foresee</w:t>
      </w:r>
      <w:r w:rsidRPr="00905551">
        <w:rPr>
          <w:rFonts w:ascii="Calibri" w:hAnsi="Calibri" w:cs="Calibri" w:hint="eastAsia"/>
        </w:rPr>
        <w:t>,</w:t>
      </w:r>
      <w:r w:rsidRPr="00905551">
        <w:rPr>
          <w:rFonts w:ascii="Calibri" w:hAnsi="Calibri" w:cs="Calibri"/>
        </w:rPr>
        <w:t xml:space="preserve"> but the model cannot</w:t>
      </w:r>
      <w:r w:rsidRPr="00905551">
        <w:rPr>
          <w:rFonts w:ascii="Calibri" w:hAnsi="Calibri" w:cs="Calibri" w:hint="eastAsia"/>
        </w:rPr>
        <w:t>.</w:t>
      </w:r>
    </w:p>
    <w:p w14:paraId="2378FB88" w14:textId="52CDDF1E" w:rsidR="00CA4896" w:rsidRPr="00CA4896" w:rsidRDefault="00905551">
      <w:pPr>
        <w:spacing w:after="120"/>
        <w:rPr>
          <w:rFonts w:eastAsia="SimSun" w:hint="eastAsia"/>
        </w:rPr>
      </w:pPr>
      <w:r w:rsidRPr="00905551">
        <w:rPr>
          <w:rFonts w:eastAsia="SimSun"/>
        </w:rPr>
        <w:drawing>
          <wp:inline distT="0" distB="0" distL="0" distR="0" wp14:anchorId="3EF56195" wp14:editId="3C7F11AE">
            <wp:extent cx="5731510" cy="3154045"/>
            <wp:effectExtent l="0" t="0" r="2540" b="8255"/>
            <wp:docPr id="137722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24336" name=""/>
                    <pic:cNvPicPr/>
                  </pic:nvPicPr>
                  <pic:blipFill>
                    <a:blip r:embed="rId6"/>
                    <a:stretch>
                      <a:fillRect/>
                    </a:stretch>
                  </pic:blipFill>
                  <pic:spPr>
                    <a:xfrm>
                      <a:off x="0" y="0"/>
                      <a:ext cx="5731510" cy="3154045"/>
                    </a:xfrm>
                    <a:prstGeom prst="rect">
                      <a:avLst/>
                    </a:prstGeom>
                  </pic:spPr>
                </pic:pic>
              </a:graphicData>
            </a:graphic>
          </wp:inline>
        </w:drawing>
      </w:r>
    </w:p>
    <w:p w14:paraId="1C7BB6FE" w14:textId="15156012" w:rsidR="00EE041C" w:rsidRPr="00905551" w:rsidRDefault="00000000" w:rsidP="00905551">
      <w:pPr>
        <w:spacing w:after="120"/>
        <w:jc w:val="both"/>
        <w:rPr>
          <w:rFonts w:ascii="Calibri" w:hAnsi="Calibri" w:cs="Calibri"/>
        </w:rPr>
      </w:pPr>
      <w:r w:rsidRPr="00905551">
        <w:rPr>
          <w:rFonts w:ascii="Calibri" w:hAnsi="Calibri" w:cs="Calibri"/>
        </w:rPr>
        <w:t xml:space="preserve">An Accuracy page reproduces the accuracy-by-ID, accuracy-by-FI, MAPE-by-horizon and cross-check views interactively. </w:t>
      </w:r>
    </w:p>
    <w:p w14:paraId="3DA6B6EA" w14:textId="1ED2B8BE" w:rsidR="00905551" w:rsidRPr="00905551" w:rsidRDefault="00905551">
      <w:pPr>
        <w:spacing w:after="120"/>
        <w:rPr>
          <w:rFonts w:eastAsia="SimSun" w:hint="eastAsia"/>
        </w:rPr>
      </w:pPr>
      <w:r w:rsidRPr="00905551">
        <w:rPr>
          <w:rFonts w:eastAsia="SimSun"/>
        </w:rPr>
        <w:lastRenderedPageBreak/>
        <w:drawing>
          <wp:inline distT="0" distB="0" distL="0" distR="0" wp14:anchorId="150611FD" wp14:editId="36232ABD">
            <wp:extent cx="5731510" cy="3225800"/>
            <wp:effectExtent l="0" t="0" r="2540" b="0"/>
            <wp:docPr id="16307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2854" name=""/>
                    <pic:cNvPicPr/>
                  </pic:nvPicPr>
                  <pic:blipFill>
                    <a:blip r:embed="rId7"/>
                    <a:stretch>
                      <a:fillRect/>
                    </a:stretch>
                  </pic:blipFill>
                  <pic:spPr>
                    <a:xfrm>
                      <a:off x="0" y="0"/>
                      <a:ext cx="5731510" cy="3225800"/>
                    </a:xfrm>
                    <a:prstGeom prst="rect">
                      <a:avLst/>
                    </a:prstGeom>
                  </pic:spPr>
                </pic:pic>
              </a:graphicData>
            </a:graphic>
          </wp:inline>
        </w:drawing>
      </w:r>
    </w:p>
    <w:p w14:paraId="5127FDC6" w14:textId="77777777" w:rsidR="00EE041C" w:rsidRPr="00905551" w:rsidRDefault="00000000">
      <w:pPr>
        <w:pStyle w:val="Heading1"/>
        <w:rPr>
          <w:rFonts w:ascii="Calibri" w:hAnsi="Calibri" w:cs="Calibri"/>
          <w:sz w:val="28"/>
          <w:szCs w:val="28"/>
        </w:rPr>
      </w:pPr>
      <w:r w:rsidRPr="00905551">
        <w:rPr>
          <w:rFonts w:ascii="Calibri" w:hAnsi="Calibri" w:cs="Calibri"/>
          <w:sz w:val="28"/>
          <w:szCs w:val="28"/>
        </w:rPr>
        <w:t>5. Conclusion and actionable insights</w:t>
      </w:r>
    </w:p>
    <w:p w14:paraId="063F640F" w14:textId="3260F651" w:rsidR="00EE041C" w:rsidRPr="00905551" w:rsidRDefault="00000000" w:rsidP="00905551">
      <w:pPr>
        <w:spacing w:after="120"/>
        <w:jc w:val="both"/>
        <w:rPr>
          <w:rFonts w:ascii="Calibri" w:hAnsi="Calibri" w:cs="Calibri"/>
        </w:rPr>
      </w:pPr>
      <w:proofErr w:type="spellStart"/>
      <w:r w:rsidRPr="00905551">
        <w:rPr>
          <w:rFonts w:ascii="Calibri" w:hAnsi="Calibri" w:cs="Calibri"/>
        </w:rPr>
        <w:t>Bankdata’s</w:t>
      </w:r>
      <w:proofErr w:type="spellEnd"/>
      <w:r w:rsidRPr="00905551">
        <w:rPr>
          <w:rFonts w:ascii="Calibri" w:hAnsi="Calibri" w:cs="Calibri"/>
        </w:rPr>
        <w:t xml:space="preserve"> forecasts are good on average (9.9% MAPE) but highly uneven, and the analysis points to concrete</w:t>
      </w:r>
      <w:r w:rsidR="00905551" w:rsidRPr="00905551">
        <w:rPr>
          <w:rFonts w:ascii="Calibri" w:hAnsi="Calibri" w:cs="Calibri" w:hint="eastAsia"/>
        </w:rPr>
        <w:t xml:space="preserve"> and </w:t>
      </w:r>
      <w:proofErr w:type="spellStart"/>
      <w:r w:rsidRPr="00905551">
        <w:rPr>
          <w:rFonts w:ascii="Calibri" w:hAnsi="Calibri" w:cs="Calibri"/>
        </w:rPr>
        <w:t>prioritised</w:t>
      </w:r>
      <w:proofErr w:type="spellEnd"/>
      <w:r w:rsidRPr="00905551">
        <w:rPr>
          <w:rFonts w:ascii="Calibri" w:hAnsi="Calibri" w:cs="Calibri"/>
        </w:rPr>
        <w:t xml:space="preserve"> actions:</w:t>
      </w:r>
    </w:p>
    <w:p w14:paraId="48EE3FBB" w14:textId="4CD65DBD" w:rsidR="00EE041C" w:rsidRPr="00905551" w:rsidRDefault="00000000" w:rsidP="00905551">
      <w:pPr>
        <w:pStyle w:val="ListParagraph"/>
        <w:numPr>
          <w:ilvl w:val="0"/>
          <w:numId w:val="5"/>
        </w:numPr>
        <w:spacing w:after="80"/>
        <w:jc w:val="both"/>
        <w:rPr>
          <w:rFonts w:ascii="Calibri" w:hAnsi="Calibri" w:cs="Calibri"/>
        </w:rPr>
      </w:pPr>
      <w:r w:rsidRPr="00905551">
        <w:rPr>
          <w:rFonts w:ascii="Calibri" w:hAnsi="Calibri" w:cs="Calibri"/>
        </w:rPr>
        <w:t>Correct the systematic bias in foreign securities (2370). A persistent −16% under-forecast is a not noise. The validated bias-adjusted method already cuts its error by roughly a third and should be adopted for this series, with the correction factor re-estimated periodically rather than fixed.</w:t>
      </w:r>
    </w:p>
    <w:p w14:paraId="770FD02F" w14:textId="17030ED7" w:rsidR="00EE041C" w:rsidRPr="00905551" w:rsidRDefault="00000000" w:rsidP="00905551">
      <w:pPr>
        <w:pStyle w:val="ListParagraph"/>
        <w:numPr>
          <w:ilvl w:val="0"/>
          <w:numId w:val="2"/>
        </w:numPr>
        <w:spacing w:after="80"/>
        <w:jc w:val="both"/>
        <w:rPr>
          <w:rFonts w:ascii="Calibri" w:hAnsi="Calibri" w:cs="Calibri"/>
        </w:rPr>
      </w:pPr>
      <w:r w:rsidRPr="00905551">
        <w:rPr>
          <w:rFonts w:ascii="Calibri" w:hAnsi="Calibri" w:cs="Calibri"/>
        </w:rPr>
        <w:t xml:space="preserve">Adopt </w:t>
      </w:r>
      <w:r w:rsidR="00905551" w:rsidRPr="00905551">
        <w:rPr>
          <w:rFonts w:ascii="Calibri" w:hAnsi="Calibri" w:cs="Calibri"/>
        </w:rPr>
        <w:t>the</w:t>
      </w:r>
      <w:r w:rsidR="00905551" w:rsidRPr="00905551">
        <w:rPr>
          <w:rFonts w:ascii="Calibri" w:hAnsi="Calibri" w:cs="Calibri" w:hint="eastAsia"/>
        </w:rPr>
        <w:t xml:space="preserve"> ID related</w:t>
      </w:r>
      <w:r w:rsidRPr="00905551">
        <w:rPr>
          <w:rFonts w:ascii="Calibri" w:hAnsi="Calibri" w:cs="Calibri"/>
        </w:rPr>
        <w:t xml:space="preserve"> method selection. Different cost types have different dynamics; a single model leaves accuracy on the table. Using the simple seasonal method on the </w:t>
      </w:r>
      <w:proofErr w:type="spellStart"/>
      <w:r w:rsidRPr="00905551">
        <w:rPr>
          <w:rFonts w:ascii="Calibri" w:hAnsi="Calibri" w:cs="Calibri"/>
        </w:rPr>
        <w:t>behavioural</w:t>
      </w:r>
      <w:proofErr w:type="spellEnd"/>
      <w:r w:rsidRPr="00905551">
        <w:rPr>
          <w:rFonts w:ascii="Calibri" w:hAnsi="Calibri" w:cs="Calibri"/>
        </w:rPr>
        <w:t xml:space="preserve"> series and the model on the volatile ones cuts out-of-sample MAPE from 8.0% to 6.8% with fully transparent, auditable logic.</w:t>
      </w:r>
    </w:p>
    <w:p w14:paraId="34B28074" w14:textId="77777777" w:rsidR="00EE041C" w:rsidRPr="00905551" w:rsidRDefault="00000000" w:rsidP="00905551">
      <w:pPr>
        <w:pStyle w:val="ListParagraph"/>
        <w:numPr>
          <w:ilvl w:val="0"/>
          <w:numId w:val="2"/>
        </w:numPr>
        <w:spacing w:after="80"/>
        <w:jc w:val="both"/>
        <w:rPr>
          <w:rFonts w:ascii="Calibri" w:hAnsi="Calibri" w:cs="Calibri"/>
        </w:rPr>
      </w:pPr>
      <w:r w:rsidRPr="00905551">
        <w:rPr>
          <w:rFonts w:ascii="Calibri" w:hAnsi="Calibri" w:cs="Calibri"/>
        </w:rPr>
        <w:t xml:space="preserve">Make the model learn within the year. The cross-check shows fresh data does help; blending in a recent-growth term (as SND does) is a cheap way to inject information the current model under-uses, especially for the </w:t>
      </w:r>
      <w:proofErr w:type="spellStart"/>
      <w:r w:rsidRPr="00905551">
        <w:rPr>
          <w:rFonts w:ascii="Calibri" w:hAnsi="Calibri" w:cs="Calibri"/>
        </w:rPr>
        <w:t>behavioural</w:t>
      </w:r>
      <w:proofErr w:type="spellEnd"/>
      <w:r w:rsidRPr="00905551">
        <w:rPr>
          <w:rFonts w:ascii="Calibri" w:hAnsi="Calibri" w:cs="Calibri"/>
        </w:rPr>
        <w:t xml:space="preserve"> series.</w:t>
      </w:r>
    </w:p>
    <w:p w14:paraId="3EF6B2D7" w14:textId="77777777" w:rsidR="00EE041C" w:rsidRPr="00905551" w:rsidRDefault="00000000" w:rsidP="00905551">
      <w:pPr>
        <w:pStyle w:val="ListParagraph"/>
        <w:numPr>
          <w:ilvl w:val="0"/>
          <w:numId w:val="2"/>
        </w:numPr>
        <w:spacing w:after="80"/>
        <w:jc w:val="both"/>
        <w:rPr>
          <w:rFonts w:ascii="Calibri" w:hAnsi="Calibri" w:cs="Calibri"/>
        </w:rPr>
      </w:pPr>
      <w:r w:rsidRPr="00905551">
        <w:rPr>
          <w:rFonts w:ascii="Calibri" w:hAnsi="Calibri" w:cs="Calibri"/>
        </w:rPr>
        <w:t xml:space="preserve">Make manual overrides explicit and targeted. Replace invisible manual replacements with the bounded, documented slider, reserved for the event-driven series (reports, </w:t>
      </w:r>
      <w:proofErr w:type="spellStart"/>
      <w:r w:rsidRPr="00905551">
        <w:rPr>
          <w:rFonts w:ascii="Calibri" w:hAnsi="Calibri" w:cs="Calibri"/>
        </w:rPr>
        <w:t>Dopix</w:t>
      </w:r>
      <w:proofErr w:type="spellEnd"/>
      <w:r w:rsidRPr="00905551">
        <w:rPr>
          <w:rFonts w:ascii="Calibri" w:hAnsi="Calibri" w:cs="Calibri"/>
        </w:rPr>
        <w:t>, archiving) where human knowledge of upcoming events genuinely beats the model.</w:t>
      </w:r>
    </w:p>
    <w:p w14:paraId="1937ADA3" w14:textId="77777777" w:rsidR="00EE041C" w:rsidRPr="00905551" w:rsidRDefault="00000000" w:rsidP="00905551">
      <w:pPr>
        <w:pStyle w:val="Heading1"/>
        <w:rPr>
          <w:rFonts w:ascii="Calibri" w:hAnsi="Calibri" w:cs="Calibri"/>
          <w:sz w:val="28"/>
          <w:szCs w:val="28"/>
        </w:rPr>
      </w:pPr>
      <w:r w:rsidRPr="00905551">
        <w:rPr>
          <w:rFonts w:ascii="Calibri" w:hAnsi="Calibri" w:cs="Calibri"/>
          <w:sz w:val="28"/>
          <w:szCs w:val="28"/>
        </w:rPr>
        <w:t>5.1 Issues not fully resolved, and where to go next</w:t>
      </w:r>
    </w:p>
    <w:p w14:paraId="080CFD4A" w14:textId="6E79501A" w:rsidR="00EE041C" w:rsidRPr="00905551" w:rsidRDefault="00000000" w:rsidP="00905551">
      <w:pPr>
        <w:pStyle w:val="ListParagraph"/>
        <w:numPr>
          <w:ilvl w:val="0"/>
          <w:numId w:val="1"/>
        </w:numPr>
        <w:spacing w:after="80"/>
        <w:jc w:val="both"/>
        <w:rPr>
          <w:rFonts w:ascii="Calibri" w:hAnsi="Calibri" w:cs="Calibri"/>
        </w:rPr>
      </w:pPr>
      <w:r w:rsidRPr="00905551">
        <w:rPr>
          <w:rFonts w:ascii="Calibri" w:hAnsi="Calibri" w:cs="Calibri"/>
        </w:rPr>
        <w:t xml:space="preserve">Seasonal difficulty remains unsolved. Summer target months (May–July) are genuinely harder (12–13% MAPE). This is a real seasonal effect we identified but did not fix; it would need either richer seasonal modelling or simply </w:t>
      </w:r>
      <w:proofErr w:type="gramStart"/>
      <w:r w:rsidRPr="00905551">
        <w:rPr>
          <w:rFonts w:ascii="Calibri" w:hAnsi="Calibri" w:cs="Calibri"/>
        </w:rPr>
        <w:t>accepting</w:t>
      </w:r>
      <w:proofErr w:type="gramEnd"/>
      <w:r w:rsidRPr="00905551">
        <w:rPr>
          <w:rFonts w:ascii="Calibri" w:hAnsi="Calibri" w:cs="Calibri"/>
        </w:rPr>
        <w:t xml:space="preserve"> wider forecast intervals for those months. </w:t>
      </w:r>
    </w:p>
    <w:p w14:paraId="755DC6C3" w14:textId="77AF016F" w:rsidR="00EE041C" w:rsidRPr="00905551" w:rsidRDefault="00000000" w:rsidP="00905551">
      <w:pPr>
        <w:pStyle w:val="ListParagraph"/>
        <w:numPr>
          <w:ilvl w:val="0"/>
          <w:numId w:val="1"/>
        </w:numPr>
        <w:spacing w:after="80"/>
        <w:jc w:val="both"/>
        <w:rPr>
          <w:rFonts w:ascii="Calibri" w:hAnsi="Calibri" w:cs="Calibri"/>
        </w:rPr>
      </w:pPr>
      <w:r w:rsidRPr="00905551">
        <w:rPr>
          <w:rFonts w:ascii="Calibri" w:hAnsi="Calibri" w:cs="Calibri"/>
        </w:rPr>
        <w:t>Volatile</w:t>
      </w:r>
      <w:r w:rsidR="00905551" w:rsidRPr="00905551">
        <w:rPr>
          <w:rFonts w:ascii="Calibri" w:hAnsi="Calibri" w:cs="Calibri" w:hint="eastAsia"/>
        </w:rPr>
        <w:t xml:space="preserve"> </w:t>
      </w:r>
      <w:r w:rsidRPr="00905551">
        <w:rPr>
          <w:rFonts w:ascii="Calibri" w:hAnsi="Calibri" w:cs="Calibri"/>
        </w:rPr>
        <w:t>but</w:t>
      </w:r>
      <w:r w:rsidR="00905551" w:rsidRPr="00905551">
        <w:rPr>
          <w:rFonts w:ascii="Calibri" w:hAnsi="Calibri" w:cs="Calibri" w:hint="eastAsia"/>
        </w:rPr>
        <w:t xml:space="preserve"> </w:t>
      </w:r>
      <w:r w:rsidRPr="00905551">
        <w:rPr>
          <w:rFonts w:ascii="Calibri" w:hAnsi="Calibri" w:cs="Calibri"/>
        </w:rPr>
        <w:t xml:space="preserve">unbiased series (e.g. domestic securities 360) cannot be fixed by </w:t>
      </w:r>
      <w:r w:rsidR="00905551" w:rsidRPr="00905551">
        <w:rPr>
          <w:rFonts w:ascii="Calibri" w:hAnsi="Calibri" w:cs="Calibri" w:hint="eastAsia"/>
        </w:rPr>
        <w:t>bias correction</w:t>
      </w:r>
      <w:r w:rsidRPr="00905551">
        <w:rPr>
          <w:rFonts w:ascii="Calibri" w:hAnsi="Calibri" w:cs="Calibri"/>
        </w:rPr>
        <w:t xml:space="preserve">. Reducing their </w:t>
      </w:r>
      <w:proofErr w:type="gramStart"/>
      <w:r w:rsidRPr="00905551">
        <w:rPr>
          <w:rFonts w:ascii="Calibri" w:hAnsi="Calibri" w:cs="Calibri"/>
        </w:rPr>
        <w:t>error</w:t>
      </w:r>
      <w:proofErr w:type="gramEnd"/>
      <w:r w:rsidRPr="00905551">
        <w:rPr>
          <w:rFonts w:ascii="Calibri" w:hAnsi="Calibri" w:cs="Calibri"/>
        </w:rPr>
        <w:t xml:space="preserve"> would require new explanatory information rather than a better projection of their own history.</w:t>
      </w:r>
    </w:p>
    <w:p w14:paraId="299F209A" w14:textId="5029BEEF" w:rsidR="00EE041C" w:rsidRPr="00905551" w:rsidRDefault="00000000" w:rsidP="00905551">
      <w:pPr>
        <w:pStyle w:val="ListParagraph"/>
        <w:numPr>
          <w:ilvl w:val="0"/>
          <w:numId w:val="1"/>
        </w:numPr>
        <w:spacing w:after="80"/>
        <w:jc w:val="both"/>
        <w:rPr>
          <w:rFonts w:ascii="Calibri" w:hAnsi="Calibri" w:cs="Calibri"/>
        </w:rPr>
      </w:pPr>
      <w:r w:rsidRPr="00905551">
        <w:rPr>
          <w:rFonts w:ascii="Calibri" w:hAnsi="Calibri" w:cs="Calibri"/>
        </w:rPr>
        <w:t xml:space="preserve">External variables </w:t>
      </w:r>
      <w:proofErr w:type="gramStart"/>
      <w:r w:rsidR="00905551" w:rsidRPr="00905551">
        <w:rPr>
          <w:rFonts w:ascii="Calibri" w:hAnsi="Calibri" w:cs="Calibri" w:hint="eastAsia"/>
        </w:rPr>
        <w:t>might be</w:t>
      </w:r>
      <w:proofErr w:type="gramEnd"/>
      <w:r w:rsidR="00905551" w:rsidRPr="00905551">
        <w:rPr>
          <w:rFonts w:ascii="Calibri" w:hAnsi="Calibri" w:cs="Calibri" w:hint="eastAsia"/>
        </w:rPr>
        <w:t xml:space="preserve"> </w:t>
      </w:r>
      <w:proofErr w:type="gramStart"/>
      <w:r w:rsidR="00905551" w:rsidRPr="00905551">
        <w:rPr>
          <w:rFonts w:ascii="Calibri" w:hAnsi="Calibri" w:cs="Calibri" w:hint="eastAsia"/>
        </w:rPr>
        <w:t>add</w:t>
      </w:r>
      <w:proofErr w:type="gramEnd"/>
      <w:r w:rsidR="00905551" w:rsidRPr="00905551">
        <w:rPr>
          <w:rFonts w:ascii="Calibri" w:hAnsi="Calibri" w:cs="Calibri" w:hint="eastAsia"/>
        </w:rPr>
        <w:t xml:space="preserve"> extra explanation for forecasting.</w:t>
      </w:r>
      <w:r w:rsidRPr="00905551">
        <w:rPr>
          <w:rFonts w:ascii="Calibri" w:hAnsi="Calibri" w:cs="Calibri"/>
        </w:rPr>
        <w:t xml:space="preserve"> Our common-shock analysis showed payment-series errors are 85–92% </w:t>
      </w:r>
      <w:proofErr w:type="spellStart"/>
      <w:r w:rsidRPr="00905551">
        <w:rPr>
          <w:rFonts w:ascii="Calibri" w:hAnsi="Calibri" w:cs="Calibri"/>
        </w:rPr>
        <w:t>synchronised</w:t>
      </w:r>
      <w:proofErr w:type="spellEnd"/>
      <w:r w:rsidRPr="00905551">
        <w:rPr>
          <w:rFonts w:ascii="Calibri" w:hAnsi="Calibri" w:cs="Calibri"/>
        </w:rPr>
        <w:t xml:space="preserve"> across banks (a shared activity driver), while securities-series errors are only ~50% common and credit/report errors are </w:t>
      </w:r>
      <w:r w:rsidRPr="00905551">
        <w:rPr>
          <w:rFonts w:ascii="Calibri" w:hAnsi="Calibri" w:cs="Calibri"/>
        </w:rPr>
        <w:lastRenderedPageBreak/>
        <w:t xml:space="preserve">largely idiosyncratic. This suggests: a consumption/activity indicator (e.g. retail-sales or card-turnover statistics) as a regressor for the payment series, and the Danish policy rate (freely available via the </w:t>
      </w:r>
      <w:proofErr w:type="spellStart"/>
      <w:r w:rsidRPr="00905551">
        <w:rPr>
          <w:rFonts w:ascii="Calibri" w:hAnsi="Calibri" w:cs="Calibri"/>
        </w:rPr>
        <w:t>Nationalbank</w:t>
      </w:r>
      <w:proofErr w:type="spellEnd"/>
      <w:r w:rsidRPr="00905551">
        <w:rPr>
          <w:rFonts w:ascii="Calibri" w:hAnsi="Calibri" w:cs="Calibri"/>
        </w:rPr>
        <w:t xml:space="preserve"> </w:t>
      </w:r>
      <w:proofErr w:type="spellStart"/>
      <w:r w:rsidRPr="00905551">
        <w:rPr>
          <w:rFonts w:ascii="Calibri" w:hAnsi="Calibri" w:cs="Calibri"/>
        </w:rPr>
        <w:t>statbank</w:t>
      </w:r>
      <w:proofErr w:type="spellEnd"/>
      <w:r w:rsidRPr="00905551">
        <w:rPr>
          <w:rFonts w:ascii="Calibri" w:hAnsi="Calibri" w:cs="Calibri"/>
        </w:rPr>
        <w:t xml:space="preserve"> API, table DNRENTM) for the securities-trading series</w:t>
      </w:r>
      <w:r w:rsidR="00905551" w:rsidRPr="00905551">
        <w:rPr>
          <w:rFonts w:ascii="Calibri" w:hAnsi="Calibri" w:cs="Calibri" w:hint="eastAsia"/>
        </w:rPr>
        <w:t>, because</w:t>
      </w:r>
      <w:r w:rsidRPr="00905551">
        <w:rPr>
          <w:rFonts w:ascii="Calibri" w:hAnsi="Calibri" w:cs="Calibri"/>
        </w:rPr>
        <w:t xml:space="preserve"> the rate is a plausible driver of trading activity. These should be tested with a single, simple regression each (the data is too</w:t>
      </w:r>
      <w:r w:rsidR="00905551" w:rsidRPr="00905551">
        <w:rPr>
          <w:rFonts w:ascii="Calibri" w:hAnsi="Calibri" w:cs="Calibri" w:hint="eastAsia"/>
        </w:rPr>
        <w:t xml:space="preserve"> small </w:t>
      </w:r>
      <w:r w:rsidRPr="00905551">
        <w:rPr>
          <w:rFonts w:ascii="Calibri" w:hAnsi="Calibri" w:cs="Calibri"/>
        </w:rPr>
        <w:t xml:space="preserve">for </w:t>
      </w:r>
      <w:r w:rsidR="00905551" w:rsidRPr="00905551">
        <w:rPr>
          <w:rFonts w:ascii="Calibri" w:hAnsi="Calibri" w:cs="Calibri" w:hint="eastAsia"/>
        </w:rPr>
        <w:t xml:space="preserve">complex </w:t>
      </w:r>
      <w:r w:rsidR="00905551" w:rsidRPr="00905551">
        <w:rPr>
          <w:rFonts w:ascii="Calibri" w:hAnsi="Calibri" w:cs="Calibri"/>
        </w:rPr>
        <w:t>models</w:t>
      </w:r>
      <w:r w:rsidRPr="00905551">
        <w:rPr>
          <w:rFonts w:ascii="Calibri" w:hAnsi="Calibri" w:cs="Calibri"/>
        </w:rPr>
        <w:t>)</w:t>
      </w:r>
      <w:r w:rsidR="00905551" w:rsidRPr="00905551">
        <w:rPr>
          <w:rFonts w:ascii="Calibri" w:hAnsi="Calibri" w:cs="Calibri" w:hint="eastAsia"/>
        </w:rPr>
        <w:t>.</w:t>
      </w:r>
    </w:p>
    <w:p w14:paraId="502DA0C9" w14:textId="6C8EC14C" w:rsidR="00EE041C" w:rsidRDefault="00EE041C">
      <w:pPr>
        <w:spacing w:after="120"/>
      </w:pPr>
    </w:p>
    <w:sectPr w:rsidR="00EE041C">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4B8"/>
    <w:multiLevelType w:val="hybridMultilevel"/>
    <w:tmpl w:val="5C7A52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F930C7"/>
    <w:multiLevelType w:val="multilevel"/>
    <w:tmpl w:val="E974A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0BA5943"/>
    <w:multiLevelType w:val="hybridMultilevel"/>
    <w:tmpl w:val="068C79B2"/>
    <w:lvl w:ilvl="0" w:tplc="3D483DD8">
      <w:start w:val="1"/>
      <w:numFmt w:val="decimal"/>
      <w:lvlText w:val="%1."/>
      <w:lvlJc w:val="left"/>
      <w:pPr>
        <w:ind w:left="720" w:hanging="360"/>
      </w:pPr>
      <w:rPr>
        <w:rFonts w:eastAsia="SimSu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3FF4BB2"/>
    <w:multiLevelType w:val="multilevel"/>
    <w:tmpl w:val="5390452E"/>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6A6170D"/>
    <w:multiLevelType w:val="hybridMultilevel"/>
    <w:tmpl w:val="3DBE24AE"/>
    <w:lvl w:ilvl="0" w:tplc="F522CA88">
      <w:start w:val="1"/>
      <w:numFmt w:val="decimal"/>
      <w:lvlText w:val="%1."/>
      <w:lvlJc w:val="left"/>
      <w:pPr>
        <w:ind w:left="720" w:hanging="360"/>
      </w:pPr>
      <w:rPr>
        <w:rFonts w:eastAsia="SimSu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16B47AE"/>
    <w:multiLevelType w:val="hybridMultilevel"/>
    <w:tmpl w:val="59822A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8E6099F"/>
    <w:multiLevelType w:val="hybridMultilevel"/>
    <w:tmpl w:val="7F7C5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94A4EE0"/>
    <w:multiLevelType w:val="multilevel"/>
    <w:tmpl w:val="744E2F4A"/>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7AB1EDB"/>
    <w:multiLevelType w:val="hybridMultilevel"/>
    <w:tmpl w:val="E15ABD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22563243">
    <w:abstractNumId w:val="3"/>
  </w:num>
  <w:num w:numId="2" w16cid:durableId="1726834452">
    <w:abstractNumId w:val="7"/>
  </w:num>
  <w:num w:numId="3" w16cid:durableId="1125319228">
    <w:abstractNumId w:val="1"/>
  </w:num>
  <w:num w:numId="4" w16cid:durableId="1420718286">
    <w:abstractNumId w:val="3"/>
    <w:lvlOverride w:ilvl="0">
      <w:startOverride w:val="1"/>
    </w:lvlOverride>
  </w:num>
  <w:num w:numId="5" w16cid:durableId="1067218498">
    <w:abstractNumId w:val="7"/>
    <w:lvlOverride w:ilvl="0">
      <w:startOverride w:val="1"/>
    </w:lvlOverride>
  </w:num>
  <w:num w:numId="6" w16cid:durableId="1298149119">
    <w:abstractNumId w:val="2"/>
  </w:num>
  <w:num w:numId="7" w16cid:durableId="1205604725">
    <w:abstractNumId w:val="4"/>
  </w:num>
  <w:num w:numId="8" w16cid:durableId="1982997106">
    <w:abstractNumId w:val="6"/>
  </w:num>
  <w:num w:numId="9" w16cid:durableId="191263271">
    <w:abstractNumId w:val="5"/>
  </w:num>
  <w:num w:numId="10" w16cid:durableId="1696613416">
    <w:abstractNumId w:val="8"/>
  </w:num>
  <w:num w:numId="11" w16cid:durableId="40383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41C"/>
    <w:rsid w:val="00426AFA"/>
    <w:rsid w:val="00905551"/>
    <w:rsid w:val="00B57616"/>
    <w:rsid w:val="00CA4896"/>
    <w:rsid w:val="00EE041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B8969"/>
  <w15:docId w15:val="{3B48E0EF-C4A6-4A65-8572-AFC092FE8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Arial"/>
    </w:rPr>
  </w:style>
  <w:style w:type="paragraph" w:styleId="Heading1">
    <w:name w:val="heading 1"/>
    <w:basedOn w:val="Heading"/>
    <w:uiPriority w:val="9"/>
    <w:qFormat/>
    <w:pPr>
      <w:spacing w:before="280" w:after="160"/>
      <w:outlineLvl w:val="0"/>
    </w:pPr>
    <w:rPr>
      <w:rFonts w:ascii="Arial" w:eastAsia="Arial" w:hAnsi="Arial" w:cs="Arial"/>
      <w:b/>
      <w:bCs/>
      <w:color w:val="1F3864"/>
      <w:sz w:val="32"/>
      <w:szCs w:val="32"/>
    </w:rPr>
  </w:style>
  <w:style w:type="paragraph" w:styleId="Heading2">
    <w:name w:val="heading 2"/>
    <w:basedOn w:val="Heading"/>
    <w:uiPriority w:val="9"/>
    <w:unhideWhenUsed/>
    <w:qFormat/>
    <w:pPr>
      <w:spacing w:before="220"/>
      <w:outlineLvl w:val="1"/>
    </w:pPr>
    <w:rPr>
      <w:rFonts w:ascii="Arial" w:eastAsia="Arial" w:hAnsi="Arial" w:cs="Arial"/>
      <w:b/>
      <w:bCs/>
      <w:color w:val="1F3864"/>
      <w:sz w:val="26"/>
      <w:szCs w:val="26"/>
    </w:rPr>
  </w:style>
  <w:style w:type="paragraph" w:styleId="Heading3">
    <w:name w:val="heading 3"/>
    <w:basedOn w:val="Heading"/>
    <w:uiPriority w:val="9"/>
    <w:semiHidden/>
    <w:unhideWhenUsed/>
    <w:qFormat/>
    <w:pPr>
      <w:spacing w:before="160" w:after="100"/>
      <w:outlineLvl w:val="2"/>
    </w:pPr>
    <w:rPr>
      <w:rFonts w:ascii="Arial" w:eastAsia="Arial" w:hAnsi="Arial" w:cs="Arial"/>
      <w:b/>
      <w:bCs/>
      <w:sz w:val="23"/>
      <w:szCs w:val="23"/>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rFonts w:eastAsia="Arial"/>
      <w:b/>
      <w:bCs/>
    </w:rPr>
  </w:style>
  <w:style w:type="paragraph" w:styleId="ListParagraph">
    <w:name w:val="List Paragraph"/>
    <w:qFormat/>
    <w:rPr>
      <w:rFonts w:eastAsia="Arial"/>
    </w:rPr>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Ruyi Zhong</dc:creator>
  <cp:lastModifiedBy>Ruyi Zhong</cp:lastModifiedBy>
  <cp:revision>2</cp:revision>
  <dcterms:created xsi:type="dcterms:W3CDTF">2026-06-14T22:23:00Z</dcterms:created>
  <dcterms:modified xsi:type="dcterms:W3CDTF">2026-06-14T22:23:00Z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2026-06-14T21:51:32Z</dcterms:created>
  <dc:creator>Un-named</dc:creator>
  <dc:description/>
  <dc:language>en-US</dc:language>
  <cp:lastModifiedBy>Un-named</cp:lastModifiedBy>
  <dcterms:modified xsi:type="dcterms:W3CDTF">2026-06-14T21:51:32Z</dcterms:modified>
  <cp:revision>1</cp:revision>
  <dc:subject/>
  <dc:title/>
</cp:coreProperties>
</file>