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0B2338"/>
          <w:sz w:val="40"/>
          <w:szCs w:val="40"/>
        </w:rPr>
        <w:t xml:space="preserve">NINDGE AUTOMOBILE</w:t>
      </w:r>
    </w:p>
    <w:p>
      <w:pPr>
        <w:spacing w:after="300"/>
        <w:jc w:val="center"/>
      </w:pPr>
      <w:r>
        <w:rPr>
          <w:rFonts w:ascii="Calibri" w:cs="Calibri" w:eastAsia="Calibri" w:hAnsi="Calibri"/>
          <w:b/>
          <w:bCs/>
          <w:color w:val="B24A17"/>
          <w:spacing w:val="20"/>
          <w:sz w:val="18"/>
          <w:szCs w:val="18"/>
        </w:rPr>
        <w:t xml:space="preserve">EXPORTACIÓN DIRECTA · FÁBRICA CHINA → PUERTO LATINOAMÉRICA</w:t>
      </w:r>
    </w:p>
    <w:p>
      <w:pPr>
        <w:spacing w:after="60"/>
        <w:jc w:val="center"/>
      </w:pPr>
      <w:r>
        <w:rPr>
          <w:rFonts w:ascii="Georgia" w:cs="Georgia" w:eastAsia="Georgia" w:hAnsi="Georgia"/>
          <w:b/>
          <w:bCs/>
          <w:color w:val="0B2338"/>
          <w:sz w:val="28"/>
          <w:szCs w:val="28"/>
        </w:rPr>
        <w:t xml:space="preserve">CONTRATO MARCO INTERNACIONAL DE COMPRAVENTA Y EXPORTACIÓN</w:t>
      </w:r>
    </w:p>
    <w:p>
      <w:pPr>
        <w:spacing w:after="400"/>
        <w:jc w:val="center"/>
      </w:pPr>
      <w:r>
        <w:rPr>
          <w:rFonts w:ascii="Calibri" w:cs="Calibri" w:eastAsia="Calibri" w:hAnsi="Calibri"/>
          <w:color w:val="4C6572"/>
          <w:sz w:val="20"/>
          <w:szCs w:val="20"/>
        </w:rPr>
        <w:t xml:space="preserve">MODALIDAD CIF (COST, INSURANCE AND FREIGHT)</w:t>
      </w:r>
    </w:p>
    <w:p>
      <w:pPr>
        <w:pBdr>
          <w:left w:val="single" w:color="B24A17" w:sz="18" w:space="8"/>
        </w:pBdr>
        <w:shd w:fill="FCEFE6" w:val="clear"/>
        <w:spacing w:after="200"/>
      </w:pPr>
      <w:r>
        <w:rPr>
          <w:rFonts w:ascii="Calibri" w:cs="Calibri" w:eastAsia="Calibri" w:hAnsi="Calibri"/>
          <w:i/>
          <w:iCs/>
          <w:color w:val="8A4A1E"/>
          <w:sz w:val="19"/>
          <w:szCs w:val="19"/>
        </w:rPr>
        <w:t xml:space="preserve">COMPLETAR: Nombre legal completo de la entidad registradora (ej. "[Razón Social] S.A."), país de constitución, y datos de contacto oficiales (correo, teléfono/WhatsApp, dirección).</w:t>
      </w:r>
    </w:p>
    <w:p>
      <w:pPr>
        <w:pStyle w:val="Heading1"/>
        <w:pBdr>
          <w:bottom w:val="single" w:color="B24A17" w:sz="6" w:space="6"/>
        </w:pBdr>
        <w:spacing w:after="160" w:before="200"/>
      </w:pPr>
      <w:r>
        <w:rPr>
          <w:rFonts w:ascii="Georgia" w:cs="Georgia" w:eastAsia="Georgia" w:hAnsi="Georgia"/>
          <w:b/>
          <w:bCs/>
          <w:color w:val="0B2338"/>
          <w:sz w:val="26"/>
          <w:szCs w:val="26"/>
        </w:rPr>
        <w:t xml:space="preserve">Preámbulo</w:t>
      </w:r>
    </w:p>
    <w:p>
      <w:pPr>
        <w:spacing w:after="160" w:line="300"/>
      </w:pPr>
      <w:r>
        <w:rPr>
          <w:rFonts w:ascii="Calibri" w:cs="Calibri" w:eastAsia="Calibri" w:hAnsi="Calibri"/>
          <w:sz w:val="21"/>
          <w:szCs w:val="21"/>
        </w:rPr>
        <w:t xml:space="preserve">El presente Contrato Marco Internacional de Compraventa y Exportación (el "Contrato") regula las condiciones generales aplicables a las operaciones comerciales realizadas entre Nindge Automobile, operado por [Nombre Legal de la Entidad] (en adelante, el "Vendedor"), y el cliente identificado en la sección correspondiente del presente documento (en adelante, el "Comprador").</w:t>
      </w:r>
    </w:p>
    <w:p>
      <w:pPr>
        <w:spacing w:after="160" w:line="300"/>
      </w:pPr>
      <w:r>
        <w:rPr>
          <w:rFonts w:ascii="Calibri" w:cs="Calibri" w:eastAsia="Calibri" w:hAnsi="Calibri"/>
          <w:sz w:val="21"/>
          <w:szCs w:val="21"/>
        </w:rPr>
        <w:t xml:space="preserve">El Vendedor suministra vehículos, camiones, maquinaria, equipos industriales, repuestos y componentes bajo la modalidad internacional CIF (Cost, Insurance and Freight), de conformidad con los Incoterms® vigentes publicados por la Cámara de Comercio Internacional (ICC).</w:t>
      </w:r>
    </w:p>
    <w:p>
      <w:pPr>
        <w:spacing w:after="160" w:line="300"/>
      </w:pPr>
      <w:r>
        <w:rPr>
          <w:rFonts w:ascii="Calibri" w:cs="Calibri" w:eastAsia="Calibri" w:hAnsi="Calibri"/>
          <w:sz w:val="21"/>
          <w:szCs w:val="21"/>
        </w:rPr>
        <w:t xml:space="preserve">Nuestro objetivo con este Contrato es que usted sepa exactamente qué esperar en cada etapa de la operación — qué cubre nuestro precio, qué le corresponde gestionar a usted en el país de destino, y cuáles son sus garantías como Comprador. Las condiciones específicas de cada operación (mercancía, valor CIF, puerto de destino, condiciones de pago) se definen en la Factura Proforma correspondiente, la cual forma parte integral de este Contrato.</w:t>
      </w:r>
    </w:p>
    <w:p>
      <w:pPr>
        <w:pStyle w:val="Heading2"/>
        <w:spacing w:after="100" w:before="280"/>
      </w:pPr>
      <w:r>
        <w:rPr>
          <w:rFonts w:ascii="Georgia" w:cs="Georgia" w:eastAsia="Georgia" w:hAnsi="Georgia"/>
          <w:b/>
          <w:bCs/>
          <w:color w:val="B24A17"/>
          <w:sz w:val="22"/>
          <w:szCs w:val="22"/>
        </w:rPr>
        <w:t xml:space="preserve">ARTÍCULO 1 — </w:t>
      </w:r>
      <w:r>
        <w:rPr>
          <w:rFonts w:ascii="Georgia" w:cs="Georgia" w:eastAsia="Georgia" w:hAnsi="Georgia"/>
          <w:b/>
          <w:bCs/>
          <w:color w:val="0B2338"/>
          <w:sz w:val="22"/>
          <w:szCs w:val="22"/>
        </w:rPr>
        <w:t xml:space="preserve">OBJETO</w:t>
      </w:r>
    </w:p>
    <w:p>
      <w:pPr>
        <w:spacing w:after="160" w:line="300"/>
      </w:pPr>
      <w:r>
        <w:rPr>
          <w:rFonts w:ascii="Calibri" w:cs="Calibri" w:eastAsia="Calibri" w:hAnsi="Calibri"/>
          <w:sz w:val="21"/>
          <w:szCs w:val="21"/>
        </w:rPr>
        <w:t xml:space="preserve">El presente Contrato regula las condiciones generales aplicables a la compraventa internacional, exportación y suministro de mercancías desde la República Popular China hasta el puerto de destino acordado entre las partes, bajo la modalidad CIF, de conformidad con los Incoterms® vigentes.</w:t>
      </w:r>
    </w:p>
    <w:p>
      <w:pPr>
        <w:pStyle w:val="Heading2"/>
        <w:spacing w:after="100" w:before="280"/>
      </w:pPr>
      <w:r>
        <w:rPr>
          <w:rFonts w:ascii="Georgia" w:cs="Georgia" w:eastAsia="Georgia" w:hAnsi="Georgia"/>
          <w:b/>
          <w:bCs/>
          <w:color w:val="B24A17"/>
          <w:sz w:val="22"/>
          <w:szCs w:val="22"/>
        </w:rPr>
        <w:t xml:space="preserve">ARTÍCULO 2 — </w:t>
      </w:r>
      <w:r>
        <w:rPr>
          <w:rFonts w:ascii="Georgia" w:cs="Georgia" w:eastAsia="Georgia" w:hAnsi="Georgia"/>
          <w:b/>
          <w:bCs/>
          <w:color w:val="0B2338"/>
          <w:sz w:val="22"/>
          <w:szCs w:val="22"/>
        </w:rPr>
        <w:t xml:space="preserve">PRODUCTOS</w:t>
      </w:r>
    </w:p>
    <w:p>
      <w:pPr>
        <w:spacing w:after="160" w:line="300"/>
      </w:pPr>
      <w:r>
        <w:rPr>
          <w:rFonts w:ascii="Calibri" w:cs="Calibri" w:eastAsia="Calibri" w:hAnsi="Calibri"/>
          <w:sz w:val="21"/>
          <w:szCs w:val="21"/>
        </w:rPr>
        <w:t xml:space="preserve">Las mercancías objeto del presente Contrato podrán incluir vehículos particulares, sedanes, SUV, pickups, camiones comerciales, volquetas, maquinaria pesada, equipos de construcción, equipos agrícolas, equipos industriales, repuestos automotrices y demás mercancías relacionadas.</w:t>
      </w:r>
    </w:p>
    <w:p>
      <w:pPr>
        <w:spacing w:after="160" w:line="300"/>
      </w:pPr>
      <w:r>
        <w:rPr>
          <w:rFonts w:ascii="Calibri" w:cs="Calibri" w:eastAsia="Calibri" w:hAnsi="Calibri"/>
          <w:sz w:val="21"/>
          <w:szCs w:val="21"/>
        </w:rPr>
        <w:t xml:space="preserve">Cada unidad se identifica en nuestro catálogo con su condición correspondiente:</w:t>
      </w:r>
    </w:p>
    <w:p>
      <w:pPr>
        <w:spacing w:after="60"/>
        <w:ind w:left="360"/>
      </w:pPr>
      <w:r>
        <w:rPr>
          <w:rFonts w:ascii="Calibri" w:cs="Calibri" w:eastAsia="Calibri" w:hAnsi="Calibri"/>
          <w:sz w:val="21"/>
          <w:szCs w:val="21"/>
        </w:rPr>
        <w:t xml:space="preserve">•  Kilometraje de fábrica — unidad nueva, con kilometraje correspondiente únicamente al traslado interno en fábrica.</w:t>
      </w:r>
    </w:p>
    <w:p>
      <w:pPr>
        <w:spacing w:after="60"/>
        <w:ind w:left="360"/>
      </w:pPr>
      <w:r>
        <w:rPr>
          <w:rFonts w:ascii="Calibri" w:cs="Calibri" w:eastAsia="Calibri" w:hAnsi="Calibri"/>
          <w:sz w:val="21"/>
          <w:szCs w:val="21"/>
        </w:rPr>
        <w:t xml:space="preserve">•  Usada — unidad con historial de uso, ofrecida con año, kilometraje aproximado e inspección previa disponible.</w:t>
      </w:r>
    </w:p>
    <w:p>
      <w:pPr>
        <w:spacing w:after="160" w:line="300"/>
      </w:pPr>
      <w:r>
        <w:rPr>
          <w:rFonts w:ascii="Calibri" w:cs="Calibri" w:eastAsia="Calibri" w:hAnsi="Calibri"/>
          <w:sz w:val="21"/>
          <w:szCs w:val="21"/>
        </w:rPr>
        <w:t xml:space="preserve">La descripción, cantidad, especificaciones, condición, valor CIF, puerto de destino y demás condiciones de cada operación se detallan en la Factura Proforma correspondiente.</w:t>
      </w:r>
    </w:p>
    <w:p>
      <w:pPr>
        <w:pStyle w:val="Heading2"/>
        <w:spacing w:after="100" w:before="280"/>
      </w:pPr>
      <w:r>
        <w:rPr>
          <w:rFonts w:ascii="Georgia" w:cs="Georgia" w:eastAsia="Georgia" w:hAnsi="Georgia"/>
          <w:b/>
          <w:bCs/>
          <w:color w:val="B24A17"/>
          <w:sz w:val="22"/>
          <w:szCs w:val="22"/>
        </w:rPr>
        <w:t xml:space="preserve">ARTÍCULO 3 — </w:t>
      </w:r>
      <w:r>
        <w:rPr>
          <w:rFonts w:ascii="Georgia" w:cs="Georgia" w:eastAsia="Georgia" w:hAnsi="Georgia"/>
          <w:b/>
          <w:bCs/>
          <w:color w:val="0B2338"/>
          <w:sz w:val="22"/>
          <w:szCs w:val="22"/>
        </w:rPr>
        <w:t xml:space="preserve">DEFINICIONES</w:t>
      </w:r>
    </w:p>
    <w:p>
      <w:pPr>
        <w:spacing w:after="160" w:line="300"/>
      </w:pPr>
      <w:r>
        <w:rPr>
          <w:rFonts w:ascii="Calibri" w:cs="Calibri" w:eastAsia="Calibri" w:hAnsi="Calibri"/>
          <w:sz w:val="21"/>
          <w:szCs w:val="21"/>
        </w:rPr>
        <w:t xml:space="preserve">Factura Proforma: documento emitido por el Vendedor con la descripción de la mercancía, valor CIF, condiciones de pago, puerto de destino y vigencia de la cotización.</w:t>
      </w:r>
    </w:p>
    <w:p>
      <w:pPr>
        <w:spacing w:after="160" w:line="300"/>
      </w:pPr>
      <w:r>
        <w:rPr>
          <w:rFonts w:ascii="Calibri" w:cs="Calibri" w:eastAsia="Calibri" w:hAnsi="Calibri"/>
          <w:sz w:val="21"/>
          <w:szCs w:val="21"/>
        </w:rPr>
        <w:t xml:space="preserve">CIF (Cost, Insurance and Freight): modalidad conforme a los Incoterms® vigentes, mediante la cual el Vendedor suministra la mercancía hasta el puerto de destino acordado, incluyendo el costo de la mercancía, el flete marítimo internacional y el seguro de transporte.</w:t>
      </w:r>
    </w:p>
    <w:p>
      <w:pPr>
        <w:spacing w:after="160" w:line="300"/>
      </w:pPr>
      <w:r>
        <w:rPr>
          <w:rFonts w:ascii="Calibri" w:cs="Calibri" w:eastAsia="Calibri" w:hAnsi="Calibri"/>
          <w:sz w:val="21"/>
          <w:szCs w:val="21"/>
        </w:rPr>
        <w:t xml:space="preserve">Puerto de Destino: puerto internacional acordado entre las partes y especificado en la Factura Proforma.</w:t>
      </w:r>
    </w:p>
    <w:p>
      <w:pPr>
        <w:spacing w:after="160" w:line="300"/>
      </w:pPr>
      <w:r>
        <w:rPr>
          <w:rFonts w:ascii="Calibri" w:cs="Calibri" w:eastAsia="Calibri" w:hAnsi="Calibri"/>
          <w:sz w:val="21"/>
          <w:szCs w:val="21"/>
        </w:rPr>
        <w:t xml:space="preserve">Mercancía: vehículos, camiones, maquinaria, equipos industriales, repuestos y demás productos objeto de la operación.</w:t>
      </w:r>
    </w:p>
    <w:p>
      <w:pPr>
        <w:pStyle w:val="Heading2"/>
        <w:spacing w:after="100" w:before="280"/>
      </w:pPr>
      <w:r>
        <w:rPr>
          <w:rFonts w:ascii="Georgia" w:cs="Georgia" w:eastAsia="Georgia" w:hAnsi="Georgia"/>
          <w:b/>
          <w:bCs/>
          <w:color w:val="B24A17"/>
          <w:sz w:val="22"/>
          <w:szCs w:val="22"/>
        </w:rPr>
        <w:t xml:space="preserve">ARTÍCULO 4 — </w:t>
      </w:r>
      <w:r>
        <w:rPr>
          <w:rFonts w:ascii="Georgia" w:cs="Georgia" w:eastAsia="Georgia" w:hAnsi="Georgia"/>
          <w:b/>
          <w:bCs/>
          <w:color w:val="0B2338"/>
          <w:sz w:val="22"/>
          <w:szCs w:val="22"/>
        </w:rPr>
        <w:t xml:space="preserve">PRECIO</w:t>
      </w:r>
    </w:p>
    <w:p>
      <w:pPr>
        <w:spacing w:after="160" w:line="300"/>
      </w:pPr>
      <w:r>
        <w:rPr>
          <w:rFonts w:ascii="Calibri" w:cs="Calibri" w:eastAsia="Calibri" w:hAnsi="Calibri"/>
          <w:sz w:val="21"/>
          <w:szCs w:val="21"/>
        </w:rPr>
        <w:t xml:space="preserve">El precio total de cada operación es el valor CIF indicado en la Factura Proforma. Esta puede incluir, con fines informativos, un desglose del valor de la operación (mercancía, transporte interno en China, costos de exportación, flete marítimo, seguro, documentación). Este desglose es referencial y no modifica el precio comercial total acordado.</w:t>
      </w:r>
    </w:p>
    <w:p>
      <w:pPr>
        <w:spacing w:after="160" w:line="300"/>
      </w:pPr>
      <w:r>
        <w:rPr>
          <w:rFonts w:ascii="Calibri" w:cs="Calibri" w:eastAsia="Calibri" w:hAnsi="Calibri"/>
          <w:sz w:val="21"/>
          <w:szCs w:val="21"/>
        </w:rPr>
        <w:t xml:space="preserve">Todos los valores se expresan en dólares estadounidenses (USD), salvo acuerdo escrito distinto entre las partes.</w:t>
      </w:r>
    </w:p>
    <w:p>
      <w:pPr>
        <w:pStyle w:val="Heading2"/>
        <w:spacing w:after="100" w:before="280"/>
      </w:pPr>
      <w:r>
        <w:rPr>
          <w:rFonts w:ascii="Georgia" w:cs="Georgia" w:eastAsia="Georgia" w:hAnsi="Georgia"/>
          <w:b/>
          <w:bCs/>
          <w:color w:val="B24A17"/>
          <w:sz w:val="22"/>
          <w:szCs w:val="22"/>
        </w:rPr>
        <w:t xml:space="preserve">ARTÍCULO 5 — </w:t>
      </w:r>
      <w:r>
        <w:rPr>
          <w:rFonts w:ascii="Georgia" w:cs="Georgia" w:eastAsia="Georgia" w:hAnsi="Georgia"/>
          <w:b/>
          <w:bCs/>
          <w:color w:val="0B2338"/>
          <w:sz w:val="22"/>
          <w:szCs w:val="22"/>
        </w:rPr>
        <w:t xml:space="preserve">MONEDA Y MÉTODO DE PAGO</w:t>
      </w:r>
    </w:p>
    <w:p>
      <w:pPr>
        <w:spacing w:after="160" w:line="300"/>
      </w:pPr>
      <w:r>
        <w:rPr>
          <w:rFonts w:ascii="Calibri" w:cs="Calibri" w:eastAsia="Calibri" w:hAnsi="Calibri"/>
          <w:sz w:val="21"/>
          <w:szCs w:val="21"/>
        </w:rPr>
        <w:t xml:space="preserve">El Comprador puede liquidar el valor de la operación mediante cualquiera de las siguientes opciones, según lo acordado en la Factura Proforma:</w:t>
      </w:r>
    </w:p>
    <w:p>
      <w:pPr>
        <w:spacing w:after="60"/>
        <w:ind w:left="360"/>
      </w:pPr>
      <w:r>
        <w:rPr>
          <w:rFonts w:ascii="Calibri" w:cs="Calibri" w:eastAsia="Calibri" w:hAnsi="Calibri"/>
          <w:sz w:val="21"/>
          <w:szCs w:val="21"/>
        </w:rPr>
        <w:t xml:space="preserve">•  Transferencia bancaria en dólares estadounidenses (USD).</w:t>
      </w:r>
    </w:p>
    <w:p>
      <w:pPr>
        <w:spacing w:after="60"/>
        <w:ind w:left="360"/>
      </w:pPr>
      <w:r>
        <w:rPr>
          <w:rFonts w:ascii="Calibri" w:cs="Calibri" w:eastAsia="Calibri" w:hAnsi="Calibri"/>
          <w:sz w:val="21"/>
          <w:szCs w:val="21"/>
        </w:rPr>
        <w:t xml:space="preserve">•  USDT (Tether), disponible como alternativa para destinos donde el acceso a la banca internacional en USD es limitado.</w:t>
      </w:r>
    </w:p>
    <w:p>
      <w:pPr>
        <w:spacing w:after="160" w:line="300"/>
      </w:pPr>
      <w:r>
        <w:rPr>
          <w:rFonts w:ascii="Calibri" w:cs="Calibri" w:eastAsia="Calibri" w:hAnsi="Calibri"/>
          <w:sz w:val="21"/>
          <w:szCs w:val="21"/>
        </w:rPr>
        <w:t xml:space="preserve">Los pagos únicamente deben realizarse a las cuentas bancarias o direcciones de billetera digital oficiales, comunicadas por el Vendedor a través de sus canales corporativos verificados. Recomendamos al Comprador confirmar los datos de pago directamente con nuestro equipo antes de cada transferencia — con gusto verificamos esta información en cualquier momento.</w:t>
      </w:r>
    </w:p>
    <w:p>
      <w:pPr>
        <w:pStyle w:val="Heading2"/>
        <w:spacing w:after="100" w:before="280"/>
      </w:pPr>
      <w:r>
        <w:rPr>
          <w:rFonts w:ascii="Georgia" w:cs="Georgia" w:eastAsia="Georgia" w:hAnsi="Georgia"/>
          <w:b/>
          <w:bCs/>
          <w:color w:val="B24A17"/>
          <w:sz w:val="22"/>
          <w:szCs w:val="22"/>
        </w:rPr>
        <w:t xml:space="preserve">ARTÍCULO 6 — </w:t>
      </w:r>
      <w:r>
        <w:rPr>
          <w:rFonts w:ascii="Georgia" w:cs="Georgia" w:eastAsia="Georgia" w:hAnsi="Georgia"/>
          <w:b/>
          <w:bCs/>
          <w:color w:val="0B2338"/>
          <w:sz w:val="22"/>
          <w:szCs w:val="22"/>
        </w:rPr>
        <w:t xml:space="preserve">CONDICIONES DE PAGO</w:t>
      </w:r>
    </w:p>
    <w:p>
      <w:pPr>
        <w:spacing w:after="160" w:line="300"/>
      </w:pPr>
      <w:r>
        <w:rPr>
          <w:rFonts w:ascii="Calibri" w:cs="Calibri" w:eastAsia="Calibri" w:hAnsi="Calibri"/>
          <w:sz w:val="21"/>
          <w:szCs w:val="21"/>
        </w:rPr>
        <w:t xml:space="preserve">El Comprador realiza un pago inicial equivalente al cuarenta por ciento (40%) del valor CIF total indicado en la Factura Proforma. Una vez confirmado, el Vendedor inicia los procedimientos de adquisición, verificación, preparación, coordinación logística, documentación de exportación y reserva del transporte internacional.</w:t>
      </w:r>
    </w:p>
    <w:p>
      <w:pPr>
        <w:spacing w:after="160" w:line="300"/>
      </w:pPr>
      <w:r>
        <w:rPr>
          <w:rFonts w:ascii="Calibri" w:cs="Calibri" w:eastAsia="Calibri" w:hAnsi="Calibri"/>
          <w:sz w:val="21"/>
          <w:szCs w:val="21"/>
        </w:rPr>
        <w:t xml:space="preserve">El sesenta por ciento (60%) restante se cancela una vez que la mercancía arriba al puerto de destino acordado, antes de la liberación de los documentos originales de embarque.</w:t>
      </w:r>
    </w:p>
    <w:p>
      <w:pPr>
        <w:spacing w:after="160" w:line="300"/>
      </w:pPr>
      <w:r>
        <w:rPr>
          <w:rFonts w:ascii="Calibri" w:cs="Calibri" w:eastAsia="Calibri" w:hAnsi="Calibri"/>
          <w:sz w:val="21"/>
          <w:szCs w:val="21"/>
        </w:rPr>
        <w:t xml:space="preserve">Si el saldo no se cancela conforme a lo acordado, el Vendedor podrá retener la documentación original hasta que la obligación económica sea cumplida en su totalidad. Ante cualquier inconveniente con el pago del saldo, invitamos al Comprador a comunicarse con nuestro equipo — trabajamos con cada cliente para encontrar una solución razonable antes de aplicar esta medida.</w:t>
      </w:r>
    </w:p>
    <w:p>
      <w:pPr>
        <w:pStyle w:val="Heading2"/>
        <w:spacing w:after="100" w:before="280"/>
      </w:pPr>
      <w:r>
        <w:rPr>
          <w:rFonts w:ascii="Georgia" w:cs="Georgia" w:eastAsia="Georgia" w:hAnsi="Georgia"/>
          <w:b/>
          <w:bCs/>
          <w:color w:val="B24A17"/>
          <w:sz w:val="22"/>
          <w:szCs w:val="22"/>
        </w:rPr>
        <w:t xml:space="preserve">ARTÍCULO 7 — </w:t>
      </w:r>
      <w:r>
        <w:rPr>
          <w:rFonts w:ascii="Georgia" w:cs="Georgia" w:eastAsia="Georgia" w:hAnsi="Georgia"/>
          <w:b/>
          <w:bCs/>
          <w:color w:val="0B2338"/>
          <w:sz w:val="22"/>
          <w:szCs w:val="22"/>
        </w:rPr>
        <w:t xml:space="preserve">TRANSFERENCIA DE PROPIEDAD</w:t>
      </w:r>
    </w:p>
    <w:p>
      <w:pPr>
        <w:spacing w:after="160" w:line="300"/>
      </w:pPr>
      <w:r>
        <w:rPr>
          <w:rFonts w:ascii="Calibri" w:cs="Calibri" w:eastAsia="Calibri" w:hAnsi="Calibri"/>
          <w:sz w:val="21"/>
          <w:szCs w:val="21"/>
        </w:rPr>
        <w:t xml:space="preserve">La propiedad legal de la mercancía permanece en posesión del Vendedor hasta que el Comprador haya efectuado el pago total (100%) del valor CIF indicado en la Factura Proforma. La transferencia de propiedad no afecta la distribución de responsabilidades establecida por la modalidad CIF conforme a los Incoterms® vigentes.</w:t>
      </w:r>
    </w:p>
    <w:p>
      <w:pPr>
        <w:pStyle w:val="Heading2"/>
        <w:spacing w:after="100" w:before="280"/>
      </w:pPr>
      <w:r>
        <w:rPr>
          <w:rFonts w:ascii="Georgia" w:cs="Georgia" w:eastAsia="Georgia" w:hAnsi="Georgia"/>
          <w:b/>
          <w:bCs/>
          <w:color w:val="B24A17"/>
          <w:sz w:val="22"/>
          <w:szCs w:val="22"/>
        </w:rPr>
        <w:t xml:space="preserve">ARTÍCULO 8 — </w:t>
      </w:r>
      <w:r>
        <w:rPr>
          <w:rFonts w:ascii="Georgia" w:cs="Georgia" w:eastAsia="Georgia" w:hAnsi="Georgia"/>
          <w:b/>
          <w:bCs/>
          <w:color w:val="0B2338"/>
          <w:sz w:val="22"/>
          <w:szCs w:val="22"/>
        </w:rPr>
        <w:t xml:space="preserve">LIBERACIÓN DOCUMENTAL</w:t>
      </w:r>
    </w:p>
    <w:p>
      <w:pPr>
        <w:spacing w:after="160" w:line="300"/>
      </w:pPr>
      <w:r>
        <w:rPr>
          <w:rFonts w:ascii="Calibri" w:cs="Calibri" w:eastAsia="Calibri" w:hAnsi="Calibri"/>
          <w:sz w:val="21"/>
          <w:szCs w:val="21"/>
        </w:rPr>
        <w:t xml:space="preserve">La liberación de los documentos originales de embarque queda condicionada al pago total (100%) del valor CIF. Una vez confirmado, el Vendedor libera la documentación correspondiente para que el Comprador pueda efectuar los trámites de importación y tomar posesión de la mercancía en el puerto de destino. Esta documentación incluye, cuando corresponda:</w:t>
      </w:r>
    </w:p>
    <w:p>
      <w:pPr>
        <w:spacing w:after="60"/>
        <w:ind w:left="360"/>
      </w:pPr>
      <w:r>
        <w:rPr>
          <w:rFonts w:ascii="Calibri" w:cs="Calibri" w:eastAsia="Calibri" w:hAnsi="Calibri"/>
          <w:sz w:val="21"/>
          <w:szCs w:val="21"/>
        </w:rPr>
        <w:t xml:space="preserve">•  Bill of Lading (B/L)</w:t>
      </w:r>
    </w:p>
    <w:p>
      <w:pPr>
        <w:spacing w:after="60"/>
        <w:ind w:left="360"/>
      </w:pPr>
      <w:r>
        <w:rPr>
          <w:rFonts w:ascii="Calibri" w:cs="Calibri" w:eastAsia="Calibri" w:hAnsi="Calibri"/>
          <w:sz w:val="21"/>
          <w:szCs w:val="21"/>
        </w:rPr>
        <w:t xml:space="preserve">•  Factura Comercial (Commercial Invoice)</w:t>
      </w:r>
    </w:p>
    <w:p>
      <w:pPr>
        <w:spacing w:after="60"/>
        <w:ind w:left="360"/>
      </w:pPr>
      <w:r>
        <w:rPr>
          <w:rFonts w:ascii="Calibri" w:cs="Calibri" w:eastAsia="Calibri" w:hAnsi="Calibri"/>
          <w:sz w:val="21"/>
          <w:szCs w:val="21"/>
        </w:rPr>
        <w:t xml:space="preserve">•  Lista de Empaque (Packing List)</w:t>
      </w:r>
    </w:p>
    <w:p>
      <w:pPr>
        <w:spacing w:after="60"/>
        <w:ind w:left="360"/>
      </w:pPr>
      <w:r>
        <w:rPr>
          <w:rFonts w:ascii="Calibri" w:cs="Calibri" w:eastAsia="Calibri" w:hAnsi="Calibri"/>
          <w:sz w:val="21"/>
          <w:szCs w:val="21"/>
        </w:rPr>
        <w:t xml:space="preserve">•  Certificado de Origen</w:t>
      </w:r>
    </w:p>
    <w:p>
      <w:pPr>
        <w:spacing w:after="60"/>
        <w:ind w:left="360"/>
      </w:pPr>
      <w:r>
        <w:rPr>
          <w:rFonts w:ascii="Calibri" w:cs="Calibri" w:eastAsia="Calibri" w:hAnsi="Calibri"/>
          <w:sz w:val="21"/>
          <w:szCs w:val="21"/>
        </w:rPr>
        <w:t xml:space="preserve">•  Certificados del fabricante, cuando sean aplicables</w:t>
      </w:r>
    </w:p>
    <w:p>
      <w:pPr>
        <w:spacing w:after="60"/>
        <w:ind w:left="360"/>
      </w:pPr>
      <w:r>
        <w:rPr>
          <w:rFonts w:ascii="Calibri" w:cs="Calibri" w:eastAsia="Calibri" w:hAnsi="Calibri"/>
          <w:sz w:val="21"/>
          <w:szCs w:val="21"/>
        </w:rPr>
        <w:t xml:space="preserve">•  Documentación de exportación</w:t>
      </w:r>
    </w:p>
    <w:p>
      <w:pPr>
        <w:pStyle w:val="Heading2"/>
        <w:spacing w:after="100" w:before="280"/>
      </w:pPr>
      <w:r>
        <w:rPr>
          <w:rFonts w:ascii="Georgia" w:cs="Georgia" w:eastAsia="Georgia" w:hAnsi="Georgia"/>
          <w:b/>
          <w:bCs/>
          <w:color w:val="B24A17"/>
          <w:sz w:val="22"/>
          <w:szCs w:val="22"/>
        </w:rPr>
        <w:t xml:space="preserve">ARTÍCULO 9 — </w:t>
      </w:r>
      <w:r>
        <w:rPr>
          <w:rFonts w:ascii="Georgia" w:cs="Georgia" w:eastAsia="Georgia" w:hAnsi="Georgia"/>
          <w:b/>
          <w:bCs/>
          <w:color w:val="0B2338"/>
          <w:sz w:val="22"/>
          <w:szCs w:val="22"/>
        </w:rPr>
        <w:t xml:space="preserve">MODALIDAD CIF — RESPONSABILIDADES</w:t>
      </w:r>
    </w:p>
    <w:p>
      <w:pPr>
        <w:spacing w:after="160" w:line="300"/>
      </w:pPr>
      <w:r>
        <w:rPr>
          <w:rFonts w:ascii="Calibri" w:cs="Calibri" w:eastAsia="Calibri" w:hAnsi="Calibri"/>
          <w:sz w:val="21"/>
          <w:szCs w:val="21"/>
        </w:rPr>
        <w:t xml:space="preserve">Bajo la modalidad CIF, el Vendedor es responsable de:</w:t>
      </w:r>
    </w:p>
    <w:p>
      <w:pPr>
        <w:spacing w:after="60"/>
        <w:ind w:left="360"/>
      </w:pPr>
      <w:r>
        <w:rPr>
          <w:rFonts w:ascii="Calibri" w:cs="Calibri" w:eastAsia="Calibri" w:hAnsi="Calibri"/>
          <w:sz w:val="21"/>
          <w:szCs w:val="21"/>
        </w:rPr>
        <w:t xml:space="preserve">•  Adquisición, preparación y verificación de disponibilidad de la mercancía</w:t>
      </w:r>
    </w:p>
    <w:p>
      <w:pPr>
        <w:spacing w:after="60"/>
        <w:ind w:left="360"/>
      </w:pPr>
      <w:r>
        <w:rPr>
          <w:rFonts w:ascii="Calibri" w:cs="Calibri" w:eastAsia="Calibri" w:hAnsi="Calibri"/>
          <w:sz w:val="21"/>
          <w:szCs w:val="21"/>
        </w:rPr>
        <w:t xml:space="preserve">•  Gestión de exportación en la República Popular China</w:t>
      </w:r>
    </w:p>
    <w:p>
      <w:pPr>
        <w:spacing w:after="60"/>
        <w:ind w:left="360"/>
      </w:pPr>
      <w:r>
        <w:rPr>
          <w:rFonts w:ascii="Calibri" w:cs="Calibri" w:eastAsia="Calibri" w:hAnsi="Calibri"/>
          <w:sz w:val="21"/>
          <w:szCs w:val="21"/>
        </w:rPr>
        <w:t xml:space="preserve">•  Transporte interno hasta el puerto de salida y costos portuarios de exportación</w:t>
      </w:r>
    </w:p>
    <w:p>
      <w:pPr>
        <w:spacing w:after="60"/>
        <w:ind w:left="360"/>
      </w:pPr>
      <w:r>
        <w:rPr>
          <w:rFonts w:ascii="Calibri" w:cs="Calibri" w:eastAsia="Calibri" w:hAnsi="Calibri"/>
          <w:sz w:val="21"/>
          <w:szCs w:val="21"/>
        </w:rPr>
        <w:t xml:space="preserve">•  Contratación y pago del flete marítimo internacional hasta el puerto de destino acordado</w:t>
      </w:r>
    </w:p>
    <w:p>
      <w:pPr>
        <w:spacing w:after="60"/>
        <w:ind w:left="360"/>
      </w:pPr>
      <w:r>
        <w:rPr>
          <w:rFonts w:ascii="Calibri" w:cs="Calibri" w:eastAsia="Calibri" w:hAnsi="Calibri"/>
          <w:sz w:val="21"/>
          <w:szCs w:val="21"/>
        </w:rPr>
        <w:t xml:space="preserve">•  Contratación del seguro de transporte marítimo</w:t>
      </w:r>
    </w:p>
    <w:p>
      <w:pPr>
        <w:spacing w:after="60"/>
        <w:ind w:left="360"/>
      </w:pPr>
      <w:r>
        <w:rPr>
          <w:rFonts w:ascii="Calibri" w:cs="Calibri" w:eastAsia="Calibri" w:hAnsi="Calibri"/>
          <w:sz w:val="21"/>
          <w:szCs w:val="21"/>
        </w:rPr>
        <w:t xml:space="preserve">•  Emisión de la documentación comercial y logística correspondiente</w:t>
      </w:r>
    </w:p>
    <w:p>
      <w:pPr>
        <w:spacing w:after="160" w:line="300"/>
      </w:pPr>
      <w:r>
        <w:rPr>
          <w:rFonts w:ascii="Calibri" w:cs="Calibri" w:eastAsia="Calibri" w:hAnsi="Calibri"/>
          <w:sz w:val="21"/>
          <w:szCs w:val="21"/>
        </w:rPr>
        <w:t xml:space="preserve">El Comprador es responsable de:</w:t>
      </w:r>
    </w:p>
    <w:p>
      <w:pPr>
        <w:spacing w:after="60"/>
        <w:ind w:left="360"/>
      </w:pPr>
      <w:r>
        <w:rPr>
          <w:rFonts w:ascii="Calibri" w:cs="Calibri" w:eastAsia="Calibri" w:hAnsi="Calibri"/>
          <w:sz w:val="21"/>
          <w:szCs w:val="21"/>
        </w:rPr>
        <w:t xml:space="preserve">•  Trámites de importación y nacionalización en el país de destino</w:t>
      </w:r>
    </w:p>
    <w:p>
      <w:pPr>
        <w:spacing w:after="60"/>
        <w:ind w:left="360"/>
      </w:pPr>
      <w:r>
        <w:rPr>
          <w:rFonts w:ascii="Calibri" w:cs="Calibri" w:eastAsia="Calibri" w:hAnsi="Calibri"/>
          <w:sz w:val="21"/>
          <w:szCs w:val="21"/>
        </w:rPr>
        <w:t xml:space="preserve">•  Impuestos, aranceles, tasas y demás cargos exigidos por las autoridades competentes</w:t>
      </w:r>
    </w:p>
    <w:p>
      <w:pPr>
        <w:spacing w:after="60"/>
        <w:ind w:left="360"/>
      </w:pPr>
      <w:r>
        <w:rPr>
          <w:rFonts w:ascii="Calibri" w:cs="Calibri" w:eastAsia="Calibri" w:hAnsi="Calibri"/>
          <w:sz w:val="21"/>
          <w:szCs w:val="21"/>
        </w:rPr>
        <w:t xml:space="preserve">•  Despacho aduanero y honorarios del agente aduanal</w:t>
      </w:r>
    </w:p>
    <w:p>
      <w:pPr>
        <w:spacing w:after="60"/>
        <w:ind w:left="360"/>
      </w:pPr>
      <w:r>
        <w:rPr>
          <w:rFonts w:ascii="Calibri" w:cs="Calibri" w:eastAsia="Calibri" w:hAnsi="Calibri"/>
          <w:sz w:val="21"/>
          <w:szCs w:val="21"/>
        </w:rPr>
        <w:t xml:space="preserve">•  Costos de almacenamiento o demoras portuarias posteriores a la llegada de la mercancía</w:t>
      </w:r>
    </w:p>
    <w:p>
      <w:pPr>
        <w:spacing w:after="60"/>
        <w:ind w:left="360"/>
      </w:pPr>
      <w:r>
        <w:rPr>
          <w:rFonts w:ascii="Calibri" w:cs="Calibri" w:eastAsia="Calibri" w:hAnsi="Calibri"/>
          <w:sz w:val="21"/>
          <w:szCs w:val="21"/>
        </w:rPr>
        <w:t xml:space="preserve">•  Transporte desde el puerto de destino hasta el lugar final de entrega</w:t>
      </w:r>
    </w:p>
    <w:p>
      <w:pPr>
        <w:spacing w:after="60"/>
        <w:ind w:left="360"/>
      </w:pPr>
      <w:r>
        <w:rPr>
          <w:rFonts w:ascii="Calibri" w:cs="Calibri" w:eastAsia="Calibri" w:hAnsi="Calibri"/>
          <w:sz w:val="21"/>
          <w:szCs w:val="21"/>
        </w:rPr>
        <w:t xml:space="preserve">•  Permisos, registros o licencias exigidos por la legislación del país de destino</w:t>
      </w:r>
    </w:p>
    <w:p>
      <w:pPr>
        <w:spacing w:after="160" w:line="300"/>
      </w:pPr>
      <w:r>
        <w:rPr>
          <w:rFonts w:ascii="Calibri" w:cs="Calibri" w:eastAsia="Calibri" w:hAnsi="Calibri"/>
          <w:sz w:val="21"/>
          <w:szCs w:val="21"/>
        </w:rPr>
        <w:t xml:space="preserve">Para ayudarle a planificar, nuestro cotizador en línea incluye una estimación referencial de estos costos de destino junto al valor CIF — así usted tiene una idea del costo total antes de comprometerse, aunque el monto exacto depende de las tarifas vigentes en su país al momento de la nacionalización.</w:t>
      </w:r>
    </w:p>
    <w:p>
      <w:pPr>
        <w:pStyle w:val="Heading2"/>
        <w:spacing w:after="100" w:before="280"/>
      </w:pPr>
      <w:r>
        <w:rPr>
          <w:rFonts w:ascii="Georgia" w:cs="Georgia" w:eastAsia="Georgia" w:hAnsi="Georgia"/>
          <w:b/>
          <w:bCs/>
          <w:color w:val="B24A17"/>
          <w:sz w:val="22"/>
          <w:szCs w:val="22"/>
        </w:rPr>
        <w:t xml:space="preserve">ARTÍCULO 10 — </w:t>
      </w:r>
      <w:r>
        <w:rPr>
          <w:rFonts w:ascii="Georgia" w:cs="Georgia" w:eastAsia="Georgia" w:hAnsi="Georgia"/>
          <w:b/>
          <w:bCs/>
          <w:color w:val="0B2338"/>
          <w:sz w:val="22"/>
          <w:szCs w:val="22"/>
        </w:rPr>
        <w:t xml:space="preserve">INSPECCIÓN PREVIA</w:t>
      </w:r>
    </w:p>
    <w:p>
      <w:pPr>
        <w:spacing w:after="160" w:line="300"/>
      </w:pPr>
      <w:r>
        <w:rPr>
          <w:rFonts w:ascii="Calibri" w:cs="Calibri" w:eastAsia="Calibri" w:hAnsi="Calibri"/>
          <w:sz w:val="21"/>
          <w:szCs w:val="21"/>
        </w:rPr>
        <w:t xml:space="preserve">Antes de formalizar la operación, el Vendedor pone a disposición del Comprador la información disponible sobre la mercancía: fotografías, videos, especificaciones técnicas, informes de inspección y documentación del fabricante. El Comprador declara haber revisado esta información y que la operación se realiza con base en ella.</w:t>
      </w:r>
    </w:p>
    <w:p>
      <w:pPr>
        <w:pStyle w:val="Heading2"/>
        <w:spacing w:after="100" w:before="280"/>
      </w:pPr>
      <w:r>
        <w:rPr>
          <w:rFonts w:ascii="Georgia" w:cs="Georgia" w:eastAsia="Georgia" w:hAnsi="Georgia"/>
          <w:b/>
          <w:bCs/>
          <w:color w:val="B24A17"/>
          <w:sz w:val="22"/>
          <w:szCs w:val="22"/>
        </w:rPr>
        <w:t xml:space="preserve">ARTÍCULO 11 — </w:t>
      </w:r>
      <w:r>
        <w:rPr>
          <w:rFonts w:ascii="Georgia" w:cs="Georgia" w:eastAsia="Georgia" w:hAnsi="Georgia"/>
          <w:b/>
          <w:bCs/>
          <w:color w:val="0B2338"/>
          <w:sz w:val="22"/>
          <w:szCs w:val="22"/>
        </w:rPr>
        <w:t xml:space="preserve">DISPONIBILIDAD</w:t>
      </w:r>
    </w:p>
    <w:p>
      <w:pPr>
        <w:spacing w:after="160" w:line="300"/>
      </w:pPr>
      <w:r>
        <w:rPr>
          <w:rFonts w:ascii="Calibri" w:cs="Calibri" w:eastAsia="Calibri" w:hAnsi="Calibri"/>
          <w:sz w:val="21"/>
          <w:szCs w:val="21"/>
        </w:rPr>
        <w:t xml:space="preserve">La disponibilidad de la unidad seleccionada se confirma al momento de recibir el pago inicial. Si la mercancía solicitada deja de estar disponible antes de dicha confirmación, el Vendedor lo informará al Comprador a la brevedad y podrá ofrecer una unidad alternativa de características similares — la cual solo se suministrará con la aceptación previa y por escrito del Comprador.</w:t>
      </w:r>
    </w:p>
    <w:p>
      <w:pPr>
        <w:pStyle w:val="Heading2"/>
        <w:spacing w:after="100" w:before="280"/>
      </w:pPr>
      <w:r>
        <w:rPr>
          <w:rFonts w:ascii="Georgia" w:cs="Georgia" w:eastAsia="Georgia" w:hAnsi="Georgia"/>
          <w:b/>
          <w:bCs/>
          <w:color w:val="B24A17"/>
          <w:sz w:val="22"/>
          <w:szCs w:val="22"/>
        </w:rPr>
        <w:t xml:space="preserve">ARTÍCULO 12 — </w:t>
      </w:r>
      <w:r>
        <w:rPr>
          <w:rFonts w:ascii="Georgia" w:cs="Georgia" w:eastAsia="Georgia" w:hAnsi="Georgia"/>
          <w:b/>
          <w:bCs/>
          <w:color w:val="0B2338"/>
          <w:sz w:val="22"/>
          <w:szCs w:val="22"/>
        </w:rPr>
        <w:t xml:space="preserve">EMBARQUE</w:t>
      </w:r>
    </w:p>
    <w:p>
      <w:pPr>
        <w:spacing w:after="160" w:line="300"/>
      </w:pPr>
      <w:r>
        <w:rPr>
          <w:rFonts w:ascii="Calibri" w:cs="Calibri" w:eastAsia="Calibri" w:hAnsi="Calibri"/>
          <w:sz w:val="21"/>
          <w:szCs w:val="21"/>
        </w:rPr>
        <w:t xml:space="preserve">Una vez cumplidas las condiciones de pago, el Vendedor coordina el embarque internacional conforme a las condiciones comerciales acordadas y la disponibilidad logística. El Vendedor podrá realizar embarques parciales cuando las condiciones operativas lo requieran, informando razonablemente al Comprador.</w:t>
      </w:r>
    </w:p>
    <w:p>
      <w:pPr>
        <w:pStyle w:val="Heading2"/>
        <w:spacing w:after="100" w:before="280"/>
      </w:pPr>
      <w:r>
        <w:rPr>
          <w:rFonts w:ascii="Georgia" w:cs="Georgia" w:eastAsia="Georgia" w:hAnsi="Georgia"/>
          <w:b/>
          <w:bCs/>
          <w:color w:val="B24A17"/>
          <w:sz w:val="22"/>
          <w:szCs w:val="22"/>
        </w:rPr>
        <w:t xml:space="preserve">ARTÍCULO 13 — </w:t>
      </w:r>
      <w:r>
        <w:rPr>
          <w:rFonts w:ascii="Georgia" w:cs="Georgia" w:eastAsia="Georgia" w:hAnsi="Georgia"/>
          <w:b/>
          <w:bCs/>
          <w:color w:val="0B2338"/>
          <w:sz w:val="22"/>
          <w:szCs w:val="22"/>
        </w:rPr>
        <w:t xml:space="preserve">SEGUIMIENTO</w:t>
      </w:r>
    </w:p>
    <w:p>
      <w:pPr>
        <w:spacing w:after="160" w:line="300"/>
      </w:pPr>
      <w:r>
        <w:rPr>
          <w:rFonts w:ascii="Calibri" w:cs="Calibri" w:eastAsia="Calibri" w:hAnsi="Calibri"/>
          <w:sz w:val="21"/>
          <w:szCs w:val="21"/>
        </w:rPr>
        <w:t xml:space="preserve">Una vez realizado el embarque, el Vendedor comparte con el Comprador la información disponible sobre la operación: Bill of Lading, naviera, número de contenedor, fotografías del embarque y documentación de seguimiento cuando esté disponible.</w:t>
      </w:r>
    </w:p>
    <w:p>
      <w:pPr>
        <w:pStyle w:val="Heading2"/>
        <w:spacing w:after="100" w:before="280"/>
      </w:pPr>
      <w:r>
        <w:rPr>
          <w:rFonts w:ascii="Georgia" w:cs="Georgia" w:eastAsia="Georgia" w:hAnsi="Georgia"/>
          <w:b/>
          <w:bCs/>
          <w:color w:val="B24A17"/>
          <w:sz w:val="22"/>
          <w:szCs w:val="22"/>
        </w:rPr>
        <w:t xml:space="preserve">ARTÍCULO 14 — </w:t>
      </w:r>
      <w:r>
        <w:rPr>
          <w:rFonts w:ascii="Georgia" w:cs="Georgia" w:eastAsia="Georgia" w:hAnsi="Georgia"/>
          <w:b/>
          <w:bCs/>
          <w:color w:val="0B2338"/>
          <w:sz w:val="22"/>
          <w:szCs w:val="22"/>
        </w:rPr>
        <w:t xml:space="preserve">PLAZO DE ENTREGA</w:t>
      </w:r>
    </w:p>
    <w:p>
      <w:pPr>
        <w:spacing w:after="160" w:line="300"/>
      </w:pPr>
      <w:r>
        <w:rPr>
          <w:rFonts w:ascii="Calibri" w:cs="Calibri" w:eastAsia="Calibri" w:hAnsi="Calibri"/>
          <w:sz w:val="21"/>
          <w:szCs w:val="21"/>
        </w:rPr>
        <w:t xml:space="preserve">El tiempo estimado de tránsito marítimo es de aproximadamente treinta y cinco (35) a cuarenta y cinco (45) días calendario, dependiendo del puerto de destino y las condiciones logísticas internacionales. Estas fechas son estimativas.</w:t>
      </w:r>
    </w:p>
    <w:p>
      <w:pPr>
        <w:spacing w:after="160" w:line="300"/>
      </w:pPr>
      <w:r>
        <w:rPr>
          <w:rFonts w:ascii="Calibri" w:cs="Calibri" w:eastAsia="Calibri" w:hAnsi="Calibri"/>
          <w:sz w:val="21"/>
          <w:szCs w:val="21"/>
        </w:rPr>
        <w:t xml:space="preserve">El Vendedor actúa con diligencia frente a retrasos ocasionados por navieras, autoridades portuarias o aduaneras, u otras circunstancias fuera de su control razonable, y mantendrá informado al Comprador durante todo el proceso.</w:t>
      </w:r>
    </w:p>
    <w:p>
      <w:pPr>
        <w:pStyle w:val="Heading2"/>
        <w:spacing w:after="100" w:before="280"/>
      </w:pPr>
      <w:r>
        <w:rPr>
          <w:rFonts w:ascii="Georgia" w:cs="Georgia" w:eastAsia="Georgia" w:hAnsi="Georgia"/>
          <w:b/>
          <w:bCs/>
          <w:color w:val="B24A17"/>
          <w:sz w:val="22"/>
          <w:szCs w:val="22"/>
        </w:rPr>
        <w:t xml:space="preserve">ARTÍCULO 15 — </w:t>
      </w:r>
      <w:r>
        <w:rPr>
          <w:rFonts w:ascii="Georgia" w:cs="Georgia" w:eastAsia="Georgia" w:hAnsi="Georgia"/>
          <w:b/>
          <w:bCs/>
          <w:color w:val="0B2338"/>
          <w:sz w:val="22"/>
          <w:szCs w:val="22"/>
        </w:rPr>
        <w:t xml:space="preserve">OBLIGACIONES DEL VENDEDOR</w:t>
      </w:r>
    </w:p>
    <w:p>
      <w:pPr>
        <w:spacing w:after="60"/>
        <w:ind w:left="360"/>
      </w:pPr>
      <w:r>
        <w:rPr>
          <w:rFonts w:ascii="Calibri" w:cs="Calibri" w:eastAsia="Calibri" w:hAnsi="Calibri"/>
          <w:sz w:val="21"/>
          <w:szCs w:val="21"/>
        </w:rPr>
        <w:t xml:space="preserve">•  Suministrar la mercancía conforme a la Factura Proforma</w:t>
      </w:r>
    </w:p>
    <w:p>
      <w:pPr>
        <w:spacing w:after="60"/>
        <w:ind w:left="360"/>
      </w:pPr>
      <w:r>
        <w:rPr>
          <w:rFonts w:ascii="Calibri" w:cs="Calibri" w:eastAsia="Calibri" w:hAnsi="Calibri"/>
          <w:sz w:val="21"/>
          <w:szCs w:val="21"/>
        </w:rPr>
        <w:t xml:space="preserve">•  Verificar razonablemente la disponibilidad antes de formalizar la operación</w:t>
      </w:r>
    </w:p>
    <w:p>
      <w:pPr>
        <w:spacing w:after="60"/>
        <w:ind w:left="360"/>
      </w:pPr>
      <w:r>
        <w:rPr>
          <w:rFonts w:ascii="Calibri" w:cs="Calibri" w:eastAsia="Calibri" w:hAnsi="Calibri"/>
          <w:sz w:val="21"/>
          <w:szCs w:val="21"/>
        </w:rPr>
        <w:t xml:space="preserve">•  Gestionar la exportación conforme a la legislación china aplicable</w:t>
      </w:r>
    </w:p>
    <w:p>
      <w:pPr>
        <w:spacing w:after="60"/>
        <w:ind w:left="360"/>
      </w:pPr>
      <w:r>
        <w:rPr>
          <w:rFonts w:ascii="Calibri" w:cs="Calibri" w:eastAsia="Calibri" w:hAnsi="Calibri"/>
          <w:sz w:val="21"/>
          <w:szCs w:val="21"/>
        </w:rPr>
        <w:t xml:space="preserve">•  Coordinar el transporte internacional bajo modalidad CIF</w:t>
      </w:r>
    </w:p>
    <w:p>
      <w:pPr>
        <w:spacing w:after="60"/>
        <w:ind w:left="360"/>
      </w:pPr>
      <w:r>
        <w:rPr>
          <w:rFonts w:ascii="Calibri" w:cs="Calibri" w:eastAsia="Calibri" w:hAnsi="Calibri"/>
          <w:sz w:val="21"/>
          <w:szCs w:val="21"/>
        </w:rPr>
        <w:t xml:space="preserve">•  Contratar el seguro de transporte marítimo</w:t>
      </w:r>
    </w:p>
    <w:p>
      <w:pPr>
        <w:spacing w:after="60"/>
        <w:ind w:left="360"/>
      </w:pPr>
      <w:r>
        <w:rPr>
          <w:rFonts w:ascii="Calibri" w:cs="Calibri" w:eastAsia="Calibri" w:hAnsi="Calibri"/>
          <w:sz w:val="21"/>
          <w:szCs w:val="21"/>
        </w:rPr>
        <w:t xml:space="preserve">•  Emitir la documentación necesaria y mantener informado al Comprador</w:t>
      </w:r>
    </w:p>
    <w:p>
      <w:pPr>
        <w:spacing w:after="60"/>
        <w:ind w:left="360"/>
      </w:pPr>
      <w:r>
        <w:rPr>
          <w:rFonts w:ascii="Calibri" w:cs="Calibri" w:eastAsia="Calibri" w:hAnsi="Calibri"/>
          <w:sz w:val="21"/>
          <w:szCs w:val="21"/>
        </w:rPr>
        <w:t xml:space="preserve">•  Actuar con diligencia, buena fe y profesionalismo en toda la operación</w:t>
      </w:r>
    </w:p>
    <w:p>
      <w:pPr>
        <w:pStyle w:val="Heading2"/>
        <w:spacing w:after="100" w:before="280"/>
      </w:pPr>
      <w:r>
        <w:rPr>
          <w:rFonts w:ascii="Georgia" w:cs="Georgia" w:eastAsia="Georgia" w:hAnsi="Georgia"/>
          <w:b/>
          <w:bCs/>
          <w:color w:val="B24A17"/>
          <w:sz w:val="22"/>
          <w:szCs w:val="22"/>
        </w:rPr>
        <w:t xml:space="preserve">ARTÍCULO 16 — </w:t>
      </w:r>
      <w:r>
        <w:rPr>
          <w:rFonts w:ascii="Georgia" w:cs="Georgia" w:eastAsia="Georgia" w:hAnsi="Georgia"/>
          <w:b/>
          <w:bCs/>
          <w:color w:val="0B2338"/>
          <w:sz w:val="22"/>
          <w:szCs w:val="22"/>
        </w:rPr>
        <w:t xml:space="preserve">OBLIGACIONES DEL COMPRADOR</w:t>
      </w:r>
    </w:p>
    <w:p>
      <w:pPr>
        <w:spacing w:after="60"/>
        <w:ind w:left="360"/>
      </w:pPr>
      <w:r>
        <w:rPr>
          <w:rFonts w:ascii="Calibri" w:cs="Calibri" w:eastAsia="Calibri" w:hAnsi="Calibri"/>
          <w:sz w:val="21"/>
          <w:szCs w:val="21"/>
        </w:rPr>
        <w:t xml:space="preserve">•  Realizar oportunamente los pagos establecidos</w:t>
      </w:r>
    </w:p>
    <w:p>
      <w:pPr>
        <w:spacing w:after="60"/>
        <w:ind w:left="360"/>
      </w:pPr>
      <w:r>
        <w:rPr>
          <w:rFonts w:ascii="Calibri" w:cs="Calibri" w:eastAsia="Calibri" w:hAnsi="Calibri"/>
          <w:sz w:val="21"/>
          <w:szCs w:val="21"/>
        </w:rPr>
        <w:t xml:space="preserve">•  Proporcionar información veraz y completa</w:t>
      </w:r>
    </w:p>
    <w:p>
      <w:pPr>
        <w:spacing w:after="60"/>
        <w:ind w:left="360"/>
      </w:pPr>
      <w:r>
        <w:rPr>
          <w:rFonts w:ascii="Calibri" w:cs="Calibri" w:eastAsia="Calibri" w:hAnsi="Calibri"/>
          <w:sz w:val="21"/>
          <w:szCs w:val="21"/>
        </w:rPr>
        <w:t xml:space="preserve">•  Cumplir con la normativa de importación de su país</w:t>
      </w:r>
    </w:p>
    <w:p>
      <w:pPr>
        <w:spacing w:after="60"/>
        <w:ind w:left="360"/>
      </w:pPr>
      <w:r>
        <w:rPr>
          <w:rFonts w:ascii="Calibri" w:cs="Calibri" w:eastAsia="Calibri" w:hAnsi="Calibri"/>
          <w:sz w:val="21"/>
          <w:szCs w:val="21"/>
        </w:rPr>
        <w:t xml:space="preserve">•  Gestionar oportunamente la nacionalización de la mercancía</w:t>
      </w:r>
    </w:p>
    <w:p>
      <w:pPr>
        <w:spacing w:after="60"/>
        <w:ind w:left="360"/>
      </w:pPr>
      <w:r>
        <w:rPr>
          <w:rFonts w:ascii="Calibri" w:cs="Calibri" w:eastAsia="Calibri" w:hAnsi="Calibri"/>
          <w:sz w:val="21"/>
          <w:szCs w:val="21"/>
        </w:rPr>
        <w:t xml:space="preserve">•  Obtener los permisos y licencias requeridos</w:t>
      </w:r>
    </w:p>
    <w:p>
      <w:pPr>
        <w:spacing w:after="60"/>
        <w:ind w:left="360"/>
      </w:pPr>
      <w:r>
        <w:rPr>
          <w:rFonts w:ascii="Calibri" w:cs="Calibri" w:eastAsia="Calibri" w:hAnsi="Calibri"/>
          <w:sz w:val="21"/>
          <w:szCs w:val="21"/>
        </w:rPr>
        <w:t xml:space="preserve">•  Asumir los costos de importación aplicables en el país de destino</w:t>
      </w:r>
    </w:p>
    <w:p>
      <w:pPr>
        <w:spacing w:after="60"/>
        <w:ind w:left="360"/>
      </w:pPr>
      <w:r>
        <w:rPr>
          <w:rFonts w:ascii="Calibri" w:cs="Calibri" w:eastAsia="Calibri" w:hAnsi="Calibri"/>
          <w:sz w:val="21"/>
          <w:szCs w:val="21"/>
        </w:rPr>
        <w:t xml:space="preserve">•  Cooperar con el Vendedor cuando sea necesario para la correcta ejecución de la operación</w:t>
      </w:r>
    </w:p>
    <w:p>
      <w:pPr>
        <w:pStyle w:val="Heading2"/>
        <w:spacing w:after="100" w:before="280"/>
      </w:pPr>
      <w:r>
        <w:rPr>
          <w:rFonts w:ascii="Georgia" w:cs="Georgia" w:eastAsia="Georgia" w:hAnsi="Georgia"/>
          <w:b/>
          <w:bCs/>
          <w:color w:val="B24A17"/>
          <w:sz w:val="22"/>
          <w:szCs w:val="22"/>
        </w:rPr>
        <w:t xml:space="preserve">ARTÍCULO 17 — </w:t>
      </w:r>
      <w:r>
        <w:rPr>
          <w:rFonts w:ascii="Georgia" w:cs="Georgia" w:eastAsia="Georgia" w:hAnsi="Georgia"/>
          <w:b/>
          <w:bCs/>
          <w:color w:val="0B2338"/>
          <w:sz w:val="22"/>
          <w:szCs w:val="22"/>
        </w:rPr>
        <w:t xml:space="preserve">PREVENCIÓN DE FRAUDE</w:t>
      </w:r>
    </w:p>
    <w:p>
      <w:pPr>
        <w:spacing w:after="160" w:line="300"/>
      </w:pPr>
      <w:r>
        <w:rPr>
          <w:rFonts w:ascii="Calibri" w:cs="Calibri" w:eastAsia="Calibri" w:hAnsi="Calibri"/>
          <w:sz w:val="21"/>
          <w:szCs w:val="21"/>
        </w:rPr>
        <w:t xml:space="preserve">Para proteger a ambas partes, el Comprador únicamente debe realizar pagos a las cuentas o direcciones de billetera digital comunicadas oficialmente por el Vendedor a través de sus canales corporativos verificados. Ante cualquier duda sobre la autenticidad de una instrucción de pago, contáctenos directamente antes de transferir — verificaremos la información con gusto.</w:t>
      </w:r>
    </w:p>
    <w:p>
      <w:pPr>
        <w:spacing w:after="160" w:line="300"/>
      </w:pPr>
      <w:r>
        <w:rPr>
          <w:rFonts w:ascii="Calibri" w:cs="Calibri" w:eastAsia="Calibri" w:hAnsi="Calibri"/>
          <w:sz w:val="21"/>
          <w:szCs w:val="21"/>
        </w:rPr>
        <w:t xml:space="preserve">El Vendedor no es responsable por pagos realizados a terceros no autorizados, cuentas incorrectas o instrucciones fraudulentas que no hayan sido emitidas oficialmente por el Vendedor. Una vez confirmada una transferencia a un medio de pago oficial, el pago se considera válidamente realizado.</w:t>
      </w:r>
    </w:p>
    <w:p>
      <w:pPr>
        <w:pStyle w:val="Heading2"/>
        <w:spacing w:after="100" w:before="280"/>
      </w:pPr>
      <w:r>
        <w:rPr>
          <w:rFonts w:ascii="Georgia" w:cs="Georgia" w:eastAsia="Georgia" w:hAnsi="Georgia"/>
          <w:b/>
          <w:bCs/>
          <w:color w:val="B24A17"/>
          <w:sz w:val="22"/>
          <w:szCs w:val="22"/>
        </w:rPr>
        <w:t xml:space="preserve">ARTÍCULO 18 — </w:t>
      </w:r>
      <w:r>
        <w:rPr>
          <w:rFonts w:ascii="Georgia" w:cs="Georgia" w:eastAsia="Georgia" w:hAnsi="Georgia"/>
          <w:b/>
          <w:bCs/>
          <w:color w:val="0B2338"/>
          <w:sz w:val="22"/>
          <w:szCs w:val="22"/>
        </w:rPr>
        <w:t xml:space="preserve">VERIFICACIÓN CORPORATIVA</w:t>
      </w:r>
    </w:p>
    <w:p>
      <w:pPr>
        <w:spacing w:after="160" w:line="300"/>
      </w:pPr>
      <w:r>
        <w:rPr>
          <w:rFonts w:ascii="Calibri" w:cs="Calibri" w:eastAsia="Calibri" w:hAnsi="Calibri"/>
          <w:sz w:val="21"/>
          <w:szCs w:val="21"/>
        </w:rPr>
        <w:t xml:space="preserve">El Comprador tiene el derecho de solicitar y revisar la documentación corporativa del Vendedor antes de formalizar la operación, incluyendo licencia comercial, registro mercantil e información del representante autorizado. Nos parece razonable que un Comprador quiera verificar con quién está haciendo negocios, y facilitamos esta información con gusto.</w:t>
      </w:r>
    </w:p>
    <w:p>
      <w:pPr>
        <w:pStyle w:val="Heading2"/>
        <w:spacing w:after="100" w:before="280"/>
      </w:pPr>
      <w:r>
        <w:rPr>
          <w:rFonts w:ascii="Georgia" w:cs="Georgia" w:eastAsia="Georgia" w:hAnsi="Georgia"/>
          <w:b/>
          <w:bCs/>
          <w:color w:val="B24A17"/>
          <w:sz w:val="22"/>
          <w:szCs w:val="22"/>
        </w:rPr>
        <w:t xml:space="preserve">ARTÍCULO 19 — </w:t>
      </w:r>
      <w:r>
        <w:rPr>
          <w:rFonts w:ascii="Georgia" w:cs="Georgia" w:eastAsia="Georgia" w:hAnsi="Georgia"/>
          <w:b/>
          <w:bCs/>
          <w:color w:val="0B2338"/>
          <w:sz w:val="22"/>
          <w:szCs w:val="22"/>
        </w:rPr>
        <w:t xml:space="preserve">CONFIDENCIALIDAD</w:t>
      </w:r>
    </w:p>
    <w:p>
      <w:pPr>
        <w:spacing w:after="160" w:line="300"/>
      </w:pPr>
      <w:r>
        <w:rPr>
          <w:rFonts w:ascii="Calibri" w:cs="Calibri" w:eastAsia="Calibri" w:hAnsi="Calibri"/>
          <w:sz w:val="21"/>
          <w:szCs w:val="21"/>
        </w:rPr>
        <w:t xml:space="preserve">Toda información comercial, financiera o técnica intercambiada entre las partes tiene carácter confidencial y no podrá divulgarse a terceros sin autorización previa por escrito, salvo cuando sea requerida por ley. Esta obligación permanece vigente aun después de finalizada la operación.</w:t>
      </w:r>
    </w:p>
    <w:p>
      <w:pPr>
        <w:pStyle w:val="Heading2"/>
        <w:spacing w:after="100" w:before="280"/>
      </w:pPr>
      <w:r>
        <w:rPr>
          <w:rFonts w:ascii="Georgia" w:cs="Georgia" w:eastAsia="Georgia" w:hAnsi="Georgia"/>
          <w:b/>
          <w:bCs/>
          <w:color w:val="B24A17"/>
          <w:sz w:val="22"/>
          <w:szCs w:val="22"/>
        </w:rPr>
        <w:t xml:space="preserve">ARTÍCULO 20 — </w:t>
      </w:r>
      <w:r>
        <w:rPr>
          <w:rFonts w:ascii="Georgia" w:cs="Georgia" w:eastAsia="Georgia" w:hAnsi="Georgia"/>
          <w:b/>
          <w:bCs/>
          <w:color w:val="0B2338"/>
          <w:sz w:val="22"/>
          <w:szCs w:val="22"/>
        </w:rPr>
        <w:t xml:space="preserve">NO CIRCUNVENCIÓN</w:t>
      </w:r>
    </w:p>
    <w:p>
      <w:pPr>
        <w:spacing w:after="160" w:line="300"/>
      </w:pPr>
      <w:r>
        <w:rPr>
          <w:rFonts w:ascii="Calibri" w:cs="Calibri" w:eastAsia="Calibri" w:hAnsi="Calibri"/>
          <w:sz w:val="21"/>
          <w:szCs w:val="21"/>
        </w:rPr>
        <w:t xml:space="preserve">Para proteger las relaciones de confianza construidas con nuestros fabricantes y socios logísticos — y, en última instancia, mantener los precios competitivos que ofrecemos a todos nuestros clientes — las partes se comprometen a no establecer relaciones comerciales directas con fabricantes, proveedores o contactos presentados por la otra parte durante la vigencia de la operación y por un período de dos (2) años posteriores a su finalización, salvo autorización previa y por escrito.</w:t>
      </w:r>
    </w:p>
    <w:p>
      <w:pPr>
        <w:pStyle w:val="Heading2"/>
        <w:spacing w:after="100" w:before="280"/>
      </w:pPr>
      <w:r>
        <w:rPr>
          <w:rFonts w:ascii="Georgia" w:cs="Georgia" w:eastAsia="Georgia" w:hAnsi="Georgia"/>
          <w:b/>
          <w:bCs/>
          <w:color w:val="B24A17"/>
          <w:sz w:val="22"/>
          <w:szCs w:val="22"/>
        </w:rPr>
        <w:t xml:space="preserve">ARTÍCULO 21 — </w:t>
      </w:r>
      <w:r>
        <w:rPr>
          <w:rFonts w:ascii="Georgia" w:cs="Georgia" w:eastAsia="Georgia" w:hAnsi="Georgia"/>
          <w:b/>
          <w:bCs/>
          <w:color w:val="0B2338"/>
          <w:sz w:val="22"/>
          <w:szCs w:val="22"/>
        </w:rPr>
        <w:t xml:space="preserve">LIMITACIÓN DE RESPONSABILIDAD</w:t>
      </w:r>
    </w:p>
    <w:p>
      <w:pPr>
        <w:spacing w:after="160" w:line="300"/>
      </w:pPr>
      <w:r>
        <w:rPr>
          <w:rFonts w:ascii="Calibri" w:cs="Calibri" w:eastAsia="Calibri" w:hAnsi="Calibri"/>
          <w:sz w:val="21"/>
          <w:szCs w:val="21"/>
        </w:rPr>
        <w:t xml:space="preserve">Trabajamos activamente para minimizar cualquier interrupción en el proceso de exportación. Dicho esto, el Vendedor no será responsable por retrasos o incumplimientos derivados de circunstancias fuera de su control razonable, incluyendo retrasos navieros, congestión portuaria, inspecciones gubernamentales, procedimientos aduaneros, cambios regulatorios o casos de fuerza mayor.</w:t>
      </w:r>
    </w:p>
    <w:p>
      <w:pPr>
        <w:spacing w:after="160" w:line="300"/>
      </w:pPr>
      <w:r>
        <w:rPr>
          <w:rFonts w:ascii="Calibri" w:cs="Calibri" w:eastAsia="Calibri" w:hAnsi="Calibri"/>
          <w:sz w:val="21"/>
          <w:szCs w:val="21"/>
        </w:rPr>
        <w:t xml:space="preserve">El Vendedor no será responsable por daños indirectos, lucro cesante o pérdida de oportunidades comerciales derivados de la operación.</w:t>
      </w:r>
    </w:p>
    <w:p>
      <w:pPr>
        <w:pStyle w:val="Heading2"/>
        <w:spacing w:after="100" w:before="280"/>
      </w:pPr>
      <w:r>
        <w:rPr>
          <w:rFonts w:ascii="Georgia" w:cs="Georgia" w:eastAsia="Georgia" w:hAnsi="Georgia"/>
          <w:b/>
          <w:bCs/>
          <w:color w:val="B24A17"/>
          <w:sz w:val="22"/>
          <w:szCs w:val="22"/>
        </w:rPr>
        <w:t xml:space="preserve">ARTÍCULO 22 — </w:t>
      </w:r>
      <w:r>
        <w:rPr>
          <w:rFonts w:ascii="Georgia" w:cs="Georgia" w:eastAsia="Georgia" w:hAnsi="Georgia"/>
          <w:b/>
          <w:bCs/>
          <w:color w:val="0B2338"/>
          <w:sz w:val="22"/>
          <w:szCs w:val="22"/>
        </w:rPr>
        <w:t xml:space="preserve">FUERZA MAYOR</w:t>
      </w:r>
    </w:p>
    <w:p>
      <w:pPr>
        <w:spacing w:after="160" w:line="300"/>
      </w:pPr>
      <w:r>
        <w:rPr>
          <w:rFonts w:ascii="Calibri" w:cs="Calibri" w:eastAsia="Calibri" w:hAnsi="Calibri"/>
          <w:sz w:val="21"/>
          <w:szCs w:val="21"/>
        </w:rPr>
        <w:t xml:space="preserve">Ninguna de las partes será responsable por el incumplimiento de sus obligaciones cuando dicho incumplimiento sea consecuencia de acontecimientos imprevisibles o fuera de su control razonable (desastres naturales, guerras, pandemias, huelgas, restricciones gubernamentales, interrupciones logísticas). La parte afectada debe informar a la otra dentro de un plazo razonable.</w:t>
      </w:r>
    </w:p>
    <w:p>
      <w:pPr>
        <w:pStyle w:val="Heading2"/>
        <w:spacing w:after="100" w:before="280"/>
      </w:pPr>
      <w:r>
        <w:rPr>
          <w:rFonts w:ascii="Georgia" w:cs="Georgia" w:eastAsia="Georgia" w:hAnsi="Georgia"/>
          <w:b/>
          <w:bCs/>
          <w:color w:val="B24A17"/>
          <w:sz w:val="22"/>
          <w:szCs w:val="22"/>
        </w:rPr>
        <w:t xml:space="preserve">ARTÍCULO 23 — </w:t>
      </w:r>
      <w:r>
        <w:rPr>
          <w:rFonts w:ascii="Georgia" w:cs="Georgia" w:eastAsia="Georgia" w:hAnsi="Georgia"/>
          <w:b/>
          <w:bCs/>
          <w:color w:val="0B2338"/>
          <w:sz w:val="22"/>
          <w:szCs w:val="22"/>
        </w:rPr>
        <w:t xml:space="preserve">POLÍTICA DE REEMBOLSOS</w:t>
      </w:r>
    </w:p>
    <w:p>
      <w:pPr>
        <w:spacing w:after="160" w:line="300"/>
      </w:pPr>
      <w:r>
        <w:rPr>
          <w:rFonts w:ascii="Calibri" w:cs="Calibri" w:eastAsia="Calibri" w:hAnsi="Calibri"/>
          <w:sz w:val="21"/>
          <w:szCs w:val="21"/>
        </w:rPr>
        <w:t xml:space="preserve">Dado que cada unidad se adquiere, verifica y prepara específicamente para la operación del Comprador — con costos de compra, logística y exportación comprometidos desde el pago inicial — las operaciones formalizadas mediante este Contrato son, en general, definitivas.</w:t>
      </w:r>
    </w:p>
    <w:p>
      <w:pPr>
        <w:spacing w:after="160" w:line="300"/>
      </w:pPr>
      <w:r>
        <w:rPr>
          <w:rFonts w:ascii="Calibri" w:cs="Calibri" w:eastAsia="Calibri" w:hAnsi="Calibri"/>
          <w:sz w:val="21"/>
          <w:szCs w:val="21"/>
        </w:rPr>
        <w:t xml:space="preserve">Dicho esto, si existe una imposibilidad definitiva de cumplimiento atribuible al Vendedor, o una discrepancia significativa entre la mercancía acordada y la efectivamente suministrada, el Vendedor trabajará de buena fe con el Comprador hacia una resolución justa, que podrá incluir reembolso parcial o total, sustitución de la unidad, o crédito aplicable a una operación futura — evaluado según las circunstancias específicas de cada caso.</w:t>
      </w:r>
    </w:p>
    <w:p>
      <w:pPr>
        <w:pStyle w:val="Heading2"/>
        <w:spacing w:after="100" w:before="280"/>
      </w:pPr>
      <w:r>
        <w:rPr>
          <w:rFonts w:ascii="Georgia" w:cs="Georgia" w:eastAsia="Georgia" w:hAnsi="Georgia"/>
          <w:b/>
          <w:bCs/>
          <w:color w:val="B24A17"/>
          <w:sz w:val="22"/>
          <w:szCs w:val="22"/>
        </w:rPr>
        <w:t xml:space="preserve">ARTÍCULO 24 — </w:t>
      </w:r>
      <w:r>
        <w:rPr>
          <w:rFonts w:ascii="Georgia" w:cs="Georgia" w:eastAsia="Georgia" w:hAnsi="Georgia"/>
          <w:b/>
          <w:bCs/>
          <w:color w:val="0B2338"/>
          <w:sz w:val="22"/>
          <w:szCs w:val="22"/>
        </w:rPr>
        <w:t xml:space="preserve">COMUNICACIONES OFICIALES</w:t>
      </w:r>
    </w:p>
    <w:p>
      <w:pPr>
        <w:spacing w:after="160" w:line="300"/>
      </w:pPr>
      <w:r>
        <w:rPr>
          <w:rFonts w:ascii="Calibri" w:cs="Calibri" w:eastAsia="Calibri" w:hAnsi="Calibri"/>
          <w:sz w:val="21"/>
          <w:szCs w:val="21"/>
        </w:rPr>
        <w:t xml:space="preserve">Las partes reconocen como válidas las comunicaciones realizadas por correo electrónico, WhatsApp, documentos electrónicos, firmas digitales o cualquier otro medio electrónico verificable acordado entre las partes.</w:t>
      </w:r>
    </w:p>
    <w:p>
      <w:pPr>
        <w:pStyle w:val="Heading2"/>
        <w:spacing w:after="100" w:before="280"/>
      </w:pPr>
      <w:r>
        <w:rPr>
          <w:rFonts w:ascii="Georgia" w:cs="Georgia" w:eastAsia="Georgia" w:hAnsi="Georgia"/>
          <w:b/>
          <w:bCs/>
          <w:color w:val="B24A17"/>
          <w:sz w:val="22"/>
          <w:szCs w:val="22"/>
        </w:rPr>
        <w:t xml:space="preserve">ARTÍCULO 25 — </w:t>
      </w:r>
      <w:r>
        <w:rPr>
          <w:rFonts w:ascii="Georgia" w:cs="Georgia" w:eastAsia="Georgia" w:hAnsi="Georgia"/>
          <w:b/>
          <w:bCs/>
          <w:color w:val="0B2338"/>
          <w:sz w:val="22"/>
          <w:szCs w:val="22"/>
        </w:rPr>
        <w:t xml:space="preserve">INTEGRIDAD DEL ACUERDO</w:t>
      </w:r>
    </w:p>
    <w:p>
      <w:pPr>
        <w:spacing w:after="160" w:line="300"/>
      </w:pPr>
      <w:r>
        <w:rPr>
          <w:rFonts w:ascii="Calibri" w:cs="Calibri" w:eastAsia="Calibri" w:hAnsi="Calibri"/>
          <w:sz w:val="21"/>
          <w:szCs w:val="21"/>
        </w:rPr>
        <w:t xml:space="preserve">El presente Contrato, junto con la Factura Proforma correspondiente, constituye el acuerdo completo entre las partes y sustituye cualquier negociación o comunicación previa relacionada con la operación. Cualquier modificación debe realizarse por escrito y ser aceptada por ambas partes.</w:t>
      </w:r>
    </w:p>
    <w:p>
      <w:pPr>
        <w:pStyle w:val="Heading2"/>
        <w:spacing w:after="100" w:before="280"/>
      </w:pPr>
      <w:r>
        <w:rPr>
          <w:rFonts w:ascii="Georgia" w:cs="Georgia" w:eastAsia="Georgia" w:hAnsi="Georgia"/>
          <w:b/>
          <w:bCs/>
          <w:color w:val="B24A17"/>
          <w:sz w:val="22"/>
          <w:szCs w:val="22"/>
        </w:rPr>
        <w:t xml:space="preserve">ARTÍCULO 26 — </w:t>
      </w:r>
      <w:r>
        <w:rPr>
          <w:rFonts w:ascii="Georgia" w:cs="Georgia" w:eastAsia="Georgia" w:hAnsi="Georgia"/>
          <w:b/>
          <w:bCs/>
          <w:color w:val="0B2338"/>
          <w:sz w:val="22"/>
          <w:szCs w:val="22"/>
        </w:rPr>
        <w:t xml:space="preserve">LEY APLICABLE</w:t>
      </w:r>
    </w:p>
    <w:p>
      <w:pPr>
        <w:spacing w:after="160" w:line="300"/>
      </w:pPr>
      <w:r>
        <w:rPr>
          <w:rFonts w:ascii="Calibri" w:cs="Calibri" w:eastAsia="Calibri" w:hAnsi="Calibri"/>
          <w:sz w:val="21"/>
          <w:szCs w:val="21"/>
        </w:rPr>
        <w:t xml:space="preserve">El presente Contrato se rige e interpreta conforme a las leyes de la República Popular China. Esta ley aplicable rige el fondo de las obligaciones de las partes; no afecta la sede de arbitraje neutral establecida en el Artículo 27.</w:t>
      </w:r>
    </w:p>
    <w:p>
      <w:pPr>
        <w:pStyle w:val="Heading2"/>
        <w:spacing w:after="100" w:before="280"/>
      </w:pPr>
      <w:r>
        <w:rPr>
          <w:rFonts w:ascii="Georgia" w:cs="Georgia" w:eastAsia="Georgia" w:hAnsi="Georgia"/>
          <w:b/>
          <w:bCs/>
          <w:color w:val="B24A17"/>
          <w:sz w:val="22"/>
          <w:szCs w:val="22"/>
        </w:rPr>
        <w:t xml:space="preserve">ARTÍCULO 27 — </w:t>
      </w:r>
      <w:r>
        <w:rPr>
          <w:rFonts w:ascii="Georgia" w:cs="Georgia" w:eastAsia="Georgia" w:hAnsi="Georgia"/>
          <w:b/>
          <w:bCs/>
          <w:color w:val="0B2338"/>
          <w:sz w:val="22"/>
          <w:szCs w:val="22"/>
        </w:rPr>
        <w:t xml:space="preserve">RESOLUCIÓN DE DISPUTAS</w:t>
      </w:r>
    </w:p>
    <w:p>
      <w:pPr>
        <w:spacing w:after="160" w:line="300"/>
      </w:pPr>
      <w:r>
        <w:rPr>
          <w:rFonts w:ascii="Calibri" w:cs="Calibri" w:eastAsia="Calibri" w:hAnsi="Calibri"/>
          <w:sz w:val="21"/>
          <w:szCs w:val="21"/>
        </w:rPr>
        <w:t xml:space="preserve">Ante cualquier controversia, nuestro primer paso siempre será buscar una solución mediante negociación directa y de buena fe entre las partes.</w:t>
      </w:r>
    </w:p>
    <w:p>
      <w:pPr>
        <w:spacing w:after="160" w:line="300"/>
      </w:pPr>
      <w:r>
        <w:rPr>
          <w:rFonts w:ascii="Calibri" w:cs="Calibri" w:eastAsia="Calibri" w:hAnsi="Calibri"/>
          <w:sz w:val="21"/>
          <w:szCs w:val="21"/>
        </w:rPr>
        <w:t xml:space="preserve">Si no se alcanza una solución dentro de un plazo razonable, la controversia se resolverá mediante arbitraje administrado por el Centro de Arbitraje Internacional de Hong Kong (HKIAC), conforme a su Reglamento de Arbitraje Administrado vigente al momento de la solicitud. La sede del arbitraje será Hong Kong (RAE), y el procedimiento podrá realizarse en español o inglés, a elección del Comprador. El laudo arbitral será definitivo y vinculante para ambas partes, y podrá ejecutarse en cualquier jurisdicción competente, incluyendo el país de residencia del Comprador, conforme a la Convención de Nueva York sobre el Reconocimiento y Ejecución de Sentencias Arbitrales Extranjeras.</w:t>
      </w:r>
    </w:p>
    <w:p>
      <w:pPr>
        <w:spacing w:after="160" w:line="300"/>
      </w:pPr>
      <w:r>
        <w:rPr>
          <w:rFonts w:ascii="Calibri" w:cs="Calibri" w:eastAsia="Calibri" w:hAnsi="Calibri"/>
          <w:sz w:val="21"/>
          <w:szCs w:val="21"/>
        </w:rPr>
        <w:t xml:space="preserve">Elegimos una sede de arbitraje neutral e internacionalmente reconocida para que ninguna de las partes esté obligada a resolver disputas exclusivamente en la jurisdicción de origen de la otra.</w:t>
      </w:r>
    </w:p>
    <w:p>
      <w:pPr>
        <w:pStyle w:val="Heading2"/>
        <w:spacing w:after="100" w:before="280"/>
      </w:pPr>
      <w:r>
        <w:rPr>
          <w:rFonts w:ascii="Georgia" w:cs="Georgia" w:eastAsia="Georgia" w:hAnsi="Georgia"/>
          <w:b/>
          <w:bCs/>
          <w:color w:val="B24A17"/>
          <w:sz w:val="22"/>
          <w:szCs w:val="22"/>
        </w:rPr>
        <w:t xml:space="preserve">ARTÍCULO 28 — </w:t>
      </w:r>
      <w:r>
        <w:rPr>
          <w:rFonts w:ascii="Georgia" w:cs="Georgia" w:eastAsia="Georgia" w:hAnsi="Georgia"/>
          <w:b/>
          <w:bCs/>
          <w:color w:val="0B2338"/>
          <w:sz w:val="22"/>
          <w:szCs w:val="22"/>
        </w:rPr>
        <w:t xml:space="preserve">ACEPTACIÓN</w:t>
      </w:r>
    </w:p>
    <w:p>
      <w:pPr>
        <w:spacing w:after="160" w:line="300"/>
      </w:pPr>
      <w:r>
        <w:rPr>
          <w:rFonts w:ascii="Calibri" w:cs="Calibri" w:eastAsia="Calibri" w:hAnsi="Calibri"/>
          <w:sz w:val="21"/>
          <w:szCs w:val="21"/>
        </w:rPr>
        <w:t xml:space="preserve">El presente Contrato entra en vigor una vez firmado por ambas partes y emitida la Factura Proforma correspondiente. Las firmas manuscritas, firmas digitales, documentos electrónicos y confirmaciones mediante medios electrónicos verificables producen los mismos efectos jurídicos que una firma física.</w:t>
      </w:r>
    </w:p>
    <w:p>
      <w:r>
        <w:br w:type="page"/>
      </w:r>
    </w:p>
    <w:p>
      <w:pPr>
        <w:pStyle w:val="Heading1"/>
        <w:pBdr>
          <w:bottom w:val="single" w:color="B24A17" w:sz="6" w:space="6"/>
        </w:pBdr>
        <w:spacing w:after="160" w:before="200"/>
      </w:pPr>
      <w:r>
        <w:rPr>
          <w:rFonts w:ascii="Georgia" w:cs="Georgia" w:eastAsia="Georgia" w:hAnsi="Georgia"/>
          <w:b/>
          <w:bCs/>
          <w:color w:val="0B2338"/>
          <w:sz w:val="26"/>
          <w:szCs w:val="26"/>
        </w:rPr>
        <w:t xml:space="preserve">Datos del Comprador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Nombre completo / Razón social</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Documento de identidad / Registro mercantil</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Representante autorizado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Cargo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País</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Ciudad</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Dirección</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Teléfono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Correo electrónico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300"/>
      </w:pPr>
    </w:p>
    <w:p>
      <w:pPr>
        <w:pStyle w:val="Heading1"/>
        <w:pBdr>
          <w:bottom w:val="single" w:color="B24A17" w:sz="6" w:space="6"/>
        </w:pBdr>
        <w:spacing w:after="160" w:before="200"/>
      </w:pPr>
      <w:r>
        <w:rPr>
          <w:rFonts w:ascii="Georgia" w:cs="Georgia" w:eastAsia="Georgia" w:hAnsi="Georgia"/>
          <w:b/>
          <w:bCs/>
          <w:color w:val="0B2338"/>
          <w:sz w:val="26"/>
          <w:szCs w:val="26"/>
        </w:rPr>
        <w:t xml:space="preserve">Datos de la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Número de contrato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Factura proforma No.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Fecha de emisión</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Descripción de la mercancía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Condición</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Kilometraje de fábrica   ☐ Usada</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Cantidad</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Valor CIF total</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Moneda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USD   ☐ USDT</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Puerto de destino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Tiempo estimado de tránsito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Observaciones</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400"/>
      </w:pPr>
    </w:p>
    <w:p>
      <w:pPr>
        <w:pStyle w:val="Heading1"/>
        <w:pBdr>
          <w:bottom w:val="single" w:color="B24A17" w:sz="6" w:space="6"/>
        </w:pBdr>
        <w:spacing w:after="160" w:before="200"/>
      </w:pPr>
      <w:r>
        <w:rPr>
          <w:rFonts w:ascii="Georgia" w:cs="Georgia" w:eastAsia="Georgia" w:hAnsi="Georgia"/>
          <w:b/>
          <w:bCs/>
          <w:color w:val="0B2338"/>
          <w:sz w:val="26"/>
          <w:szCs w:val="26"/>
        </w:rPr>
        <w:t xml:space="preserve">Ejecución del Contrato</w:t>
      </w:r>
    </w:p>
    <w:p>
      <w:pPr>
        <w:spacing w:after="60" w:before="160"/>
      </w:pPr>
      <w:r>
        <w:rPr>
          <w:rFonts w:ascii="Georgia" w:cs="Georgia" w:eastAsia="Georgia" w:hAnsi="Georgia"/>
          <w:b/>
          <w:bCs/>
          <w:color w:val="0B2338"/>
          <w:sz w:val="21"/>
          <w:szCs w:val="21"/>
        </w:rPr>
        <w:t xml:space="preserve">VENDEDOR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Empresa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Nindge Automobile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Operado por</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[Nombre Legal de la Entidad]</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Representante autorizado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[Nombre]</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Cargo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[Cargo]</w:t>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Firma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Fecha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after="60" w:before="260"/>
      </w:pPr>
      <w:r>
        <w:rPr>
          <w:rFonts w:ascii="Georgia" w:cs="Georgia" w:eastAsia="Georgia" w:hAnsi="Georgia"/>
          <w:b/>
          <w:bCs/>
          <w:color w:val="0B2338"/>
          <w:sz w:val="21"/>
          <w:szCs w:val="21"/>
        </w:rPr>
        <w:t xml:space="preserve">COMPRADOR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Nombre / Empresa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Representante</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Cargo</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Firma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r>
        <w:tc>
          <w:tcPr>
            <w:tcW w:type="pct" w:w="40%"/>
            <w:shd w:fill="F4F5F2" w:val="clear"/>
            <w:tcMar>
              <w:top w:type="dxa" w:w="100"/>
              <w:left w:type="dxa" w:w="120"/>
              <w:bottom w:type="dxa" w:w="100"/>
              <w:right w:type="dxa" w:w="120"/>
            </w:tcMar>
            <w:vAlign w:val="center"/>
          </w:tcPr>
          <w:p>
            <w:r>
              <w:rPr>
                <w:rFonts w:ascii="Calibri" w:cs="Calibri" w:eastAsia="Calibri" w:hAnsi="Calibri"/>
                <w:b/>
                <w:bCs/>
                <w:color w:val="4C6572"/>
                <w:sz w:val="20"/>
                <w:szCs w:val="20"/>
              </w:rPr>
              <w:t xml:space="preserve">Fecha</w:t>
            </w:r>
          </w:p>
        </w:tc>
        <w:tc>
          <w:tcPr>
            <w:tcW w:type="pct" w:w="60%"/>
            <w:tcMar>
              <w:top w:type="dxa" w:w="100"/>
              <w:left w:type="dxa" w:w="120"/>
              <w:bottom w:type="dxa" w:w="100"/>
              <w:right w:type="dxa" w:w="120"/>
            </w:tcMar>
            <w:vAlign w:val="center"/>
          </w:tcPr>
          <w:p>
            <w:r>
              <w:rPr>
                <w:rFonts w:ascii="Calibri" w:cs="Calibri" w:eastAsia="Calibri" w:hAnsi="Calibri"/>
                <w:b w:val="false"/>
                <w:bCs w:val="false"/>
                <w:color w:val="10202B"/>
                <w:sz w:val="20"/>
                <w:szCs w:val="20"/>
              </w:rPr>
              <w:t xml:space="preserve"/>
            </w:r>
          </w:p>
        </w:tc>
      </w:tr>
    </w:tbl>
    <w:p>
      <w:pPr>
        <w:spacing w:before="300"/>
      </w:pPr>
      <w:r>
        <w:rPr>
          <w:rFonts w:ascii="Calibri" w:cs="Calibri" w:eastAsia="Calibri" w:hAnsi="Calibri"/>
          <w:i/>
          <w:iCs/>
          <w:color w:val="4C6572"/>
          <w:sz w:val="18"/>
          <w:szCs w:val="18"/>
        </w:rPr>
        <w:t xml:space="preserve">Las partes reconocen y aceptan que las firmas manuscritas, firmas digitales, documentos electrónicos y confirmaciones mediante medios electrónicos verificables tendrán plena validez jurídica y efecto vinculante entre las partes.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2026-07-27T00:09:44.104Z</dcterms:created>
  <dcterms:modified xsi:type="dcterms:W3CDTF">2026-07-27T00:09:44.105Z</dcterms:modified>
</cp:coreProperties>
</file>

<file path=docProps/custom.xml><?xml version="1.0" encoding="utf-8"?>
<Properties xmlns="http://schemas.openxmlformats.org/officeDocument/2006/custom-properties" xmlns:vt="http://schemas.openxmlformats.org/officeDocument/2006/docPropsVTypes"/>
</file>