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0B2338"/>
          <w:sz w:val="40"/>
          <w:szCs w:val="40"/>
        </w:rPr>
        <w:t xml:space="preserve">NINDGE AUTOMOBILE</w:t>
      </w:r>
    </w:p>
    <w:p>
      <w:pPr>
        <w:spacing w:after="300"/>
        <w:jc w:val="center"/>
      </w:pPr>
      <w:r>
        <w:rPr>
          <w:rFonts w:ascii="Calibri" w:cs="Calibri" w:eastAsia="Calibri" w:hAnsi="Calibri"/>
          <w:b/>
          <w:bCs/>
          <w:color w:val="B24A17"/>
          <w:spacing w:val="20"/>
          <w:sz w:val="18"/>
          <w:szCs w:val="18"/>
        </w:rPr>
        <w:t xml:space="preserve">DIRECT EXPORT · CHINA FACTORY → LATIN AMERICAN PORT</w:t>
      </w:r>
    </w:p>
    <w:p>
      <w:pPr>
        <w:spacing w:after="60"/>
        <w:jc w:val="center"/>
      </w:pPr>
      <w:r>
        <w:rPr>
          <w:rFonts w:ascii="Georgia" w:cs="Georgia" w:eastAsia="Georgia" w:hAnsi="Georgia"/>
          <w:b/>
          <w:bCs/>
          <w:color w:val="0B2338"/>
          <w:sz w:val="28"/>
          <w:szCs w:val="28"/>
        </w:rPr>
        <w:t xml:space="preserve">INTERNATIONAL MASTER SALES AND EXPORT AGREEMENT</w:t>
      </w:r>
    </w:p>
    <w:p>
      <w:pPr>
        <w:spacing w:after="400"/>
        <w:jc w:val="center"/>
      </w:pPr>
      <w:r>
        <w:rPr>
          <w:rFonts w:ascii="Calibri" w:cs="Calibri" w:eastAsia="Calibri" w:hAnsi="Calibri"/>
          <w:color w:val="4C6572"/>
          <w:sz w:val="20"/>
          <w:szCs w:val="20"/>
        </w:rPr>
        <w:t xml:space="preserve">CIF TERMS (COST, INSURANCE AND FREIGHT)</w:t>
      </w:r>
    </w:p>
    <w:p>
      <w:pPr>
        <w:pBdr>
          <w:left w:val="single" w:color="B24A17" w:sz="18" w:space="8"/>
        </w:pBdr>
        <w:shd w:fill="FCEFE6" w:val="clear"/>
        <w:spacing w:after="200"/>
      </w:pPr>
      <w:r>
        <w:rPr>
          <w:rFonts w:ascii="Calibri" w:cs="Calibri" w:eastAsia="Calibri" w:hAnsi="Calibri"/>
          <w:i/>
          <w:iCs/>
          <w:color w:val="8A4A1E"/>
          <w:sz w:val="19"/>
          <w:szCs w:val="19"/>
        </w:rPr>
        <w:t xml:space="preserve">TO COMPLETE: Full legal name of the registered entity (e.g. "[Legal Name] S.A."), country of incorporation, and official contact details (email, phone/WhatsApp, address).</w:t>
      </w:r>
    </w:p>
    <w:p>
      <w:pPr>
        <w:pStyle w:val="Heading1"/>
        <w:pBdr>
          <w:bottom w:val="single" w:color="B24A17" w:sz="6" w:space="6"/>
        </w:pBdr>
        <w:spacing w:after="160" w:before="200"/>
      </w:pPr>
      <w:r>
        <w:rPr>
          <w:rFonts w:ascii="Georgia" w:cs="Georgia" w:eastAsia="Georgia" w:hAnsi="Georgia"/>
          <w:b/>
          <w:bCs/>
          <w:color w:val="0B2338"/>
          <w:sz w:val="26"/>
          <w:szCs w:val="26"/>
        </w:rPr>
        <w:t xml:space="preserve">Preamble</w:t>
      </w:r>
    </w:p>
    <w:p>
      <w:pPr>
        <w:spacing w:after="160" w:line="300"/>
      </w:pPr>
      <w:r>
        <w:rPr>
          <w:rFonts w:ascii="Calibri" w:cs="Calibri" w:eastAsia="Calibri" w:hAnsi="Calibri"/>
          <w:sz w:val="21"/>
          <w:szCs w:val="21"/>
        </w:rPr>
        <w:t xml:space="preserve">This International Master Sales and Export Agreement (the "Agreement") governs the general terms applicable to commercial transactions between Nindge Automobile, operated by [Legal Entity Name] (the "Seller"), and the client identified in the corresponding section of this document (the "Buyer").</w:t>
      </w:r>
    </w:p>
    <w:p>
      <w:pPr>
        <w:spacing w:after="160" w:line="300"/>
      </w:pPr>
      <w:r>
        <w:rPr>
          <w:rFonts w:ascii="Calibri" w:cs="Calibri" w:eastAsia="Calibri" w:hAnsi="Calibri"/>
          <w:sz w:val="21"/>
          <w:szCs w:val="21"/>
        </w:rPr>
        <w:t xml:space="preserve">The Seller supplies vehicles, trucks, machinery, industrial equipment, parts, and components under international CIF (Cost, Insurance and Freight) terms, in accordance with the Incoterms® currently published by the International Chamber of Commerce (ICC).</w:t>
      </w:r>
    </w:p>
    <w:p>
      <w:pPr>
        <w:spacing w:after="160" w:line="300"/>
      </w:pPr>
      <w:r>
        <w:rPr>
          <w:rFonts w:ascii="Calibri" w:cs="Calibri" w:eastAsia="Calibri" w:hAnsi="Calibri"/>
          <w:sz w:val="21"/>
          <w:szCs w:val="21"/>
        </w:rPr>
        <w:t xml:space="preserve">Our goal with this Agreement is for you to know exactly what to expect at every stage of the transaction — what our price covers, what you're responsible for handling in the destination country, and what protections you have as a Buyer. The specific conditions of each transaction (goods, CIF value, destination port, payment terms) are defined in the corresponding Proforma Invoice, which forms an integral part of this Agreement.</w:t>
      </w:r>
    </w:p>
    <w:p>
      <w:pPr>
        <w:pStyle w:val="Heading2"/>
        <w:spacing w:after="100" w:before="280"/>
      </w:pPr>
      <w:r>
        <w:rPr>
          <w:rFonts w:ascii="Georgia" w:cs="Georgia" w:eastAsia="Georgia" w:hAnsi="Georgia"/>
          <w:b/>
          <w:bCs/>
          <w:color w:val="B24A17"/>
          <w:sz w:val="22"/>
          <w:szCs w:val="22"/>
        </w:rPr>
        <w:t xml:space="preserve">ARTICLE 1 — </w:t>
      </w:r>
      <w:r>
        <w:rPr>
          <w:rFonts w:ascii="Georgia" w:cs="Georgia" w:eastAsia="Georgia" w:hAnsi="Georgia"/>
          <w:b/>
          <w:bCs/>
          <w:color w:val="0B2338"/>
          <w:sz w:val="22"/>
          <w:szCs w:val="22"/>
        </w:rPr>
        <w:t xml:space="preserve">PURPOSE</w:t>
      </w:r>
    </w:p>
    <w:p>
      <w:pPr>
        <w:spacing w:after="160" w:line="300"/>
      </w:pPr>
      <w:r>
        <w:rPr>
          <w:rFonts w:ascii="Calibri" w:cs="Calibri" w:eastAsia="Calibri" w:hAnsi="Calibri"/>
          <w:sz w:val="21"/>
          <w:szCs w:val="21"/>
        </w:rPr>
        <w:t xml:space="preserve">This Agreement governs the general terms applicable to the international sale, export, and supply of goods from the People's Republic of China to the destination port agreed between the parties, under CIF terms, in accordance with the Incoterms® currently in force.</w:t>
      </w:r>
    </w:p>
    <w:p>
      <w:pPr>
        <w:pStyle w:val="Heading2"/>
        <w:spacing w:after="100" w:before="280"/>
      </w:pPr>
      <w:r>
        <w:rPr>
          <w:rFonts w:ascii="Georgia" w:cs="Georgia" w:eastAsia="Georgia" w:hAnsi="Georgia"/>
          <w:b/>
          <w:bCs/>
          <w:color w:val="B24A17"/>
          <w:sz w:val="22"/>
          <w:szCs w:val="22"/>
        </w:rPr>
        <w:t xml:space="preserve">ARTICLE 2 — </w:t>
      </w:r>
      <w:r>
        <w:rPr>
          <w:rFonts w:ascii="Georgia" w:cs="Georgia" w:eastAsia="Georgia" w:hAnsi="Georgia"/>
          <w:b/>
          <w:bCs/>
          <w:color w:val="0B2338"/>
          <w:sz w:val="22"/>
          <w:szCs w:val="22"/>
        </w:rPr>
        <w:t xml:space="preserve">PRODUCTS</w:t>
      </w:r>
    </w:p>
    <w:p>
      <w:pPr>
        <w:spacing w:after="160" w:line="300"/>
      </w:pPr>
      <w:r>
        <w:rPr>
          <w:rFonts w:ascii="Calibri" w:cs="Calibri" w:eastAsia="Calibri" w:hAnsi="Calibri"/>
          <w:sz w:val="21"/>
          <w:szCs w:val="21"/>
        </w:rPr>
        <w:t xml:space="preserve">The goods covered by this Agreement may include private vehicles, sedans, SUVs, pickups, commercial trucks, dump trucks, heavy machinery, construction equipment, agricultural equipment, industrial equipment, automotive parts, and other related goods.</w:t>
      </w:r>
    </w:p>
    <w:p>
      <w:pPr>
        <w:spacing w:after="160" w:line="300"/>
      </w:pPr>
      <w:r>
        <w:rPr>
          <w:rFonts w:ascii="Calibri" w:cs="Calibri" w:eastAsia="Calibri" w:hAnsi="Calibri"/>
          <w:sz w:val="21"/>
          <w:szCs w:val="21"/>
        </w:rPr>
        <w:t xml:space="preserve">Each unit is identified in our catalog with its corresponding condition:</w:t>
      </w:r>
    </w:p>
    <w:p>
      <w:pPr>
        <w:spacing w:after="60"/>
        <w:ind w:left="360"/>
      </w:pPr>
      <w:r>
        <w:rPr>
          <w:rFonts w:ascii="Calibri" w:cs="Calibri" w:eastAsia="Calibri" w:hAnsi="Calibri"/>
          <w:sz w:val="21"/>
          <w:szCs w:val="21"/>
        </w:rPr>
        <w:t xml:space="preserve">•  Factory Mileage — new unit, with mileage limited to internal factory transfer only.</w:t>
      </w:r>
    </w:p>
    <w:p>
      <w:pPr>
        <w:spacing w:after="60"/>
        <w:ind w:left="360"/>
      </w:pPr>
      <w:r>
        <w:rPr>
          <w:rFonts w:ascii="Calibri" w:cs="Calibri" w:eastAsia="Calibri" w:hAnsi="Calibri"/>
          <w:sz w:val="21"/>
          <w:szCs w:val="21"/>
        </w:rPr>
        <w:t xml:space="preserve">•  Used — unit with prior use history, listed with year, approximate mileage, and prior inspection available.</w:t>
      </w:r>
    </w:p>
    <w:p>
      <w:pPr>
        <w:spacing w:after="160" w:line="300"/>
      </w:pPr>
      <w:r>
        <w:rPr>
          <w:rFonts w:ascii="Calibri" w:cs="Calibri" w:eastAsia="Calibri" w:hAnsi="Calibri"/>
          <w:sz w:val="21"/>
          <w:szCs w:val="21"/>
        </w:rPr>
        <w:t xml:space="preserve">The description, quantity, specifications, condition, CIF value, destination port, and other terms of each transaction are detailed in the corresponding Proforma Invoice.</w:t>
      </w:r>
    </w:p>
    <w:p>
      <w:pPr>
        <w:pStyle w:val="Heading2"/>
        <w:spacing w:after="100" w:before="280"/>
      </w:pPr>
      <w:r>
        <w:rPr>
          <w:rFonts w:ascii="Georgia" w:cs="Georgia" w:eastAsia="Georgia" w:hAnsi="Georgia"/>
          <w:b/>
          <w:bCs/>
          <w:color w:val="B24A17"/>
          <w:sz w:val="22"/>
          <w:szCs w:val="22"/>
        </w:rPr>
        <w:t xml:space="preserve">ARTICLE 3 — </w:t>
      </w:r>
      <w:r>
        <w:rPr>
          <w:rFonts w:ascii="Georgia" w:cs="Georgia" w:eastAsia="Georgia" w:hAnsi="Georgia"/>
          <w:b/>
          <w:bCs/>
          <w:color w:val="0B2338"/>
          <w:sz w:val="22"/>
          <w:szCs w:val="22"/>
        </w:rPr>
        <w:t xml:space="preserve">DEFINITIONS</w:t>
      </w:r>
    </w:p>
    <w:p>
      <w:pPr>
        <w:spacing w:after="160" w:line="300"/>
      </w:pPr>
      <w:r>
        <w:rPr>
          <w:rFonts w:ascii="Calibri" w:cs="Calibri" w:eastAsia="Calibri" w:hAnsi="Calibri"/>
          <w:sz w:val="21"/>
          <w:szCs w:val="21"/>
        </w:rPr>
        <w:t xml:space="preserve">Proforma Invoice: commercial document issued by the Seller containing the description of the goods, the CIF value of the transaction, payment terms, destination port, and quote validity.</w:t>
      </w:r>
    </w:p>
    <w:p>
      <w:pPr>
        <w:spacing w:after="160" w:line="300"/>
      </w:pPr>
      <w:r>
        <w:rPr>
          <w:rFonts w:ascii="Calibri" w:cs="Calibri" w:eastAsia="Calibri" w:hAnsi="Calibri"/>
          <w:sz w:val="21"/>
          <w:szCs w:val="21"/>
        </w:rPr>
        <w:t xml:space="preserve">CIF (Cost, Insurance and Freight): international trade term under the Incoterms® currently in force, under which the Seller delivers the goods to the agreed destination port, including the cost of the goods, international ocean freight, and transport insurance.</w:t>
      </w:r>
    </w:p>
    <w:p>
      <w:pPr>
        <w:spacing w:after="160" w:line="300"/>
      </w:pPr>
      <w:r>
        <w:rPr>
          <w:rFonts w:ascii="Calibri" w:cs="Calibri" w:eastAsia="Calibri" w:hAnsi="Calibri"/>
          <w:sz w:val="21"/>
          <w:szCs w:val="21"/>
        </w:rPr>
        <w:t xml:space="preserve">Destination Port: the international port agreed between the parties and specified in the Proforma Invoice.</w:t>
      </w:r>
    </w:p>
    <w:p>
      <w:pPr>
        <w:spacing w:after="160" w:line="300"/>
      </w:pPr>
      <w:r>
        <w:rPr>
          <w:rFonts w:ascii="Calibri" w:cs="Calibri" w:eastAsia="Calibri" w:hAnsi="Calibri"/>
          <w:sz w:val="21"/>
          <w:szCs w:val="21"/>
        </w:rPr>
        <w:t xml:space="preserve">Goods: vehicles, trucks, machinery, industrial equipment, parts, and any other product covered by the transaction.</w:t>
      </w:r>
    </w:p>
    <w:p>
      <w:pPr>
        <w:pStyle w:val="Heading2"/>
        <w:spacing w:after="100" w:before="280"/>
      </w:pPr>
      <w:r>
        <w:rPr>
          <w:rFonts w:ascii="Georgia" w:cs="Georgia" w:eastAsia="Georgia" w:hAnsi="Georgia"/>
          <w:b/>
          <w:bCs/>
          <w:color w:val="B24A17"/>
          <w:sz w:val="22"/>
          <w:szCs w:val="22"/>
        </w:rPr>
        <w:t xml:space="preserve">ARTICLE 4 — </w:t>
      </w:r>
      <w:r>
        <w:rPr>
          <w:rFonts w:ascii="Georgia" w:cs="Georgia" w:eastAsia="Georgia" w:hAnsi="Georgia"/>
          <w:b/>
          <w:bCs/>
          <w:color w:val="0B2338"/>
          <w:sz w:val="22"/>
          <w:szCs w:val="22"/>
        </w:rPr>
        <w:t xml:space="preserve">PRICE</w:t>
      </w:r>
    </w:p>
    <w:p>
      <w:pPr>
        <w:spacing w:after="160" w:line="300"/>
      </w:pPr>
      <w:r>
        <w:rPr>
          <w:rFonts w:ascii="Calibri" w:cs="Calibri" w:eastAsia="Calibri" w:hAnsi="Calibri"/>
          <w:sz w:val="21"/>
          <w:szCs w:val="21"/>
        </w:rPr>
        <w:t xml:space="preserve">The total price of each transaction is the CIF value indicated in the Proforma Invoice. The Proforma Invoice may include, for informational purposes only, a breakdown of the transaction value (goods, inland transport in China, export costs, ocean freight, insurance, documentation). This breakdown is for reference only and does not modify the total commercial price agreed.</w:t>
      </w:r>
    </w:p>
    <w:p>
      <w:pPr>
        <w:spacing w:after="160" w:line="300"/>
      </w:pPr>
      <w:r>
        <w:rPr>
          <w:rFonts w:ascii="Calibri" w:cs="Calibri" w:eastAsia="Calibri" w:hAnsi="Calibri"/>
          <w:sz w:val="21"/>
          <w:szCs w:val="21"/>
        </w:rPr>
        <w:t xml:space="preserve">All values are expressed in United States Dollars (USD), unless otherwise agreed in writing between the parties.</w:t>
      </w:r>
    </w:p>
    <w:p>
      <w:pPr>
        <w:pStyle w:val="Heading2"/>
        <w:spacing w:after="100" w:before="280"/>
      </w:pPr>
      <w:r>
        <w:rPr>
          <w:rFonts w:ascii="Georgia" w:cs="Georgia" w:eastAsia="Georgia" w:hAnsi="Georgia"/>
          <w:b/>
          <w:bCs/>
          <w:color w:val="B24A17"/>
          <w:sz w:val="22"/>
          <w:szCs w:val="22"/>
        </w:rPr>
        <w:t xml:space="preserve">ARTICLE 5 — </w:t>
      </w:r>
      <w:r>
        <w:rPr>
          <w:rFonts w:ascii="Georgia" w:cs="Georgia" w:eastAsia="Georgia" w:hAnsi="Georgia"/>
          <w:b/>
          <w:bCs/>
          <w:color w:val="0B2338"/>
          <w:sz w:val="22"/>
          <w:szCs w:val="22"/>
        </w:rPr>
        <w:t xml:space="preserve">CURRENCY AND METHOD OF PAYMENT</w:t>
      </w:r>
    </w:p>
    <w:p>
      <w:pPr>
        <w:spacing w:after="160" w:line="300"/>
      </w:pPr>
      <w:r>
        <w:rPr>
          <w:rFonts w:ascii="Calibri" w:cs="Calibri" w:eastAsia="Calibri" w:hAnsi="Calibri"/>
          <w:sz w:val="21"/>
          <w:szCs w:val="21"/>
        </w:rPr>
        <w:t xml:space="preserve">The Buyer may settle the transaction value through either of the following options, as agreed in the Proforma Invoice:</w:t>
      </w:r>
    </w:p>
    <w:p>
      <w:pPr>
        <w:spacing w:after="60"/>
        <w:ind w:left="360"/>
      </w:pPr>
      <w:r>
        <w:rPr>
          <w:rFonts w:ascii="Calibri" w:cs="Calibri" w:eastAsia="Calibri" w:hAnsi="Calibri"/>
          <w:sz w:val="21"/>
          <w:szCs w:val="21"/>
        </w:rPr>
        <w:t xml:space="preserve">•  Bank wire transfer in United States Dollars (USD).</w:t>
      </w:r>
    </w:p>
    <w:p>
      <w:pPr>
        <w:spacing w:after="60"/>
        <w:ind w:left="360"/>
      </w:pPr>
      <w:r>
        <w:rPr>
          <w:rFonts w:ascii="Calibri" w:cs="Calibri" w:eastAsia="Calibri" w:hAnsi="Calibri"/>
          <w:sz w:val="21"/>
          <w:szCs w:val="21"/>
        </w:rPr>
        <w:t xml:space="preserve">•  USDT (Tether), available as an alternative for destinations where access to international USD banking is limited.</w:t>
      </w:r>
    </w:p>
    <w:p>
      <w:pPr>
        <w:spacing w:after="160" w:line="300"/>
      </w:pPr>
      <w:r>
        <w:rPr>
          <w:rFonts w:ascii="Calibri" w:cs="Calibri" w:eastAsia="Calibri" w:hAnsi="Calibri"/>
          <w:sz w:val="21"/>
          <w:szCs w:val="21"/>
        </w:rPr>
        <w:t xml:space="preserve">Payments must only be made to the official bank accounts or digital wallet addresses communicated by the Seller through its verified corporate channels. We recommend the Buyer confirm payment details directly with our team before each transfer — we are glad to verify this information at any time.</w:t>
      </w:r>
    </w:p>
    <w:p>
      <w:pPr>
        <w:pStyle w:val="Heading2"/>
        <w:spacing w:after="100" w:before="280"/>
      </w:pPr>
      <w:r>
        <w:rPr>
          <w:rFonts w:ascii="Georgia" w:cs="Georgia" w:eastAsia="Georgia" w:hAnsi="Georgia"/>
          <w:b/>
          <w:bCs/>
          <w:color w:val="B24A17"/>
          <w:sz w:val="22"/>
          <w:szCs w:val="22"/>
        </w:rPr>
        <w:t xml:space="preserve">ARTICLE 6 — </w:t>
      </w:r>
      <w:r>
        <w:rPr>
          <w:rFonts w:ascii="Georgia" w:cs="Georgia" w:eastAsia="Georgia" w:hAnsi="Georgia"/>
          <w:b/>
          <w:bCs/>
          <w:color w:val="0B2338"/>
          <w:sz w:val="22"/>
          <w:szCs w:val="22"/>
        </w:rPr>
        <w:t xml:space="preserve">PAYMENT TERMS</w:t>
      </w:r>
    </w:p>
    <w:p>
      <w:pPr>
        <w:spacing w:after="160" w:line="300"/>
      </w:pPr>
      <w:r>
        <w:rPr>
          <w:rFonts w:ascii="Calibri" w:cs="Calibri" w:eastAsia="Calibri" w:hAnsi="Calibri"/>
          <w:sz w:val="21"/>
          <w:szCs w:val="21"/>
        </w:rPr>
        <w:t xml:space="preserve">The Buyer makes an initial payment equal to forty percent (40%) of the total CIF value indicated in the Proforma Invoice. Once confirmed, the Seller begins the procurement, verification, preparation, logistics coordination, export documentation, and international transport booking process.</w:t>
      </w:r>
    </w:p>
    <w:p>
      <w:pPr>
        <w:spacing w:after="160" w:line="300"/>
      </w:pPr>
      <w:r>
        <w:rPr>
          <w:rFonts w:ascii="Calibri" w:cs="Calibri" w:eastAsia="Calibri" w:hAnsi="Calibri"/>
          <w:sz w:val="21"/>
          <w:szCs w:val="21"/>
        </w:rPr>
        <w:t xml:space="preserve">The remaining sixty percent (60%) is due once the goods arrive at the agreed destination port, prior to release of the original shipping documents.</w:t>
      </w:r>
    </w:p>
    <w:p>
      <w:pPr>
        <w:spacing w:after="160" w:line="300"/>
      </w:pPr>
      <w:r>
        <w:rPr>
          <w:rFonts w:ascii="Calibri" w:cs="Calibri" w:eastAsia="Calibri" w:hAnsi="Calibri"/>
          <w:sz w:val="21"/>
          <w:szCs w:val="21"/>
        </w:rPr>
        <w:t xml:space="preserve">If the balance is not paid as agreed, the Seller may withhold the original documentation until the payment obligation is fulfilled in full. If any issue arises with paying the balance, we invite the Buyer to contact our team — we work with each client to find a reasonable solution before applying this measure.</w:t>
      </w:r>
    </w:p>
    <w:p>
      <w:pPr>
        <w:pStyle w:val="Heading2"/>
        <w:spacing w:after="100" w:before="280"/>
      </w:pPr>
      <w:r>
        <w:rPr>
          <w:rFonts w:ascii="Georgia" w:cs="Georgia" w:eastAsia="Georgia" w:hAnsi="Georgia"/>
          <w:b/>
          <w:bCs/>
          <w:color w:val="B24A17"/>
          <w:sz w:val="22"/>
          <w:szCs w:val="22"/>
        </w:rPr>
        <w:t xml:space="preserve">ARTICLE 7 — </w:t>
      </w:r>
      <w:r>
        <w:rPr>
          <w:rFonts w:ascii="Georgia" w:cs="Georgia" w:eastAsia="Georgia" w:hAnsi="Georgia"/>
          <w:b/>
          <w:bCs/>
          <w:color w:val="0B2338"/>
          <w:sz w:val="22"/>
          <w:szCs w:val="22"/>
        </w:rPr>
        <w:t xml:space="preserve">TRANSFER OF OWNERSHIP</w:t>
      </w:r>
    </w:p>
    <w:p>
      <w:pPr>
        <w:spacing w:after="160" w:line="300"/>
      </w:pPr>
      <w:r>
        <w:rPr>
          <w:rFonts w:ascii="Calibri" w:cs="Calibri" w:eastAsia="Calibri" w:hAnsi="Calibri"/>
          <w:sz w:val="21"/>
          <w:szCs w:val="21"/>
        </w:rPr>
        <w:t xml:space="preserve">Legal ownership of the goods remains with the Seller until the Buyer has made full payment (100%) of the CIF value indicated in the Proforma Invoice. Transfer of ownership does not affect the distribution of responsibilities established under CIF terms in accordance with the Incoterms® currently in force.</w:t>
      </w:r>
    </w:p>
    <w:p>
      <w:pPr>
        <w:pStyle w:val="Heading2"/>
        <w:spacing w:after="100" w:before="280"/>
      </w:pPr>
      <w:r>
        <w:rPr>
          <w:rFonts w:ascii="Georgia" w:cs="Georgia" w:eastAsia="Georgia" w:hAnsi="Georgia"/>
          <w:b/>
          <w:bCs/>
          <w:color w:val="B24A17"/>
          <w:sz w:val="22"/>
          <w:szCs w:val="22"/>
        </w:rPr>
        <w:t xml:space="preserve">ARTICLE 8 — </w:t>
      </w:r>
      <w:r>
        <w:rPr>
          <w:rFonts w:ascii="Georgia" w:cs="Georgia" w:eastAsia="Georgia" w:hAnsi="Georgia"/>
          <w:b/>
          <w:bCs/>
          <w:color w:val="0B2338"/>
          <w:sz w:val="22"/>
          <w:szCs w:val="22"/>
        </w:rPr>
        <w:t xml:space="preserve">RELEASE OF DOCUMENTS</w:t>
      </w:r>
    </w:p>
    <w:p>
      <w:pPr>
        <w:spacing w:after="160" w:line="300"/>
      </w:pPr>
      <w:r>
        <w:rPr>
          <w:rFonts w:ascii="Calibri" w:cs="Calibri" w:eastAsia="Calibri" w:hAnsi="Calibri"/>
          <w:sz w:val="21"/>
          <w:szCs w:val="21"/>
        </w:rPr>
        <w:t xml:space="preserve">Release of the original shipping documents is conditional on full payment (100%) of the CIF value. Once confirmed, the Seller will release the corresponding documentation so the Buyer can carry out import procedures and take possession of the goods at the destination port. This documentation includes, as applicable:</w:t>
      </w:r>
    </w:p>
    <w:p>
      <w:pPr>
        <w:spacing w:after="60"/>
        <w:ind w:left="360"/>
      </w:pPr>
      <w:r>
        <w:rPr>
          <w:rFonts w:ascii="Calibri" w:cs="Calibri" w:eastAsia="Calibri" w:hAnsi="Calibri"/>
          <w:sz w:val="21"/>
          <w:szCs w:val="21"/>
        </w:rPr>
        <w:t xml:space="preserve">•  Bill of Lading (B/L)</w:t>
      </w:r>
    </w:p>
    <w:p>
      <w:pPr>
        <w:spacing w:after="60"/>
        <w:ind w:left="360"/>
      </w:pPr>
      <w:r>
        <w:rPr>
          <w:rFonts w:ascii="Calibri" w:cs="Calibri" w:eastAsia="Calibri" w:hAnsi="Calibri"/>
          <w:sz w:val="21"/>
          <w:szCs w:val="21"/>
        </w:rPr>
        <w:t xml:space="preserve">•  Commercial Invoice</w:t>
      </w:r>
    </w:p>
    <w:p>
      <w:pPr>
        <w:spacing w:after="60"/>
        <w:ind w:left="360"/>
      </w:pPr>
      <w:r>
        <w:rPr>
          <w:rFonts w:ascii="Calibri" w:cs="Calibri" w:eastAsia="Calibri" w:hAnsi="Calibri"/>
          <w:sz w:val="21"/>
          <w:szCs w:val="21"/>
        </w:rPr>
        <w:t xml:space="preserve">•  Packing List</w:t>
      </w:r>
    </w:p>
    <w:p>
      <w:pPr>
        <w:spacing w:after="60"/>
        <w:ind w:left="360"/>
      </w:pPr>
      <w:r>
        <w:rPr>
          <w:rFonts w:ascii="Calibri" w:cs="Calibri" w:eastAsia="Calibri" w:hAnsi="Calibri"/>
          <w:sz w:val="21"/>
          <w:szCs w:val="21"/>
        </w:rPr>
        <w:t xml:space="preserve">•  Certificate of Origin</w:t>
      </w:r>
    </w:p>
    <w:p>
      <w:pPr>
        <w:spacing w:after="60"/>
        <w:ind w:left="360"/>
      </w:pPr>
      <w:r>
        <w:rPr>
          <w:rFonts w:ascii="Calibri" w:cs="Calibri" w:eastAsia="Calibri" w:hAnsi="Calibri"/>
          <w:sz w:val="21"/>
          <w:szCs w:val="21"/>
        </w:rPr>
        <w:t xml:space="preserve">•  Manufacturer certificates, where applicable</w:t>
      </w:r>
    </w:p>
    <w:p>
      <w:pPr>
        <w:spacing w:after="60"/>
        <w:ind w:left="360"/>
      </w:pPr>
      <w:r>
        <w:rPr>
          <w:rFonts w:ascii="Calibri" w:cs="Calibri" w:eastAsia="Calibri" w:hAnsi="Calibri"/>
          <w:sz w:val="21"/>
          <w:szCs w:val="21"/>
        </w:rPr>
        <w:t xml:space="preserve">•  Export documentation</w:t>
      </w:r>
    </w:p>
    <w:p>
      <w:pPr>
        <w:pStyle w:val="Heading2"/>
        <w:spacing w:after="100" w:before="280"/>
      </w:pPr>
      <w:r>
        <w:rPr>
          <w:rFonts w:ascii="Georgia" w:cs="Georgia" w:eastAsia="Georgia" w:hAnsi="Georgia"/>
          <w:b/>
          <w:bCs/>
          <w:color w:val="B24A17"/>
          <w:sz w:val="22"/>
          <w:szCs w:val="22"/>
        </w:rPr>
        <w:t xml:space="preserve">ARTICLE 9 — </w:t>
      </w:r>
      <w:r>
        <w:rPr>
          <w:rFonts w:ascii="Georgia" w:cs="Georgia" w:eastAsia="Georgia" w:hAnsi="Georgia"/>
          <w:b/>
          <w:bCs/>
          <w:color w:val="0B2338"/>
          <w:sz w:val="22"/>
          <w:szCs w:val="22"/>
        </w:rPr>
        <w:t xml:space="preserve">CIF TERMS — RESPONSIBILITIES</w:t>
      </w:r>
    </w:p>
    <w:p>
      <w:pPr>
        <w:spacing w:after="160" w:line="300"/>
      </w:pPr>
      <w:r>
        <w:rPr>
          <w:rFonts w:ascii="Calibri" w:cs="Calibri" w:eastAsia="Calibri" w:hAnsi="Calibri"/>
          <w:sz w:val="21"/>
          <w:szCs w:val="21"/>
        </w:rPr>
        <w:t xml:space="preserve">Under CIF terms, the Seller is responsible for:</w:t>
      </w:r>
    </w:p>
    <w:p>
      <w:pPr>
        <w:spacing w:after="60"/>
        <w:ind w:left="360"/>
      </w:pPr>
      <w:r>
        <w:rPr>
          <w:rFonts w:ascii="Calibri" w:cs="Calibri" w:eastAsia="Calibri" w:hAnsi="Calibri"/>
          <w:sz w:val="21"/>
          <w:szCs w:val="21"/>
        </w:rPr>
        <w:t xml:space="preserve">•  Procurement, preparation, and availability verification of the goods</w:t>
      </w:r>
    </w:p>
    <w:p>
      <w:pPr>
        <w:spacing w:after="60"/>
        <w:ind w:left="360"/>
      </w:pPr>
      <w:r>
        <w:rPr>
          <w:rFonts w:ascii="Calibri" w:cs="Calibri" w:eastAsia="Calibri" w:hAnsi="Calibri"/>
          <w:sz w:val="21"/>
          <w:szCs w:val="21"/>
        </w:rPr>
        <w:t xml:space="preserve">•  Export procedures within the People's Republic of China</w:t>
      </w:r>
    </w:p>
    <w:p>
      <w:pPr>
        <w:spacing w:after="60"/>
        <w:ind w:left="360"/>
      </w:pPr>
      <w:r>
        <w:rPr>
          <w:rFonts w:ascii="Calibri" w:cs="Calibri" w:eastAsia="Calibri" w:hAnsi="Calibri"/>
          <w:sz w:val="21"/>
          <w:szCs w:val="21"/>
        </w:rPr>
        <w:t xml:space="preserve">•  Inland transport to the port of departure and export port costs</w:t>
      </w:r>
    </w:p>
    <w:p>
      <w:pPr>
        <w:spacing w:after="60"/>
        <w:ind w:left="360"/>
      </w:pPr>
      <w:r>
        <w:rPr>
          <w:rFonts w:ascii="Calibri" w:cs="Calibri" w:eastAsia="Calibri" w:hAnsi="Calibri"/>
          <w:sz w:val="21"/>
          <w:szCs w:val="21"/>
        </w:rPr>
        <w:t xml:space="preserve">•  Booking and payment of international ocean freight to the agreed destination port</w:t>
      </w:r>
    </w:p>
    <w:p>
      <w:pPr>
        <w:spacing w:after="60"/>
        <w:ind w:left="360"/>
      </w:pPr>
      <w:r>
        <w:rPr>
          <w:rFonts w:ascii="Calibri" w:cs="Calibri" w:eastAsia="Calibri" w:hAnsi="Calibri"/>
          <w:sz w:val="21"/>
          <w:szCs w:val="21"/>
        </w:rPr>
        <w:t xml:space="preserve">•  Arranging marine transport insurance</w:t>
      </w:r>
    </w:p>
    <w:p>
      <w:pPr>
        <w:spacing w:after="60"/>
        <w:ind w:left="360"/>
      </w:pPr>
      <w:r>
        <w:rPr>
          <w:rFonts w:ascii="Calibri" w:cs="Calibri" w:eastAsia="Calibri" w:hAnsi="Calibri"/>
          <w:sz w:val="21"/>
          <w:szCs w:val="21"/>
        </w:rPr>
        <w:t xml:space="preserve">•  Issuing the corresponding commercial and logistics documentation</w:t>
      </w:r>
    </w:p>
    <w:p>
      <w:pPr>
        <w:spacing w:after="160" w:line="300"/>
      </w:pPr>
      <w:r>
        <w:rPr>
          <w:rFonts w:ascii="Calibri" w:cs="Calibri" w:eastAsia="Calibri" w:hAnsi="Calibri"/>
          <w:sz w:val="21"/>
          <w:szCs w:val="21"/>
        </w:rPr>
        <w:t xml:space="preserve">The Buyer is responsible for:</w:t>
      </w:r>
    </w:p>
    <w:p>
      <w:pPr>
        <w:spacing w:after="60"/>
        <w:ind w:left="360"/>
      </w:pPr>
      <w:r>
        <w:rPr>
          <w:rFonts w:ascii="Calibri" w:cs="Calibri" w:eastAsia="Calibri" w:hAnsi="Calibri"/>
          <w:sz w:val="21"/>
          <w:szCs w:val="21"/>
        </w:rPr>
        <w:t xml:space="preserve">•  Import and customs clearance procedures in the destination country</w:t>
      </w:r>
    </w:p>
    <w:p>
      <w:pPr>
        <w:spacing w:after="60"/>
        <w:ind w:left="360"/>
      </w:pPr>
      <w:r>
        <w:rPr>
          <w:rFonts w:ascii="Calibri" w:cs="Calibri" w:eastAsia="Calibri" w:hAnsi="Calibri"/>
          <w:sz w:val="21"/>
          <w:szCs w:val="21"/>
        </w:rPr>
        <w:t xml:space="preserve">•  Taxes, duties, fees, and other charges required by the competent authorities</w:t>
      </w:r>
    </w:p>
    <w:p>
      <w:pPr>
        <w:spacing w:after="60"/>
        <w:ind w:left="360"/>
      </w:pPr>
      <w:r>
        <w:rPr>
          <w:rFonts w:ascii="Calibri" w:cs="Calibri" w:eastAsia="Calibri" w:hAnsi="Calibri"/>
          <w:sz w:val="21"/>
          <w:szCs w:val="21"/>
        </w:rPr>
        <w:t xml:space="preserve">•  Customs clearance and customs broker fees</w:t>
      </w:r>
    </w:p>
    <w:p>
      <w:pPr>
        <w:spacing w:after="60"/>
        <w:ind w:left="360"/>
      </w:pPr>
      <w:r>
        <w:rPr>
          <w:rFonts w:ascii="Calibri" w:cs="Calibri" w:eastAsia="Calibri" w:hAnsi="Calibri"/>
          <w:sz w:val="21"/>
          <w:szCs w:val="21"/>
        </w:rPr>
        <w:t xml:space="preserve">•  Storage or demurrage costs arising after the goods arrive at the destination port</w:t>
      </w:r>
    </w:p>
    <w:p>
      <w:pPr>
        <w:spacing w:after="60"/>
        <w:ind w:left="360"/>
      </w:pPr>
      <w:r>
        <w:rPr>
          <w:rFonts w:ascii="Calibri" w:cs="Calibri" w:eastAsia="Calibri" w:hAnsi="Calibri"/>
          <w:sz w:val="21"/>
          <w:szCs w:val="21"/>
        </w:rPr>
        <w:t xml:space="preserve">•  Transport from the destination port to the final delivery location</w:t>
      </w:r>
    </w:p>
    <w:p>
      <w:pPr>
        <w:spacing w:after="60"/>
        <w:ind w:left="360"/>
      </w:pPr>
      <w:r>
        <w:rPr>
          <w:rFonts w:ascii="Calibri" w:cs="Calibri" w:eastAsia="Calibri" w:hAnsi="Calibri"/>
          <w:sz w:val="21"/>
          <w:szCs w:val="21"/>
        </w:rPr>
        <w:t xml:space="preserve">•  Permits, registrations, or licenses required by the destination country's legislation</w:t>
      </w:r>
    </w:p>
    <w:p>
      <w:pPr>
        <w:spacing w:after="160" w:line="300"/>
      </w:pPr>
      <w:r>
        <w:rPr>
          <w:rFonts w:ascii="Calibri" w:cs="Calibri" w:eastAsia="Calibri" w:hAnsi="Calibri"/>
          <w:sz w:val="21"/>
          <w:szCs w:val="21"/>
        </w:rPr>
        <w:t xml:space="preserve">To help you plan, our online quote calculator includes a reference estimate of these destination-side costs alongside the CIF value — so you have a sense of the total cost before committing, though the exact amount depends on the rates in effect in your country at the time of customs clearance.</w:t>
      </w:r>
    </w:p>
    <w:p>
      <w:pPr>
        <w:pStyle w:val="Heading2"/>
        <w:spacing w:after="100" w:before="280"/>
      </w:pPr>
      <w:r>
        <w:rPr>
          <w:rFonts w:ascii="Georgia" w:cs="Georgia" w:eastAsia="Georgia" w:hAnsi="Georgia"/>
          <w:b/>
          <w:bCs/>
          <w:color w:val="B24A17"/>
          <w:sz w:val="22"/>
          <w:szCs w:val="22"/>
        </w:rPr>
        <w:t xml:space="preserve">ARTICLE 10 — </w:t>
      </w:r>
      <w:r>
        <w:rPr>
          <w:rFonts w:ascii="Georgia" w:cs="Georgia" w:eastAsia="Georgia" w:hAnsi="Georgia"/>
          <w:b/>
          <w:bCs/>
          <w:color w:val="0B2338"/>
          <w:sz w:val="22"/>
          <w:szCs w:val="22"/>
        </w:rPr>
        <w:t xml:space="preserve">PRE-SHIPMENT INSPECTION</w:t>
      </w:r>
    </w:p>
    <w:p>
      <w:pPr>
        <w:spacing w:after="160" w:line="300"/>
      </w:pPr>
      <w:r>
        <w:rPr>
          <w:rFonts w:ascii="Calibri" w:cs="Calibri" w:eastAsia="Calibri" w:hAnsi="Calibri"/>
          <w:sz w:val="21"/>
          <w:szCs w:val="21"/>
        </w:rPr>
        <w:t xml:space="preserve">Before finalizing the transaction, the Seller makes available to the Buyer the information available on the goods: photographs, videos, technical specifications, inspection reports, and manufacturer documentation. The Buyer confirms having reviewed this information and that the transaction is made on that basis.</w:t>
      </w:r>
    </w:p>
    <w:p>
      <w:pPr>
        <w:pStyle w:val="Heading2"/>
        <w:spacing w:after="100" w:before="280"/>
      </w:pPr>
      <w:r>
        <w:rPr>
          <w:rFonts w:ascii="Georgia" w:cs="Georgia" w:eastAsia="Georgia" w:hAnsi="Georgia"/>
          <w:b/>
          <w:bCs/>
          <w:color w:val="B24A17"/>
          <w:sz w:val="22"/>
          <w:szCs w:val="22"/>
        </w:rPr>
        <w:t xml:space="preserve">ARTICLE 11 — </w:t>
      </w:r>
      <w:r>
        <w:rPr>
          <w:rFonts w:ascii="Georgia" w:cs="Georgia" w:eastAsia="Georgia" w:hAnsi="Georgia"/>
          <w:b/>
          <w:bCs/>
          <w:color w:val="0B2338"/>
          <w:sz w:val="22"/>
          <w:szCs w:val="22"/>
        </w:rPr>
        <w:t xml:space="preserve">AVAILABILITY</w:t>
      </w:r>
    </w:p>
    <w:p>
      <w:pPr>
        <w:spacing w:after="160" w:line="300"/>
      </w:pPr>
      <w:r>
        <w:rPr>
          <w:rFonts w:ascii="Calibri" w:cs="Calibri" w:eastAsia="Calibri" w:hAnsi="Calibri"/>
          <w:sz w:val="21"/>
          <w:szCs w:val="21"/>
        </w:rPr>
        <w:t xml:space="preserve">Availability of the selected unit is confirmed upon receipt of the initial payment. If the requested goods become unavailable before such confirmation, the Seller will notify the Buyer as soon as reasonably possible and may offer an alternative unit of similar characteristics — which will only be supplied with the Buyer's prior written acceptance.</w:t>
      </w:r>
    </w:p>
    <w:p>
      <w:pPr>
        <w:pStyle w:val="Heading2"/>
        <w:spacing w:after="100" w:before="280"/>
      </w:pPr>
      <w:r>
        <w:rPr>
          <w:rFonts w:ascii="Georgia" w:cs="Georgia" w:eastAsia="Georgia" w:hAnsi="Georgia"/>
          <w:b/>
          <w:bCs/>
          <w:color w:val="B24A17"/>
          <w:sz w:val="22"/>
          <w:szCs w:val="22"/>
        </w:rPr>
        <w:t xml:space="preserve">ARTICLE 12 — </w:t>
      </w:r>
      <w:r>
        <w:rPr>
          <w:rFonts w:ascii="Georgia" w:cs="Georgia" w:eastAsia="Georgia" w:hAnsi="Georgia"/>
          <w:b/>
          <w:bCs/>
          <w:color w:val="0B2338"/>
          <w:sz w:val="22"/>
          <w:szCs w:val="22"/>
        </w:rPr>
        <w:t xml:space="preserve">SHIPMENT</w:t>
      </w:r>
    </w:p>
    <w:p>
      <w:pPr>
        <w:spacing w:after="160" w:line="300"/>
      </w:pPr>
      <w:r>
        <w:rPr>
          <w:rFonts w:ascii="Calibri" w:cs="Calibri" w:eastAsia="Calibri" w:hAnsi="Calibri"/>
          <w:sz w:val="21"/>
          <w:szCs w:val="21"/>
        </w:rPr>
        <w:t xml:space="preserve">Once payment terms have been met, the Seller coordinates the international shipment in accordance with the agreed commercial terms and available logistics. The Seller may make partial shipments where operational conditions require it, reasonably informing the Buyer.</w:t>
      </w:r>
    </w:p>
    <w:p>
      <w:pPr>
        <w:pStyle w:val="Heading2"/>
        <w:spacing w:after="100" w:before="280"/>
      </w:pPr>
      <w:r>
        <w:rPr>
          <w:rFonts w:ascii="Georgia" w:cs="Georgia" w:eastAsia="Georgia" w:hAnsi="Georgia"/>
          <w:b/>
          <w:bCs/>
          <w:color w:val="B24A17"/>
          <w:sz w:val="22"/>
          <w:szCs w:val="22"/>
        </w:rPr>
        <w:t xml:space="preserve">ARTICLE 13 — </w:t>
      </w:r>
      <w:r>
        <w:rPr>
          <w:rFonts w:ascii="Georgia" w:cs="Georgia" w:eastAsia="Georgia" w:hAnsi="Georgia"/>
          <w:b/>
          <w:bCs/>
          <w:color w:val="0B2338"/>
          <w:sz w:val="22"/>
          <w:szCs w:val="22"/>
        </w:rPr>
        <w:t xml:space="preserve">TRACKING</w:t>
      </w:r>
    </w:p>
    <w:p>
      <w:pPr>
        <w:spacing w:after="160" w:line="300"/>
      </w:pPr>
      <w:r>
        <w:rPr>
          <w:rFonts w:ascii="Calibri" w:cs="Calibri" w:eastAsia="Calibri" w:hAnsi="Calibri"/>
          <w:sz w:val="21"/>
          <w:szCs w:val="21"/>
        </w:rPr>
        <w:t xml:space="preserve">Once the shipment has taken place, the Seller will share with the Buyer the information available on the transaction: Bill of Lading, shipping line, container number, shipment photographs, and tracking documentation when available.</w:t>
      </w:r>
    </w:p>
    <w:p>
      <w:pPr>
        <w:pStyle w:val="Heading2"/>
        <w:spacing w:after="100" w:before="280"/>
      </w:pPr>
      <w:r>
        <w:rPr>
          <w:rFonts w:ascii="Georgia" w:cs="Georgia" w:eastAsia="Georgia" w:hAnsi="Georgia"/>
          <w:b/>
          <w:bCs/>
          <w:color w:val="B24A17"/>
          <w:sz w:val="22"/>
          <w:szCs w:val="22"/>
        </w:rPr>
        <w:t xml:space="preserve">ARTICLE 14 — </w:t>
      </w:r>
      <w:r>
        <w:rPr>
          <w:rFonts w:ascii="Georgia" w:cs="Georgia" w:eastAsia="Georgia" w:hAnsi="Georgia"/>
          <w:b/>
          <w:bCs/>
          <w:color w:val="0B2338"/>
          <w:sz w:val="22"/>
          <w:szCs w:val="22"/>
        </w:rPr>
        <w:t xml:space="preserve">DELIVERY TIMELINE</w:t>
      </w:r>
    </w:p>
    <w:p>
      <w:pPr>
        <w:spacing w:after="160" w:line="300"/>
      </w:pPr>
      <w:r>
        <w:rPr>
          <w:rFonts w:ascii="Calibri" w:cs="Calibri" w:eastAsia="Calibri" w:hAnsi="Calibri"/>
          <w:sz w:val="21"/>
          <w:szCs w:val="21"/>
        </w:rPr>
        <w:t xml:space="preserve">Estimated ocean transit time is approximately thirty-five (35) to forty-five (45) calendar days, depending on the destination port and international logistics conditions. These dates are estimates.</w:t>
      </w:r>
    </w:p>
    <w:p>
      <w:pPr>
        <w:spacing w:after="160" w:line="300"/>
      </w:pPr>
      <w:r>
        <w:rPr>
          <w:rFonts w:ascii="Calibri" w:cs="Calibri" w:eastAsia="Calibri" w:hAnsi="Calibri"/>
          <w:sz w:val="21"/>
          <w:szCs w:val="21"/>
        </w:rPr>
        <w:t xml:space="preserve">The Seller acts diligently in the face of delays caused by shipping lines, port or customs authorities, or other circumstances beyond its reasonable control, and will keep the Buyer informed throughout the process.</w:t>
      </w:r>
    </w:p>
    <w:p>
      <w:pPr>
        <w:pStyle w:val="Heading2"/>
        <w:spacing w:after="100" w:before="280"/>
      </w:pPr>
      <w:r>
        <w:rPr>
          <w:rFonts w:ascii="Georgia" w:cs="Georgia" w:eastAsia="Georgia" w:hAnsi="Georgia"/>
          <w:b/>
          <w:bCs/>
          <w:color w:val="B24A17"/>
          <w:sz w:val="22"/>
          <w:szCs w:val="22"/>
        </w:rPr>
        <w:t xml:space="preserve">ARTICLE 15 — </w:t>
      </w:r>
      <w:r>
        <w:rPr>
          <w:rFonts w:ascii="Georgia" w:cs="Georgia" w:eastAsia="Georgia" w:hAnsi="Georgia"/>
          <w:b/>
          <w:bCs/>
          <w:color w:val="0B2338"/>
          <w:sz w:val="22"/>
          <w:szCs w:val="22"/>
        </w:rPr>
        <w:t xml:space="preserve">SELLER'S OBLIGATIONS</w:t>
      </w:r>
    </w:p>
    <w:p>
      <w:pPr>
        <w:spacing w:after="60"/>
        <w:ind w:left="360"/>
      </w:pPr>
      <w:r>
        <w:rPr>
          <w:rFonts w:ascii="Calibri" w:cs="Calibri" w:eastAsia="Calibri" w:hAnsi="Calibri"/>
          <w:sz w:val="21"/>
          <w:szCs w:val="21"/>
        </w:rPr>
        <w:t xml:space="preserve">•  Supply the goods in accordance with the Proforma Invoice</w:t>
      </w:r>
    </w:p>
    <w:p>
      <w:pPr>
        <w:spacing w:after="60"/>
        <w:ind w:left="360"/>
      </w:pPr>
      <w:r>
        <w:rPr>
          <w:rFonts w:ascii="Calibri" w:cs="Calibri" w:eastAsia="Calibri" w:hAnsi="Calibri"/>
          <w:sz w:val="21"/>
          <w:szCs w:val="21"/>
        </w:rPr>
        <w:t xml:space="preserve">•  Reasonably verify availability before finalizing the transaction</w:t>
      </w:r>
    </w:p>
    <w:p>
      <w:pPr>
        <w:spacing w:after="60"/>
        <w:ind w:left="360"/>
      </w:pPr>
      <w:r>
        <w:rPr>
          <w:rFonts w:ascii="Calibri" w:cs="Calibri" w:eastAsia="Calibri" w:hAnsi="Calibri"/>
          <w:sz w:val="21"/>
          <w:szCs w:val="21"/>
        </w:rPr>
        <w:t xml:space="preserve">•  Manage export procedures in accordance with applicable Chinese law</w:t>
      </w:r>
    </w:p>
    <w:p>
      <w:pPr>
        <w:spacing w:after="60"/>
        <w:ind w:left="360"/>
      </w:pPr>
      <w:r>
        <w:rPr>
          <w:rFonts w:ascii="Calibri" w:cs="Calibri" w:eastAsia="Calibri" w:hAnsi="Calibri"/>
          <w:sz w:val="21"/>
          <w:szCs w:val="21"/>
        </w:rPr>
        <w:t xml:space="preserve">•  Coordinate international transport under CIF terms</w:t>
      </w:r>
    </w:p>
    <w:p>
      <w:pPr>
        <w:spacing w:after="60"/>
        <w:ind w:left="360"/>
      </w:pPr>
      <w:r>
        <w:rPr>
          <w:rFonts w:ascii="Calibri" w:cs="Calibri" w:eastAsia="Calibri" w:hAnsi="Calibri"/>
          <w:sz w:val="21"/>
          <w:szCs w:val="21"/>
        </w:rPr>
        <w:t xml:space="preserve">•  Arrange marine transport insurance</w:t>
      </w:r>
    </w:p>
    <w:p>
      <w:pPr>
        <w:spacing w:after="60"/>
        <w:ind w:left="360"/>
      </w:pPr>
      <w:r>
        <w:rPr>
          <w:rFonts w:ascii="Calibri" w:cs="Calibri" w:eastAsia="Calibri" w:hAnsi="Calibri"/>
          <w:sz w:val="21"/>
          <w:szCs w:val="21"/>
        </w:rPr>
        <w:t xml:space="preserve">•  Issue the necessary documentation and keep the Buyer informed</w:t>
      </w:r>
    </w:p>
    <w:p>
      <w:pPr>
        <w:spacing w:after="60"/>
        <w:ind w:left="360"/>
      </w:pPr>
      <w:r>
        <w:rPr>
          <w:rFonts w:ascii="Calibri" w:cs="Calibri" w:eastAsia="Calibri" w:hAnsi="Calibri"/>
          <w:sz w:val="21"/>
          <w:szCs w:val="21"/>
        </w:rPr>
        <w:t xml:space="preserve">•  Act with diligence, good faith, and professionalism throughout the transaction</w:t>
      </w:r>
    </w:p>
    <w:p>
      <w:pPr>
        <w:pStyle w:val="Heading2"/>
        <w:spacing w:after="100" w:before="280"/>
      </w:pPr>
      <w:r>
        <w:rPr>
          <w:rFonts w:ascii="Georgia" w:cs="Georgia" w:eastAsia="Georgia" w:hAnsi="Georgia"/>
          <w:b/>
          <w:bCs/>
          <w:color w:val="B24A17"/>
          <w:sz w:val="22"/>
          <w:szCs w:val="22"/>
        </w:rPr>
        <w:t xml:space="preserve">ARTICLE 16 — </w:t>
      </w:r>
      <w:r>
        <w:rPr>
          <w:rFonts w:ascii="Georgia" w:cs="Georgia" w:eastAsia="Georgia" w:hAnsi="Georgia"/>
          <w:b/>
          <w:bCs/>
          <w:color w:val="0B2338"/>
          <w:sz w:val="22"/>
          <w:szCs w:val="22"/>
        </w:rPr>
        <w:t xml:space="preserve">BUYER'S OBLIGATIONS</w:t>
      </w:r>
    </w:p>
    <w:p>
      <w:pPr>
        <w:spacing w:after="60"/>
        <w:ind w:left="360"/>
      </w:pPr>
      <w:r>
        <w:rPr>
          <w:rFonts w:ascii="Calibri" w:cs="Calibri" w:eastAsia="Calibri" w:hAnsi="Calibri"/>
          <w:sz w:val="21"/>
          <w:szCs w:val="21"/>
        </w:rPr>
        <w:t xml:space="preserve">•  Make payments on time as established</w:t>
      </w:r>
    </w:p>
    <w:p>
      <w:pPr>
        <w:spacing w:after="60"/>
        <w:ind w:left="360"/>
      </w:pPr>
      <w:r>
        <w:rPr>
          <w:rFonts w:ascii="Calibri" w:cs="Calibri" w:eastAsia="Calibri" w:hAnsi="Calibri"/>
          <w:sz w:val="21"/>
          <w:szCs w:val="21"/>
        </w:rPr>
        <w:t xml:space="preserve">•  Provide truthful and complete information</w:t>
      </w:r>
    </w:p>
    <w:p>
      <w:pPr>
        <w:spacing w:after="60"/>
        <w:ind w:left="360"/>
      </w:pPr>
      <w:r>
        <w:rPr>
          <w:rFonts w:ascii="Calibri" w:cs="Calibri" w:eastAsia="Calibri" w:hAnsi="Calibri"/>
          <w:sz w:val="21"/>
          <w:szCs w:val="21"/>
        </w:rPr>
        <w:t xml:space="preserve">•  Comply with the import regulations of their country</w:t>
      </w:r>
    </w:p>
    <w:p>
      <w:pPr>
        <w:spacing w:after="60"/>
        <w:ind w:left="360"/>
      </w:pPr>
      <w:r>
        <w:rPr>
          <w:rFonts w:ascii="Calibri" w:cs="Calibri" w:eastAsia="Calibri" w:hAnsi="Calibri"/>
          <w:sz w:val="21"/>
          <w:szCs w:val="21"/>
        </w:rPr>
        <w:t xml:space="preserve">•  Handle customs clearance of the goods in a timely manner</w:t>
      </w:r>
    </w:p>
    <w:p>
      <w:pPr>
        <w:spacing w:after="60"/>
        <w:ind w:left="360"/>
      </w:pPr>
      <w:r>
        <w:rPr>
          <w:rFonts w:ascii="Calibri" w:cs="Calibri" w:eastAsia="Calibri" w:hAnsi="Calibri"/>
          <w:sz w:val="21"/>
          <w:szCs w:val="21"/>
        </w:rPr>
        <w:t xml:space="preserve">•  Obtain required permits and licenses</w:t>
      </w:r>
    </w:p>
    <w:p>
      <w:pPr>
        <w:spacing w:after="60"/>
        <w:ind w:left="360"/>
      </w:pPr>
      <w:r>
        <w:rPr>
          <w:rFonts w:ascii="Calibri" w:cs="Calibri" w:eastAsia="Calibri" w:hAnsi="Calibri"/>
          <w:sz w:val="21"/>
          <w:szCs w:val="21"/>
        </w:rPr>
        <w:t xml:space="preserve">•  Bear the import costs applicable in the destination country</w:t>
      </w:r>
    </w:p>
    <w:p>
      <w:pPr>
        <w:spacing w:after="60"/>
        <w:ind w:left="360"/>
      </w:pPr>
      <w:r>
        <w:rPr>
          <w:rFonts w:ascii="Calibri" w:cs="Calibri" w:eastAsia="Calibri" w:hAnsi="Calibri"/>
          <w:sz w:val="21"/>
          <w:szCs w:val="21"/>
        </w:rPr>
        <w:t xml:space="preserve">•  Cooperate with the Seller when necessary for the proper execution of the transaction</w:t>
      </w:r>
    </w:p>
    <w:p>
      <w:pPr>
        <w:pStyle w:val="Heading2"/>
        <w:spacing w:after="100" w:before="280"/>
      </w:pPr>
      <w:r>
        <w:rPr>
          <w:rFonts w:ascii="Georgia" w:cs="Georgia" w:eastAsia="Georgia" w:hAnsi="Georgia"/>
          <w:b/>
          <w:bCs/>
          <w:color w:val="B24A17"/>
          <w:sz w:val="22"/>
          <w:szCs w:val="22"/>
        </w:rPr>
        <w:t xml:space="preserve">ARTICLE 17 — </w:t>
      </w:r>
      <w:r>
        <w:rPr>
          <w:rFonts w:ascii="Georgia" w:cs="Georgia" w:eastAsia="Georgia" w:hAnsi="Georgia"/>
          <w:b/>
          <w:bCs/>
          <w:color w:val="0B2338"/>
          <w:sz w:val="22"/>
          <w:szCs w:val="22"/>
        </w:rPr>
        <w:t xml:space="preserve">FRAUD PREVENTION</w:t>
      </w:r>
    </w:p>
    <w:p>
      <w:pPr>
        <w:spacing w:after="160" w:line="300"/>
      </w:pPr>
      <w:r>
        <w:rPr>
          <w:rFonts w:ascii="Calibri" w:cs="Calibri" w:eastAsia="Calibri" w:hAnsi="Calibri"/>
          <w:sz w:val="21"/>
          <w:szCs w:val="21"/>
        </w:rPr>
        <w:t xml:space="preserve">To protect both parties, the Buyer must only make payments to the accounts or digital wallet addresses officially communicated by the Seller through its verified corporate channels. If there is any doubt about the authenticity of a payment instruction, contact us directly before transferring — we are glad to verify the information.</w:t>
      </w:r>
    </w:p>
    <w:p>
      <w:pPr>
        <w:spacing w:after="160" w:line="300"/>
      </w:pPr>
      <w:r>
        <w:rPr>
          <w:rFonts w:ascii="Calibri" w:cs="Calibri" w:eastAsia="Calibri" w:hAnsi="Calibri"/>
          <w:sz w:val="21"/>
          <w:szCs w:val="21"/>
        </w:rPr>
        <w:t xml:space="preserve">The Seller is not responsible for payments made to unauthorized third parties, incorrect accounts, or fraudulent instructions not officially issued by the Seller. Once a transfer to an official payment method has been confirmed, the payment is considered validly made.</w:t>
      </w:r>
    </w:p>
    <w:p>
      <w:pPr>
        <w:pStyle w:val="Heading2"/>
        <w:spacing w:after="100" w:before="280"/>
      </w:pPr>
      <w:r>
        <w:rPr>
          <w:rFonts w:ascii="Georgia" w:cs="Georgia" w:eastAsia="Georgia" w:hAnsi="Georgia"/>
          <w:b/>
          <w:bCs/>
          <w:color w:val="B24A17"/>
          <w:sz w:val="22"/>
          <w:szCs w:val="22"/>
        </w:rPr>
        <w:t xml:space="preserve">ARTICLE 18 — </w:t>
      </w:r>
      <w:r>
        <w:rPr>
          <w:rFonts w:ascii="Georgia" w:cs="Georgia" w:eastAsia="Georgia" w:hAnsi="Georgia"/>
          <w:b/>
          <w:bCs/>
          <w:color w:val="0B2338"/>
          <w:sz w:val="22"/>
          <w:szCs w:val="22"/>
        </w:rPr>
        <w:t xml:space="preserve">CORPORATE VERIFICATION</w:t>
      </w:r>
    </w:p>
    <w:p>
      <w:pPr>
        <w:spacing w:after="160" w:line="300"/>
      </w:pPr>
      <w:r>
        <w:rPr>
          <w:rFonts w:ascii="Calibri" w:cs="Calibri" w:eastAsia="Calibri" w:hAnsi="Calibri"/>
          <w:sz w:val="21"/>
          <w:szCs w:val="21"/>
        </w:rPr>
        <w:t xml:space="preserve">The Buyer has the right to request and review the Seller's corporate documentation before finalizing the transaction, including business license, commercial registration, and authorized representative information. We think it's reasonable for a Buyer to want to verify who they're doing business with, and we're glad to provide this information.</w:t>
      </w:r>
    </w:p>
    <w:p>
      <w:pPr>
        <w:pStyle w:val="Heading2"/>
        <w:spacing w:after="100" w:before="280"/>
      </w:pPr>
      <w:r>
        <w:rPr>
          <w:rFonts w:ascii="Georgia" w:cs="Georgia" w:eastAsia="Georgia" w:hAnsi="Georgia"/>
          <w:b/>
          <w:bCs/>
          <w:color w:val="B24A17"/>
          <w:sz w:val="22"/>
          <w:szCs w:val="22"/>
        </w:rPr>
        <w:t xml:space="preserve">ARTICLE 19 — </w:t>
      </w:r>
      <w:r>
        <w:rPr>
          <w:rFonts w:ascii="Georgia" w:cs="Georgia" w:eastAsia="Georgia" w:hAnsi="Georgia"/>
          <w:b/>
          <w:bCs/>
          <w:color w:val="0B2338"/>
          <w:sz w:val="22"/>
          <w:szCs w:val="22"/>
        </w:rPr>
        <w:t xml:space="preserve">CONFIDENTIALITY</w:t>
      </w:r>
    </w:p>
    <w:p>
      <w:pPr>
        <w:spacing w:after="160" w:line="300"/>
      </w:pPr>
      <w:r>
        <w:rPr>
          <w:rFonts w:ascii="Calibri" w:cs="Calibri" w:eastAsia="Calibri" w:hAnsi="Calibri"/>
          <w:sz w:val="21"/>
          <w:szCs w:val="21"/>
        </w:rPr>
        <w:t xml:space="preserve">All commercial, financial, or technical information exchanged between the parties is confidential and may not be disclosed to third parties without prior written authorization, except where required by law. This obligation remains in effect even after the transaction concludes.</w:t>
      </w:r>
    </w:p>
    <w:p>
      <w:pPr>
        <w:pStyle w:val="Heading2"/>
        <w:spacing w:after="100" w:before="280"/>
      </w:pPr>
      <w:r>
        <w:rPr>
          <w:rFonts w:ascii="Georgia" w:cs="Georgia" w:eastAsia="Georgia" w:hAnsi="Georgia"/>
          <w:b/>
          <w:bCs/>
          <w:color w:val="B24A17"/>
          <w:sz w:val="22"/>
          <w:szCs w:val="22"/>
        </w:rPr>
        <w:t xml:space="preserve">ARTICLE 20 — </w:t>
      </w:r>
      <w:r>
        <w:rPr>
          <w:rFonts w:ascii="Georgia" w:cs="Georgia" w:eastAsia="Georgia" w:hAnsi="Georgia"/>
          <w:b/>
          <w:bCs/>
          <w:color w:val="0B2338"/>
          <w:sz w:val="22"/>
          <w:szCs w:val="22"/>
        </w:rPr>
        <w:t xml:space="preserve">NON-CIRCUMVENTION</w:t>
      </w:r>
    </w:p>
    <w:p>
      <w:pPr>
        <w:spacing w:after="160" w:line="300"/>
      </w:pPr>
      <w:r>
        <w:rPr>
          <w:rFonts w:ascii="Calibri" w:cs="Calibri" w:eastAsia="Calibri" w:hAnsi="Calibri"/>
          <w:sz w:val="21"/>
          <w:szCs w:val="21"/>
        </w:rPr>
        <w:t xml:space="preserve">To protect the trust-based relationships we've built with our manufacturers and logistics partners — and, ultimately, to maintain the competitive pricing we offer all our clients — the parties agree not to establish direct commercial relationships with manufacturers, suppliers, or contacts introduced by the other party during the term of the transaction and for a period of two (2) years thereafter, except with prior written authorization.</w:t>
      </w:r>
    </w:p>
    <w:p>
      <w:pPr>
        <w:pStyle w:val="Heading2"/>
        <w:spacing w:after="100" w:before="280"/>
      </w:pPr>
      <w:r>
        <w:rPr>
          <w:rFonts w:ascii="Georgia" w:cs="Georgia" w:eastAsia="Georgia" w:hAnsi="Georgia"/>
          <w:b/>
          <w:bCs/>
          <w:color w:val="B24A17"/>
          <w:sz w:val="22"/>
          <w:szCs w:val="22"/>
        </w:rPr>
        <w:t xml:space="preserve">ARTICLE 21 — </w:t>
      </w:r>
      <w:r>
        <w:rPr>
          <w:rFonts w:ascii="Georgia" w:cs="Georgia" w:eastAsia="Georgia" w:hAnsi="Georgia"/>
          <w:b/>
          <w:bCs/>
          <w:color w:val="0B2338"/>
          <w:sz w:val="22"/>
          <w:szCs w:val="22"/>
        </w:rPr>
        <w:t xml:space="preserve">LIMITATION OF LIABILITY</w:t>
      </w:r>
    </w:p>
    <w:p>
      <w:pPr>
        <w:spacing w:after="160" w:line="300"/>
      </w:pPr>
      <w:r>
        <w:rPr>
          <w:rFonts w:ascii="Calibri" w:cs="Calibri" w:eastAsia="Calibri" w:hAnsi="Calibri"/>
          <w:sz w:val="21"/>
          <w:szCs w:val="21"/>
        </w:rPr>
        <w:t xml:space="preserve">We work actively to minimize any disruption to the export process. That said, the Seller is not liable for delays or failures resulting from circumstances beyond its reasonable control, including shipping delays, port congestion, government inspections, customs procedures, regulatory changes, or force majeure events.</w:t>
      </w:r>
    </w:p>
    <w:p>
      <w:pPr>
        <w:spacing w:after="160" w:line="300"/>
      </w:pPr>
      <w:r>
        <w:rPr>
          <w:rFonts w:ascii="Calibri" w:cs="Calibri" w:eastAsia="Calibri" w:hAnsi="Calibri"/>
          <w:sz w:val="21"/>
          <w:szCs w:val="21"/>
        </w:rPr>
        <w:t xml:space="preserve">The Seller is not liable for indirect damages, lost profits, or lost business opportunities arising from the transaction.</w:t>
      </w:r>
    </w:p>
    <w:p>
      <w:pPr>
        <w:pStyle w:val="Heading2"/>
        <w:spacing w:after="100" w:before="280"/>
      </w:pPr>
      <w:r>
        <w:rPr>
          <w:rFonts w:ascii="Georgia" w:cs="Georgia" w:eastAsia="Georgia" w:hAnsi="Georgia"/>
          <w:b/>
          <w:bCs/>
          <w:color w:val="B24A17"/>
          <w:sz w:val="22"/>
          <w:szCs w:val="22"/>
        </w:rPr>
        <w:t xml:space="preserve">ARTICLE 22 — </w:t>
      </w:r>
      <w:r>
        <w:rPr>
          <w:rFonts w:ascii="Georgia" w:cs="Georgia" w:eastAsia="Georgia" w:hAnsi="Georgia"/>
          <w:b/>
          <w:bCs/>
          <w:color w:val="0B2338"/>
          <w:sz w:val="22"/>
          <w:szCs w:val="22"/>
        </w:rPr>
        <w:t xml:space="preserve">FORCE MAJEURE</w:t>
      </w:r>
    </w:p>
    <w:p>
      <w:pPr>
        <w:spacing w:after="160" w:line="300"/>
      </w:pPr>
      <w:r>
        <w:rPr>
          <w:rFonts w:ascii="Calibri" w:cs="Calibri" w:eastAsia="Calibri" w:hAnsi="Calibri"/>
          <w:sz w:val="21"/>
          <w:szCs w:val="21"/>
        </w:rPr>
        <w:t xml:space="preserve">Neither party is liable for failure to fulfill its obligations when such failure results from unforeseeable events beyond its reasonable control (natural disasters, wars, pandemics, strikes, government restrictions, logistics disruptions). The affected party must inform the other within a reasonable period.</w:t>
      </w:r>
    </w:p>
    <w:p>
      <w:pPr>
        <w:pStyle w:val="Heading2"/>
        <w:spacing w:after="100" w:before="280"/>
      </w:pPr>
      <w:r>
        <w:rPr>
          <w:rFonts w:ascii="Georgia" w:cs="Georgia" w:eastAsia="Georgia" w:hAnsi="Georgia"/>
          <w:b/>
          <w:bCs/>
          <w:color w:val="B24A17"/>
          <w:sz w:val="22"/>
          <w:szCs w:val="22"/>
        </w:rPr>
        <w:t xml:space="preserve">ARTICLE 23 — </w:t>
      </w:r>
      <w:r>
        <w:rPr>
          <w:rFonts w:ascii="Georgia" w:cs="Georgia" w:eastAsia="Georgia" w:hAnsi="Georgia"/>
          <w:b/>
          <w:bCs/>
          <w:color w:val="0B2338"/>
          <w:sz w:val="22"/>
          <w:szCs w:val="22"/>
        </w:rPr>
        <w:t xml:space="preserve">REFUND POLICY</w:t>
      </w:r>
    </w:p>
    <w:p>
      <w:pPr>
        <w:spacing w:after="160" w:line="300"/>
      </w:pPr>
      <w:r>
        <w:rPr>
          <w:rFonts w:ascii="Calibri" w:cs="Calibri" w:eastAsia="Calibri" w:hAnsi="Calibri"/>
          <w:sz w:val="21"/>
          <w:szCs w:val="21"/>
        </w:rPr>
        <w:t xml:space="preserve">Because each unit is procured, verified, and prepared specifically for the Buyer's transaction — with purchase, logistics, and export costs committed from the initial payment onward — transactions formalized under this Agreement are generally final.</w:t>
      </w:r>
    </w:p>
    <w:p>
      <w:pPr>
        <w:spacing w:after="160" w:line="300"/>
      </w:pPr>
      <w:r>
        <w:rPr>
          <w:rFonts w:ascii="Calibri" w:cs="Calibri" w:eastAsia="Calibri" w:hAnsi="Calibri"/>
          <w:sz w:val="21"/>
          <w:szCs w:val="21"/>
        </w:rPr>
        <w:t xml:space="preserve">That said, if there is a definitive impossibility of performance attributable to the Seller, or a significant discrepancy between the agreed goods and those actually supplied, the Seller will work in good faith with the Buyer toward a fair resolution, which may include a partial or full refund, replacement of the unit, or credit toward a future transaction — evaluated based on the specific circumstances of each case.</w:t>
      </w:r>
    </w:p>
    <w:p>
      <w:pPr>
        <w:pStyle w:val="Heading2"/>
        <w:spacing w:after="100" w:before="280"/>
      </w:pPr>
      <w:r>
        <w:rPr>
          <w:rFonts w:ascii="Georgia" w:cs="Georgia" w:eastAsia="Georgia" w:hAnsi="Georgia"/>
          <w:b/>
          <w:bCs/>
          <w:color w:val="B24A17"/>
          <w:sz w:val="22"/>
          <w:szCs w:val="22"/>
        </w:rPr>
        <w:t xml:space="preserve">ARTICLE 24 — </w:t>
      </w:r>
      <w:r>
        <w:rPr>
          <w:rFonts w:ascii="Georgia" w:cs="Georgia" w:eastAsia="Georgia" w:hAnsi="Georgia"/>
          <w:b/>
          <w:bCs/>
          <w:color w:val="0B2338"/>
          <w:sz w:val="22"/>
          <w:szCs w:val="22"/>
        </w:rPr>
        <w:t xml:space="preserve">OFFICIAL COMMUNICATIONS</w:t>
      </w:r>
    </w:p>
    <w:p>
      <w:pPr>
        <w:spacing w:after="160" w:line="300"/>
      </w:pPr>
      <w:r>
        <w:rPr>
          <w:rFonts w:ascii="Calibri" w:cs="Calibri" w:eastAsia="Calibri" w:hAnsi="Calibri"/>
          <w:sz w:val="21"/>
          <w:szCs w:val="21"/>
        </w:rPr>
        <w:t xml:space="preserve">The parties recognize as valid communications made by email, WhatsApp, electronic documents, digital signatures, or any other verifiable electronic means agreed between the parties.</w:t>
      </w:r>
    </w:p>
    <w:p>
      <w:pPr>
        <w:pStyle w:val="Heading2"/>
        <w:spacing w:after="100" w:before="280"/>
      </w:pPr>
      <w:r>
        <w:rPr>
          <w:rFonts w:ascii="Georgia" w:cs="Georgia" w:eastAsia="Georgia" w:hAnsi="Georgia"/>
          <w:b/>
          <w:bCs/>
          <w:color w:val="B24A17"/>
          <w:sz w:val="22"/>
          <w:szCs w:val="22"/>
        </w:rPr>
        <w:t xml:space="preserve">ARTICLE 25 — </w:t>
      </w:r>
      <w:r>
        <w:rPr>
          <w:rFonts w:ascii="Georgia" w:cs="Georgia" w:eastAsia="Georgia" w:hAnsi="Georgia"/>
          <w:b/>
          <w:bCs/>
          <w:color w:val="0B2338"/>
          <w:sz w:val="22"/>
          <w:szCs w:val="22"/>
        </w:rPr>
        <w:t xml:space="preserve">ENTIRE AGREEMENT</w:t>
      </w:r>
    </w:p>
    <w:p>
      <w:pPr>
        <w:spacing w:after="160" w:line="300"/>
      </w:pPr>
      <w:r>
        <w:rPr>
          <w:rFonts w:ascii="Calibri" w:cs="Calibri" w:eastAsia="Calibri" w:hAnsi="Calibri"/>
          <w:sz w:val="21"/>
          <w:szCs w:val="21"/>
        </w:rPr>
        <w:t xml:space="preserve">This Agreement, together with the corresponding Proforma Invoice, constitutes the entire agreement between the parties and supersedes any prior negotiation or communication related to the transaction. Any modification must be made in writing and accepted by both parties.</w:t>
      </w:r>
    </w:p>
    <w:p>
      <w:pPr>
        <w:pStyle w:val="Heading2"/>
        <w:spacing w:after="100" w:before="280"/>
      </w:pPr>
      <w:r>
        <w:rPr>
          <w:rFonts w:ascii="Georgia" w:cs="Georgia" w:eastAsia="Georgia" w:hAnsi="Georgia"/>
          <w:b/>
          <w:bCs/>
          <w:color w:val="B24A17"/>
          <w:sz w:val="22"/>
          <w:szCs w:val="22"/>
        </w:rPr>
        <w:t xml:space="preserve">ARTICLE 26 — </w:t>
      </w:r>
      <w:r>
        <w:rPr>
          <w:rFonts w:ascii="Georgia" w:cs="Georgia" w:eastAsia="Georgia" w:hAnsi="Georgia"/>
          <w:b/>
          <w:bCs/>
          <w:color w:val="0B2338"/>
          <w:sz w:val="22"/>
          <w:szCs w:val="22"/>
        </w:rPr>
        <w:t xml:space="preserve">GOVERNING LAW</w:t>
      </w:r>
    </w:p>
    <w:p>
      <w:pPr>
        <w:spacing w:after="160" w:line="300"/>
      </w:pPr>
      <w:r>
        <w:rPr>
          <w:rFonts w:ascii="Calibri" w:cs="Calibri" w:eastAsia="Calibri" w:hAnsi="Calibri"/>
          <w:sz w:val="21"/>
          <w:szCs w:val="21"/>
        </w:rPr>
        <w:t xml:space="preserve">This Agreement is governed by and construed in accordance with the laws of the People's Republic of China. This governing law applies to the substance of the parties' obligations; it does not affect the neutral arbitration seat established in Article 27.</w:t>
      </w:r>
    </w:p>
    <w:p>
      <w:pPr>
        <w:pStyle w:val="Heading2"/>
        <w:spacing w:after="100" w:before="280"/>
      </w:pPr>
      <w:r>
        <w:rPr>
          <w:rFonts w:ascii="Georgia" w:cs="Georgia" w:eastAsia="Georgia" w:hAnsi="Georgia"/>
          <w:b/>
          <w:bCs/>
          <w:color w:val="B24A17"/>
          <w:sz w:val="22"/>
          <w:szCs w:val="22"/>
        </w:rPr>
        <w:t xml:space="preserve">ARTICLE 27 — </w:t>
      </w:r>
      <w:r>
        <w:rPr>
          <w:rFonts w:ascii="Georgia" w:cs="Georgia" w:eastAsia="Georgia" w:hAnsi="Georgia"/>
          <w:b/>
          <w:bCs/>
          <w:color w:val="0B2338"/>
          <w:sz w:val="22"/>
          <w:szCs w:val="22"/>
        </w:rPr>
        <w:t xml:space="preserve">DISPUTE RESOLUTION</w:t>
      </w:r>
    </w:p>
    <w:p>
      <w:pPr>
        <w:spacing w:after="160" w:line="300"/>
      </w:pPr>
      <w:r>
        <w:rPr>
          <w:rFonts w:ascii="Calibri" w:cs="Calibri" w:eastAsia="Calibri" w:hAnsi="Calibri"/>
          <w:sz w:val="21"/>
          <w:szCs w:val="21"/>
        </w:rPr>
        <w:t xml:space="preserve">In the event of any dispute, our first step will always be to seek a solution through direct, good-faith negotiation between the parties.</w:t>
      </w:r>
    </w:p>
    <w:p>
      <w:pPr>
        <w:spacing w:after="160" w:line="300"/>
      </w:pPr>
      <w:r>
        <w:rPr>
          <w:rFonts w:ascii="Calibri" w:cs="Calibri" w:eastAsia="Calibri" w:hAnsi="Calibri"/>
          <w:sz w:val="21"/>
          <w:szCs w:val="21"/>
        </w:rPr>
        <w:t xml:space="preserve">If no solution is reached within a reasonable period, the dispute shall be resolved by arbitration administered by the Hong Kong International Arbitration Centre (HKIAC), in accordance with the HKIAC Administered Arbitration Rules in force at the time of submission. The seat of arbitration shall be Hong Kong SAR, and proceedings may be conducted in English or Spanish, at the Buyer's election. The arbitration award shall be final and binding on both parties and may be enforced in any competent jurisdiction, including the Buyer's country of residence, under the New York Convention on the Recognition and Enforcement of Foreign Arbitral Awards.</w:t>
      </w:r>
    </w:p>
    <w:p>
      <w:pPr>
        <w:spacing w:after="160" w:line="300"/>
      </w:pPr>
      <w:r>
        <w:rPr>
          <w:rFonts w:ascii="Calibri" w:cs="Calibri" w:eastAsia="Calibri" w:hAnsi="Calibri"/>
          <w:sz w:val="21"/>
          <w:szCs w:val="21"/>
        </w:rPr>
        <w:t xml:space="preserve">We use a neutral, internationally recognized arbitration seat so that no party is required to resolve disputes exclusively within the other party's home jurisdiction.</w:t>
      </w:r>
    </w:p>
    <w:p>
      <w:pPr>
        <w:pStyle w:val="Heading2"/>
        <w:spacing w:after="100" w:before="280"/>
      </w:pPr>
      <w:r>
        <w:rPr>
          <w:rFonts w:ascii="Georgia" w:cs="Georgia" w:eastAsia="Georgia" w:hAnsi="Georgia"/>
          <w:b/>
          <w:bCs/>
          <w:color w:val="B24A17"/>
          <w:sz w:val="22"/>
          <w:szCs w:val="22"/>
        </w:rPr>
        <w:t xml:space="preserve">ARTICLE 28 — </w:t>
      </w:r>
      <w:r>
        <w:rPr>
          <w:rFonts w:ascii="Georgia" w:cs="Georgia" w:eastAsia="Georgia" w:hAnsi="Georgia"/>
          <w:b/>
          <w:bCs/>
          <w:color w:val="0B2338"/>
          <w:sz w:val="22"/>
          <w:szCs w:val="22"/>
        </w:rPr>
        <w:t xml:space="preserve">ACCEPTANCE</w:t>
      </w:r>
    </w:p>
    <w:p>
      <w:pPr>
        <w:spacing w:after="160" w:line="300"/>
      </w:pPr>
      <w:r>
        <w:rPr>
          <w:rFonts w:ascii="Calibri" w:cs="Calibri" w:eastAsia="Calibri" w:hAnsi="Calibri"/>
          <w:sz w:val="21"/>
          <w:szCs w:val="21"/>
        </w:rPr>
        <w:t xml:space="preserve">This Agreement takes effect once signed by both parties and the corresponding Proforma Invoice has been issued. Handwritten signatures, digital signatures, electronic documents, and confirmations made through verifiable electronic means carry the same legal effect as a physical signature.</w:t>
      </w:r>
    </w:p>
    <w:p>
      <w:r>
        <w:br w:type="page"/>
      </w:r>
    </w:p>
    <w:p>
      <w:pPr>
        <w:pStyle w:val="Heading1"/>
        <w:pBdr>
          <w:bottom w:val="single" w:color="B24A17" w:sz="6" w:space="6"/>
        </w:pBdr>
        <w:spacing w:after="160" w:before="200"/>
      </w:pPr>
      <w:r>
        <w:rPr>
          <w:rFonts w:ascii="Georgia" w:cs="Georgia" w:eastAsia="Georgia" w:hAnsi="Georgia"/>
          <w:b/>
          <w:bCs/>
          <w:color w:val="0B2338"/>
          <w:sz w:val="26"/>
          <w:szCs w:val="26"/>
        </w:rPr>
        <w:t xml:space="preserve">Buyer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Full name / Company name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ID document / Business registration</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Authorized representative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Title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Country</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City</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Address</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Phone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Email</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bl>
    <w:p>
      <w:pPr>
        <w:spacing w:before="300"/>
      </w:pPr>
    </w:p>
    <w:p>
      <w:pPr>
        <w:pStyle w:val="Heading1"/>
        <w:pBdr>
          <w:bottom w:val="single" w:color="B24A17" w:sz="6" w:space="6"/>
        </w:pBdr>
        <w:spacing w:after="160" w:before="200"/>
      </w:pPr>
      <w:r>
        <w:rPr>
          <w:rFonts w:ascii="Georgia" w:cs="Georgia" w:eastAsia="Georgia" w:hAnsi="Georgia"/>
          <w:b/>
          <w:bCs/>
          <w:color w:val="0B2338"/>
          <w:sz w:val="26"/>
          <w:szCs w:val="26"/>
        </w:rPr>
        <w:t xml:space="preserve">Transaction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Contract number</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Proforma invoice no.</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Date of issue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Description of goods</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Condition</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Factory Mileage   ☐ Used</w:t>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Quantity</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Total CIF value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Currency</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USD   ☐ USDT</w:t>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Destination port</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Estimated transit time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Remarks</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bl>
    <w:p>
      <w:pPr>
        <w:spacing w:before="400"/>
      </w:pPr>
    </w:p>
    <w:p>
      <w:pPr>
        <w:pStyle w:val="Heading1"/>
        <w:pBdr>
          <w:bottom w:val="single" w:color="B24A17" w:sz="6" w:space="6"/>
        </w:pBdr>
        <w:spacing w:after="160" w:before="200"/>
      </w:pPr>
      <w:r>
        <w:rPr>
          <w:rFonts w:ascii="Georgia" w:cs="Georgia" w:eastAsia="Georgia" w:hAnsi="Georgia"/>
          <w:b/>
          <w:bCs/>
          <w:color w:val="0B2338"/>
          <w:sz w:val="26"/>
          <w:szCs w:val="26"/>
        </w:rPr>
        <w:t xml:space="preserve">Execution of the Agreement</w:t>
      </w:r>
    </w:p>
    <w:p>
      <w:pPr>
        <w:spacing w:after="60" w:before="160"/>
      </w:pPr>
      <w:r>
        <w:rPr>
          <w:rFonts w:ascii="Georgia" w:cs="Georgia" w:eastAsia="Georgia" w:hAnsi="Georgia"/>
          <w:b/>
          <w:bCs/>
          <w:color w:val="0B2338"/>
          <w:sz w:val="21"/>
          <w:szCs w:val="21"/>
        </w:rPr>
        <w:t xml:space="preserve">SELLER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Company</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Nindge Automobile</w:t>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Operated by</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[Legal Entity Name]</w:t>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Authorized representative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[Name]</w:t>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Title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[Title]</w:t>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Signature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Date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bl>
    <w:p>
      <w:pPr>
        <w:spacing w:after="60" w:before="260"/>
      </w:pPr>
      <w:r>
        <w:rPr>
          <w:rFonts w:ascii="Georgia" w:cs="Georgia" w:eastAsia="Georgia" w:hAnsi="Georgia"/>
          <w:b/>
          <w:bCs/>
          <w:color w:val="0B2338"/>
          <w:sz w:val="21"/>
          <w:szCs w:val="21"/>
        </w:rPr>
        <w:t xml:space="preserve">BUYER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Name / Company</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Representative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Title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Signature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Date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bl>
    <w:p>
      <w:pPr>
        <w:spacing w:before="300"/>
      </w:pPr>
      <w:r>
        <w:rPr>
          <w:rFonts w:ascii="Calibri" w:cs="Calibri" w:eastAsia="Calibri" w:hAnsi="Calibri"/>
          <w:i/>
          <w:iCs/>
          <w:color w:val="4C6572"/>
          <w:sz w:val="18"/>
          <w:szCs w:val="18"/>
        </w:rPr>
        <w:t xml:space="preserve">The parties acknowledge and agree that handwritten signatures, digital signatures, electronic documents, and confirmations made through verifiable electronic means shall have full legal validity and binding effect between the parties.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2026-07-27T00:09:43.711Z</dcterms:created>
  <dcterms:modified xsi:type="dcterms:W3CDTF">2026-07-27T00:09:43.726Z</dcterms:modified>
</cp:coreProperties>
</file>

<file path=docProps/custom.xml><?xml version="1.0" encoding="utf-8"?>
<Properties xmlns="http://schemas.openxmlformats.org/officeDocument/2006/custom-properties" xmlns:vt="http://schemas.openxmlformats.org/officeDocument/2006/docPropsVTypes"/>
</file>