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/>
          <w:b/>
          <w:color w:val="205F4D"/>
          <w:sz w:val="18"/>
        </w:rPr>
        <w:t>NIGHTINGALE</w:t>
      </w:r>
    </w:p>
    <w:p>
      <w:pPr>
        <w:spacing w:after="60"/>
      </w:pPr>
      <w:r>
        <w:rPr>
          <w:rFonts w:ascii="Arial" w:hAnsi="Arial"/>
          <w:b/>
          <w:color w:val="173E35"/>
          <w:sz w:val="54"/>
        </w:rPr>
        <w:t>Care Note</w:t>
      </w:r>
    </w:p>
    <w:p>
      <w:pPr>
        <w:keepNext w:val="0"/>
        <w:spacing w:before="0" w:after="140" w:line="264" w:lineRule="auto"/>
        <w:jc w:val="left"/>
      </w:pPr>
      <w:r>
        <w:rPr>
          <w:rFonts w:ascii="Arial" w:hAnsi="Arial"/>
          <w:b w:val="0"/>
          <w:i w:val="0"/>
          <w:color w:val="65706C"/>
          <w:sz w:val="26"/>
        </w:rPr>
        <w:t>A trust-first longitudinal collaboration system</w:t>
      </w:r>
    </w:p>
    <w:p>
      <w:pPr>
        <w:keepNext w:val="0"/>
        <w:spacing w:before="0" w:after="200" w:line="264" w:lineRule="auto"/>
        <w:jc w:val="left"/>
      </w:pPr>
      <w:r>
        <w:rPr>
          <w:rFonts w:ascii="Arial" w:hAnsi="Arial"/>
          <w:b/>
          <w:i w:val="0"/>
          <w:color w:val="205F4D"/>
          <w:sz w:val="18"/>
        </w:rPr>
        <w:t>72-hour candidate build  |  Working prototype  |  Synthetic data only</w:t>
      </w:r>
    </w:p>
    <w:p>
      <w:pPr>
        <w:spacing w:after="160" w:line="259" w:lineRule="auto" w:before="80"/>
        <w:shd w:fill="E9F4EF"/>
        <w:ind w:left="115" w:right="115"/>
      </w:pPr>
      <w:r>
        <w:rPr>
          <w:rFonts w:ascii="Arial" w:hAnsi="Arial"/>
          <w:b/>
          <w:color w:val="173E35"/>
          <w:sz w:val="19"/>
        </w:rPr>
        <w:t xml:space="preserve">First-principles decision. </w:t>
      </w:r>
      <w:r>
        <w:rPr>
          <w:rFonts w:ascii="Arial" w:hAnsi="Arial"/>
          <w:color w:val="17201D"/>
          <w:sz w:val="19"/>
        </w:rPr>
        <w:t>Extraction and deterministic safety rules precede generation. A useful clinical card must answer what changed, why it matters, what to do next, and where the evidence lives.</w:t>
      </w:r>
    </w:p>
    <w:p>
      <w:pPr>
        <w:pStyle w:val="Heading1"/>
        <w:keepNext/>
      </w:pPr>
      <w:r>
        <w:rPr>
          <w:rFonts w:ascii="Arial" w:hAnsi="Arial"/>
          <w:b/>
          <w:color w:val="173E35"/>
          <w:sz w:val="31"/>
        </w:rPr>
        <w:t>Architecture and request path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540001"/>
            <wp:docPr id="1" name="Picture 1" title="Nightingale architecture" descr="React PWA calls a clinic-scoped server API backed by D1. Safety rules and bounded learning select highlights that resolve to exact source spa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40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17201D"/>
          <w:sz w:val="19"/>
        </w:rPr>
        <w:t>The client is a responsive Vinext/React PWA. Every read and mutation reaches one server API boundary that authenticates a fixed identity, scopes the clinic and patient, then checks role and immutable section ownership before D1 access. Cross-tab BroadcastChannel updates plus 15-second polling provide lightweight near-real-time collaboration; version checks remain the consistency authority.</w:t>
      </w:r>
    </w:p>
    <w:tbl>
      <w:tblPr>
        <w:tblW w:type="dxa" w:w="8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DE4E0"/>
          <w:left w:val="single" w:sz="5" w:color="DDE4E0"/>
          <w:bottom w:val="single" w:sz="5" w:color="DDE4E0"/>
          <w:right w:val="single" w:sz="5" w:color="DDE4E0"/>
          <w:insideH w:val="single" w:sz="5" w:color="DDE4E0"/>
          <w:insideV w:val="single" w:sz="5" w:color="DDE4E0"/>
        </w:tblBorders>
      </w:tblPr>
      <w:tblGrid>
        <w:gridCol w:w="2230"/>
        <w:gridCol w:w="2230"/>
        <w:gridCol w:w="2230"/>
        <w:gridCol w:w="2230"/>
      </w:tblGrid>
      <w:tr>
        <w:trPr>
          <w:tblHeader w:val="true"/>
        </w:trPr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GLANCE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PROVENANCE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CONCURRENCY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PATIENT</w:t>
            </w:r>
          </w:p>
        </w:tc>
      </w:tr>
      <w:tr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what · why · next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entry + exact span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expected_version → 409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human-approved only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73E35"/>
          <w:sz w:val="31"/>
        </w:rPr>
        <w:t>Data model and core workflows</w:t>
      </w:r>
    </w:p>
    <w:p>
      <w:pPr>
        <w:keepNext w:val="0"/>
        <w:spacing w:before="0" w:after="140" w:line="264" w:lineRule="auto"/>
        <w:jc w:val="left"/>
      </w:pPr>
      <w:r>
        <w:rPr>
          <w:rFonts w:ascii="Arial" w:hAnsi="Arial"/>
          <w:b w:val="0"/>
          <w:i w:val="0"/>
          <w:color w:val="17201D"/>
          <w:sz w:val="19"/>
        </w:rPr>
        <w:t>D1 stores durable product state. AI notes are entries—not privileged truth—and remain distinct by `author_role=system`, type and source session. Full section snapshots make audit and revert deterministic within the build window.</w:t>
      </w:r>
    </w:p>
    <w:tbl>
      <w:tblPr>
        <w:tblW w:type="dxa" w:w="8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DE4E0"/>
          <w:left w:val="single" w:sz="5" w:color="DDE4E0"/>
          <w:bottom w:val="single" w:sz="5" w:color="DDE4E0"/>
          <w:right w:val="single" w:sz="5" w:color="DDE4E0"/>
          <w:insideH w:val="single" w:sz="5" w:color="DDE4E0"/>
          <w:insideV w:val="single" w:sz="5" w:color="DDE4E0"/>
        </w:tblBorders>
      </w:tblPr>
      <w:tblGrid>
        <w:gridCol w:w="2050"/>
        <w:gridCol w:w="3000"/>
        <w:gridCol w:w="387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Links / invariant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 / trust control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Entries / AI_Scribed_Notes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Patient; author role/id; type; source_id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Longitudinal source record. AI doctor, nurse and patient session types remain distinct.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Comments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Entry or CareSection; author; mentions; assignee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Internal threads with resolve/unresolve. Patient API never selects them.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CareSections / Versions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Patient + unique section key; version parent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Role-owned clinician/staff sections. Every edit/revert appends a full snapshot.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Highlights / Provenance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Highlight → source Entry + [start,end)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Risk reason, evidence and importance resolve to exact source text; invalid spans fail closed.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HighlightFeedback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Clinic + topic + action + bounded weight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Accept +4, pin/manual +6, reject −3; aggregate is clamped to −6…+8.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Tasks / Conflicts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Task → source Entry; conflict → prior + new Entry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Unresolved work stays prominent. Medication/dosage contradictions remain open until review.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PatientSummaries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Patient + source Entry IDs + approval state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Drafts are withheld. Only clinician-approved summaries cross the patient boundary.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SourceSegments / AuditLogs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Session + timestamp/speaker/confidence; actor metadata</w:t>
            </w:r>
          </w:p>
        </w:tc>
        <w:tc>
          <w:tcPr>
            <w:tcW w:type="dxa" w:w="3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7"/>
              </w:rPr>
              <w:t>Trace AI notes to source segments; log who/what/version without note bodies.</w:t>
            </w:r>
          </w:p>
        </w:tc>
      </w:tr>
    </w:tbl>
    <w:p>
      <w:pPr>
        <w:pStyle w:val="Heading2"/>
        <w:keepNext/>
      </w:pPr>
      <w:r>
        <w:rPr>
          <w:rFonts w:ascii="Arial" w:hAnsi="Arial"/>
          <w:b/>
          <w:color w:val="205F4D"/>
          <w:sz w:val="25"/>
        </w:rPr>
        <w:t>Importance, evidence and learning</w:t>
      </w:r>
    </w:p>
    <w:p>
      <w:pPr>
        <w:spacing w:after="80" w:line="259" w:lineRule="auto" w:before="80"/>
        <w:shd w:fill="FFF7E8"/>
        <w:ind w:left="115" w:right="115"/>
      </w:pPr>
      <w:r>
        <w:rPr>
          <w:rFonts w:ascii="Arial" w:hAnsi="Arial"/>
          <w:b/>
          <w:color w:val="173E35"/>
          <w:sz w:val="19"/>
        </w:rPr>
        <w:t xml:space="preserve">Rule-first score. </w:t>
      </w:r>
      <w:r>
        <w:rPr>
          <w:rFonts w:ascii="Arial" w:hAnsi="Arial"/>
          <w:color w:val="17201D"/>
          <w:sz w:val="19"/>
        </w:rPr>
        <w:t>score = min(100, max(category safety floor, recency + rule risk + unresolved task + clinician confirmation + bounded learning)). Floors: allergy 94; medication/dosage 88; open task 74.</w:t>
      </w:r>
    </w:p>
    <w:p>
      <w:pPr>
        <w:spacing w:after="80" w:line="259" w:lineRule="auto"/>
      </w:pPr>
      <w:r>
        <w:rPr>
          <w:rFonts w:ascii="Arial" w:hAnsi="Arial"/>
          <w:b/>
          <w:color w:val="173E35"/>
          <w:sz w:val="19"/>
        </w:rPr>
        <w:t xml:space="preserve">Evidence, not model confidence. </w:t>
      </w:r>
      <w:r>
        <w:rPr>
          <w:rFonts w:ascii="Arial" w:hAnsi="Arial"/>
          <w:color w:val="17201D"/>
          <w:sz w:val="19"/>
        </w:rPr>
        <w:t>Evidence = 55% source coverage + 45% source quality. ≥80 strong; ≥60 moderate; ≥40 limited; &lt;40 abstain. The UI exposes the inputs, exact source and correction controls.</w:t>
      </w:r>
    </w:p>
    <w:p>
      <w:pPr>
        <w:spacing w:after="0" w:line="259" w:lineRule="auto"/>
      </w:pPr>
      <w:r>
        <w:rPr>
          <w:rFonts w:ascii="Arial" w:hAnsi="Arial"/>
          <w:b/>
          <w:color w:val="173E35"/>
          <w:sz w:val="19"/>
        </w:rPr>
        <w:t xml:space="preserve">Feedback hazards. </w:t>
      </w:r>
      <w:r>
        <w:rPr>
          <w:rFonts w:ascii="Arial" w:hAnsi="Arial"/>
          <w:color w:val="17201D"/>
          <w:sz w:val="19"/>
        </w:rPr>
        <w:t>Unseen items receive zero—not negative—feedback, reducing exposure bias. Care-team fatigue cannot suppress protected clinical classes because learning never overrides safety floors.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73E35"/>
          <w:sz w:val="31"/>
        </w:rPr>
        <w:t>Security, evaluation and scope decisions</w:t>
      </w:r>
    </w:p>
    <w:tbl>
      <w:tblPr>
        <w:tblW w:type="dxa" w:w="8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DE4E0"/>
          <w:left w:val="single" w:sz="5" w:color="DDE4E0"/>
          <w:bottom w:val="single" w:sz="5" w:color="DDE4E0"/>
          <w:right w:val="single" w:sz="5" w:color="DDE4E0"/>
          <w:insideH w:val="single" w:sz="5" w:color="DDE4E0"/>
          <w:insideV w:val="single" w:sz="5" w:color="DDE4E0"/>
        </w:tblBorders>
      </w:tblPr>
      <w:tblGrid>
        <w:gridCol w:w="1950"/>
        <w:gridCol w:w="3370"/>
        <w:gridCol w:w="3600"/>
      </w:tblGrid>
      <w:tr>
        <w:trPr>
          <w:tblHeader w:val="true"/>
        </w:trP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Failure behaviour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RBAC + clinic scope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Server maps token → identity/role/clinic; every action checks role, clinic and section owner.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Cross-clinic is 404; wrong-role write is 403; same-section stale write is 409.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PHI redaction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Names, IC/ID and phones are removed before the optional model boundary; residual-risk detector measures uncertainty.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Possible remaining name or long digit run → HTTP 422 abstention; no model call.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Patient-facing safety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Only `approved` patient summaries are queried; clinician is the sole approver.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Drafts, raw AI and internal comments are absent, not merely hidden.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73E35"/>
                <w:sz w:val="17"/>
              </w:rPr>
              <w:t>Transport / storage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Cloudflare deployment supplies TLS and encryption at rest; D1 binding is server-only.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Prototype must not be used for real PHI; no secrets or external model keys exist.</w:t>
            </w:r>
          </w:p>
        </w:tc>
      </w:tr>
    </w:tbl>
    <w:p>
      <w:pPr>
        <w:pStyle w:val="Heading2"/>
        <w:keepNext/>
      </w:pPr>
      <w:r>
        <w:rPr>
          <w:rFonts w:ascii="Arial" w:hAnsi="Arial"/>
          <w:b/>
          <w:color w:val="205F4D"/>
          <w:sz w:val="25"/>
        </w:rPr>
        <w:t>Hybrid storage / decay policy</w:t>
      </w:r>
    </w:p>
    <w:p>
      <w:pPr>
        <w:keepNext w:val="0"/>
        <w:spacing w:before="0" w:after="60" w:line="264" w:lineRule="auto"/>
        <w:jc w:val="left"/>
      </w:pPr>
      <w:r>
        <w:rPr>
          <w:rFonts w:ascii="Arial" w:hAnsi="Arial"/>
          <w:b w:val="0"/>
          <w:i w:val="0"/>
          <w:color w:val="17201D"/>
          <w:sz w:val="17"/>
        </w:rPr>
        <w:t>Hot retains full fidelity (&lt;90 days, score ≥70, protected class, unresolved or clinician-confirmed). Warm retains an indexed summary plus source (&lt;365 days or score ≥40). Cold is a reversible compression candidate. Age alone never removes allergies, medication/dosage facts, unresolved tasks or confirmed risks; the prototype never irreversibly deletes.</w:t>
      </w:r>
    </w:p>
    <w:p>
      <w:pPr>
        <w:pStyle w:val="Heading2"/>
        <w:keepNext/>
      </w:pPr>
      <w:r>
        <w:rPr>
          <w:rFonts w:ascii="Arial" w:hAnsi="Arial"/>
          <w:b/>
          <w:color w:val="205F4D"/>
          <w:sz w:val="25"/>
        </w:rPr>
        <w:t>How we know when a number is wrong</w:t>
      </w:r>
    </w:p>
    <w:tbl>
      <w:tblPr>
        <w:tblW w:type="dxa" w:w="8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DE4E0"/>
          <w:left w:val="single" w:sz="5" w:color="DDE4E0"/>
          <w:bottom w:val="single" w:sz="5" w:color="DDE4E0"/>
          <w:right w:val="single" w:sz="5" w:color="DDE4E0"/>
          <w:insideH w:val="single" w:sz="5" w:color="DDE4E0"/>
          <w:insideV w:val="single" w:sz="5" w:color="DDE4E0"/>
        </w:tblBorders>
      </w:tblPr>
      <w:tblGrid>
        <w:gridCol w:w="1300"/>
        <w:gridCol w:w="2450"/>
        <w:gridCol w:w="2550"/>
        <w:gridCol w:w="262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7657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7657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7657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How wrong is detected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7657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5F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27657A"/>
                <w:sz w:val="16"/>
              </w:rPr>
              <w:t>Risk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Deterministic class/floor, not free-form model label.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Compare rule triggers to source; conflict visible.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Preserve floor; require clinician review.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5F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27657A"/>
                <w:sz w:val="16"/>
              </w:rPr>
              <w:t>Evidence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Defined coverage/quality equation.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Missing/invalid span or score &lt;40.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Fail closed / abstain; show source gap.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5F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27657A"/>
                <w:sz w:val="16"/>
              </w:rPr>
              <w:t>Redaction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Recall-sensitive deterministic detectors.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Residual names/digit runs; labelled test set failure.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No model call; human privacy review.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5F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27657A"/>
                <w:sz w:val="16"/>
              </w:rPr>
              <w:t>Learning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Bounded topic weight, clinic-local.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Offline ranking regression or critical-class drop.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7201D"/>
                <w:sz w:val="16"/>
              </w:rPr>
              <w:t>Clamp/disable learner; floors remain.</w:t>
            </w:r>
          </w:p>
        </w:tc>
      </w:tr>
    </w:tbl>
    <w:p>
      <w:pPr>
        <w:pStyle w:val="Heading2"/>
        <w:keepNext/>
      </w:pPr>
      <w:r>
        <w:rPr>
          <w:rFonts w:ascii="Arial" w:hAnsi="Arial"/>
          <w:b/>
          <w:color w:val="205F4D"/>
          <w:sz w:val="25"/>
        </w:rPr>
        <w:t>Verified quality gates</w:t>
      </w:r>
    </w:p>
    <w:tbl>
      <w:tblPr>
        <w:tblW w:type="dxa" w:w="89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DE4E0"/>
          <w:left w:val="single" w:sz="5" w:color="DDE4E0"/>
          <w:bottom w:val="single" w:sz="5" w:color="DDE4E0"/>
          <w:right w:val="single" w:sz="5" w:color="DDE4E0"/>
          <w:insideH w:val="single" w:sz="5" w:color="DDE4E0"/>
          <w:insideV w:val="single" w:sz="5" w:color="DDE4E0"/>
        </w:tblBorders>
      </w:tblPr>
      <w:tblGrid>
        <w:gridCol w:w="2230"/>
        <w:gridCol w:w="2230"/>
        <w:gridCol w:w="2230"/>
        <w:gridCol w:w="2230"/>
      </w:tblGrid>
      <w:tr>
        <w:trPr>
          <w:tblHeader w:val="true"/>
        </w:trPr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WARM P50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WARM P95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E3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173E35"/>
                <w:sz w:val="20"/>
              </w:rPr>
              <w:t>13 passed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173E35"/>
                <w:sz w:val="20"/>
              </w:rPr>
              <w:t>6.49 ms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173E35"/>
                <w:sz w:val="20"/>
              </w:rPr>
              <w:t>8.57 ms</w:t>
            </w:r>
          </w:p>
        </w:tc>
        <w:tc>
          <w:tcPr>
            <w:tcW w:type="dxa" w:w="2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4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color w:val="173E35"/>
                <w:sz w:val="20"/>
              </w:rPr>
              <w:t>≤300 ms · met</w:t>
            </w:r>
          </w:p>
        </w:tc>
      </w:tr>
    </w:tbl>
    <w:p>
      <w:pPr>
        <w:keepNext w:val="0"/>
        <w:spacing w:before="0" w:after="100" w:line="264" w:lineRule="auto"/>
        <w:jc w:val="left"/>
      </w:pPr>
      <w:r>
        <w:rPr>
          <w:rFonts w:ascii="Arial" w:hAnsi="Arial"/>
          <w:b w:val="0"/>
          <w:i w:val="0"/>
          <w:color w:val="65706C"/>
          <w:sz w:val="16"/>
        </w:rPr>
        <w:t>Method: 10 warmups + 200 sequential HTTP requests to the clinic-scoped Glance endpoint on local macOS, Vinext dev and local D1/Miniflare. This excludes WAN/TLS, cold starts and production concurrency; it supports the warm-path implementation claim, not a production SLA.</w:t>
      </w:r>
    </w:p>
    <w:p>
      <w:pPr>
        <w:pStyle w:val="Heading2"/>
        <w:keepNext/>
      </w:pPr>
      <w:r>
        <w:rPr>
          <w:rFonts w:ascii="Arial" w:hAnsi="Arial"/>
          <w:b/>
          <w:color w:val="205F4D"/>
          <w:sz w:val="25"/>
        </w:rPr>
        <w:t>Trade-offs and remaining scope</w:t>
      </w:r>
    </w:p>
    <w:p>
      <w:pPr>
        <w:spacing w:after="60" w:line="259" w:lineRule="auto"/>
      </w:pPr>
      <w:r>
        <w:rPr>
          <w:rFonts w:ascii="Arial" w:hAnsi="Arial"/>
          <w:b/>
          <w:color w:val="173E35"/>
          <w:sz w:val="19"/>
        </w:rPr>
        <w:t xml:space="preserve">Identity. </w:t>
      </w:r>
      <w:r>
        <w:rPr>
          <w:rFonts w:ascii="Arial" w:hAnsi="Arial"/>
          <w:color w:val="17201D"/>
          <w:sz w:val="19"/>
        </w:rPr>
        <w:t>Fixed synthetic demo tokens make all four roles reproducible; production must replace them with a managed identity-to-clinic/role directory behind workspace/SIWC authentication.</w:t>
      </w:r>
    </w:p>
    <w:p>
      <w:pPr>
        <w:spacing w:after="60" w:line="259" w:lineRule="auto"/>
      </w:pPr>
      <w:r>
        <w:rPr>
          <w:rFonts w:ascii="Arial" w:hAnsi="Arial"/>
          <w:b/>
          <w:color w:val="173E35"/>
          <w:sz w:val="19"/>
        </w:rPr>
        <w:t xml:space="preserve">Ambient capture. </w:t>
      </w:r>
      <w:r>
        <w:rPr>
          <w:rFonts w:ascii="Arial" w:hAnsi="Arial"/>
          <w:color w:val="17201D"/>
          <w:sz w:val="19"/>
        </w:rPr>
        <w:t>The PWA demonstrates transcript intake, labels, timing, confidence, redaction, abstention and provenance without calling ASR/LLM. Real noisy diarization, overlap and multilingual terminology are architectural follow-ons.</w:t>
      </w:r>
    </w:p>
    <w:p>
      <w:pPr>
        <w:spacing w:after="0" w:line="259" w:lineRule="auto"/>
      </w:pPr>
      <w:r>
        <w:rPr>
          <w:rFonts w:ascii="Arial" w:hAnsi="Arial"/>
          <w:b/>
          <w:color w:val="173E35"/>
          <w:sz w:val="19"/>
        </w:rPr>
        <w:t xml:space="preserve">Validation. </w:t>
      </w:r>
      <w:r>
        <w:rPr>
          <w:rFonts w:ascii="Arial" w:hAnsi="Arial"/>
          <w:color w:val="17201D"/>
          <w:sz w:val="19"/>
        </w:rPr>
        <w:t>The prototype is a safety argument with executable tests—not validated medical software. Production needs labelled extraction/redaction sets, prospective ranking evaluation, monitoring and clinical governance.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037" w:right="1123" w:bottom="979" w:left="1123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5706C"/>
        <w:sz w:val="16"/>
      </w:rPr>
      <w:t xml:space="preserve">Synthetic data only  · 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5706C"/>
        <w:sz w:val="16"/>
      </w:rPr>
      <w:t xml:space="preserve">Synthetic data only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344" w:val="left"/>
      </w:tabs>
      <w:spacing w:after="0"/>
      <w:jc w:val="left"/>
    </w:pPr>
    <w:r>
      <w:rPr>
        <w:rFonts w:ascii="Arial" w:hAnsi="Arial"/>
        <w:b/>
        <w:color w:val="205F4D"/>
        <w:sz w:val="16"/>
      </w:rPr>
      <w:t>NIGHTINGALE CARE NOTE</w:t>
    </w:r>
    <w:r>
      <w:rPr>
        <w:rFonts w:ascii="Arial" w:hAnsi="Arial"/>
        <w:color w:val="65706C"/>
        <w:sz w:val="16"/>
      </w:rPr>
      <w:tab/>
      <w:t>TECHNICAL BRIEF · 27 AUG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344" w:val="left"/>
      </w:tabs>
      <w:spacing w:after="0"/>
      <w:jc w:val="left"/>
    </w:pPr>
    <w:r>
      <w:rPr>
        <w:rFonts w:ascii="Arial" w:hAnsi="Arial"/>
        <w:b/>
        <w:color w:val="205F4D"/>
        <w:sz w:val="16"/>
      </w:rPr>
      <w:t>NIGHTINGALE CARE NOTE</w:t>
    </w:r>
    <w:r>
      <w:rPr>
        <w:rFonts w:ascii="Arial" w:hAnsi="Arial"/>
        <w:color w:val="65706C"/>
        <w:sz w:val="16"/>
      </w:rPr>
      <w:tab/>
      <w:t>TECHNICAL BRIEF · 27 AUG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0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E3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5F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65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Nightingale Care Note — Technical Brief</dc:title>
  <dc:subject>72-hour candidate build technical brief</dc:subject>
  <dc:creator>Nightingale Candidate</dc:creator>
  <cp:keywords>care note, provenance, RBAC, clinical safety, AI scribe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