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ongti SC" w:hAnsi="Songti SC" w:eastAsia="Songti SC" w:cs="Songti SC"/>
          <w:b w:val="0"/>
          <w:color w:val="6A5C4E"/>
          <w:sz w:val="24"/>
        </w:rPr>
        <w:t>國中教學遊戲前期計畫</w:t>
      </w:r>
    </w:p>
    <w:p>
      <w:pPr>
        <w:spacing w:after="120"/>
        <w:jc w:val="center"/>
      </w:pPr>
      <w:r>
        <w:rPr>
          <w:rFonts w:ascii="Songti SC" w:hAnsi="Songti SC" w:eastAsia="Songti SC" w:cs="Songti SC"/>
          <w:b/>
          <w:color w:val="6B3A2E"/>
          <w:sz w:val="52"/>
        </w:rPr>
        <w:t>易水寒：荊軻刺秦王</w:t>
      </w:r>
    </w:p>
    <w:p>
      <w:pPr>
        <w:spacing w:after="280"/>
        <w:jc w:val="center"/>
      </w:pPr>
      <w:r>
        <w:rPr>
          <w:rFonts w:ascii="PingFang TC" w:hAnsi="PingFang TC" w:eastAsia="PingFang TC" w:cs="PingFang TC"/>
          <w:b w:val="0"/>
          <w:color w:val="6A5C4E"/>
          <w:sz w:val="22"/>
        </w:rPr>
        <w:t>對照「帶薪穿越大明」影片步驟，已填好可開工的完整方案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2"/>
        </w:rPr>
        <w:t>本文件把小紅書〈文科生用 GLM 5.3 做了款古風穿越遊戲〉（帶薪穿越大明，約 2 分 50 秒）裡實際提到的前期準備，整理成表格；並依同一套方法，直接填成給約 14 歲國中生的教學遊戲《易水寒》。學生不是去改寫歷史，而是以燕國見習舍人身分把《史記·刺客列傳》走一遍：籌物、送別、入殿、事敗，並在每一件道具底下看到引文。選擇只加深理解，不開放「刺秦成功」。</w:t>
      </w:r>
    </w:p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一、專案鎖定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項目</w:t>
            </w:r>
          </w:p>
        </w:tc>
        <w:tc>
          <w:tcPr>
            <w:tcW w:type="dxa" w:w="7370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已鎖定內容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遊戲名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《易水寒》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受眾</w:t>
            </w:r>
          </w:p>
        </w:tc>
        <w:tc>
          <w:tcPr>
            <w:tcW w:type="dxa" w:w="737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國中生，約 14 歲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時長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一堂課 25–35 分鐘打完主線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成品</w:t>
            </w:r>
          </w:p>
        </w:tc>
        <w:tc>
          <w:tcPr>
            <w:tcW w:type="dxa" w:w="737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瀏覽器教學遊戲／靜態頁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時代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戰國末期，燕王喜二十八年／秦始皇二十年（前 227）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玩法</w:t>
            </w:r>
          </w:p>
        </w:tc>
        <w:tc>
          <w:tcPr>
            <w:tcW w:type="dxa" w:w="737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八章敘事＋史料解謎＋選擇；不是戰鬥砍殺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玩家角色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燕太子丹府中的見習舍人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主線文獻</w:t>
            </w:r>
          </w:p>
        </w:tc>
        <w:tc>
          <w:tcPr>
            <w:tcW w:type="dxa" w:w="737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《史記·刺客列傳》，以《戰國策·燕策三》《史記·秦始皇本紀》對讀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美術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方案 1：木刻線稿＋淡彩（對標《天工開物》線條語言）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結局</w:t>
            </w:r>
          </w:p>
        </w:tc>
        <w:tc>
          <w:tcPr>
            <w:tcW w:type="dxa" w:w="737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荊軻必敗；重開一局不放在主按鈕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二、影片要求 × 本專案對照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影片分成四段：結構化提需求、美術資產、交互效果、開發心得。下表是畫面與口播裡真正要先做的事，以及《易水寒》已經填好的答案。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680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#</w:t>
            </w:r>
          </w:p>
        </w:tc>
        <w:tc>
          <w:tcPr>
            <w:tcW w:type="dxa" w:w="181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影片段落</w:t>
            </w:r>
          </w:p>
        </w:tc>
        <w:tc>
          <w:tcPr>
            <w:tcW w:type="dxa" w:w="328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她要你先做的具體事</w:t>
            </w:r>
          </w:p>
        </w:tc>
        <w:tc>
          <w:tcPr>
            <w:tcW w:type="dxa" w:w="3969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《易水寒》已填計畫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結構化提需求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先說清楚要做什麼：玩法、朝代、成品形態，不要直接叫 AI 開工。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做給約 14 歲國中生的瀏覽器教學遊戲《易水寒》。玩家扮演燕太子丹府中的見習舍人，依《史記·刺客列傳》協助籌備刺秦。玩法是「八章敘事＋史料解謎＋選擇」，不是戰鬥砍殺。一堂課 25–35 分鐘打完主線。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2</w:t>
            </w:r>
          </w:p>
        </w:tc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結構化提需求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劃清楚考據邊界：哪些必須真、哪些不准編；出處優先官方或公開學術。</w:t>
            </w:r>
          </w:p>
        </w:tc>
        <w:tc>
          <w:tcPr>
            <w:tcW w:type="dxa" w:w="396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採信《史記·刺客列傳》主線，用《戰國策·燕策三》《史記·秦始皇本紀》對讀。兩書有出入處做成「對讀卡」，不改史。不採用影視戲說、穿越改結局、刺秦成功。找不到文獻或文物依據的道具不進遊戲。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結構化提需求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指定時代，並問清「哪朝史料最多、最好考據」。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鎖定戰國末期、燕王喜二十八年／秦始皇二十年（前 227）。不改宋、明。秦漢文獻與出土最多，足夠支撐課堂深度。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4</w:t>
            </w:r>
          </w:p>
        </w:tc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結構化提需求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內容庫要能找到畫作／器物圖再選；每件底下標註引用來源。</w:t>
            </w:r>
          </w:p>
        </w:tc>
        <w:tc>
          <w:tcPr>
            <w:tcW w:type="dxa" w:w="396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只收八件核心物：樊於期首函、督亢地圖、徐夫人匕首、地圖匣、白衣冠、高漸離筑、殿中銅柱、夏無且藥囊。每件遊戲內顯示文獻句＋來源層級。首函用合上的匣象徵，不畫血肉。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結構化提需求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史料分層＋交叉自洽驗證，讓 AI 先出方案再確認。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四層來源：正史、國策、考古、課綱。人物關係、出使禮儀、地圖與匕首來源都要能對上。先產出本計畫，確認後才寫程式。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6</w:t>
            </w:r>
          </w:p>
        </w:tc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美術資產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先讓 AI 列出完整「素材清單／視覺規範與生成指引」，再批次生圖。</w:t>
            </w:r>
          </w:p>
        </w:tc>
        <w:tc>
          <w:tcPr>
            <w:tcW w:type="dxa" w:w="396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先鎖定畫風聖經與檔名表：9 名角色、5 處場景、8 件道具、UI 組件。圖片進 assets/raw/，壓縮後自動替換占位。沒圖前用 SVG 木刻線稿也能完整遊玩。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美術資產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視覺對標一部可考據的歷史插畫，不要「大街古風」。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對標明代《天工開物》插圖的線條語言，題材改用戰國器物輪廓（銅器、車馬、深衣）。畫風：手繪線稿＋淡彩。拒絕仙俠、霓虹國風、日系大眼。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8</w:t>
            </w:r>
          </w:p>
        </w:tc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美術資產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把線質、構圖、色板寫進同一份提示詞，並與 UI 色完全一致。</w:t>
            </w:r>
          </w:p>
        </w:tc>
        <w:tc>
          <w:tcPr>
            <w:tcW w:type="dxa" w:w="396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線條為骨、淡彩為肉；墨線有刀感與粗細變化，不用 CAD 細線、不用素描排線。留白 ≥40%，地平線低。色板見下文。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交互效果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先寫逐秒分鏡表：時間軸對畫面，再交給 AI 做動效。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開場 0–5 秒：易水寬景 → 白衣冠一行 →「風蕭蕭兮易水寒」墨字 → 擊筑 → 進入第一章。後續每章都有 4–6 行分鏡，禁止無時間碼的「做漂亮一點」。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10</w:t>
            </w:r>
          </w:p>
        </w:tc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交互效果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把關鍵操作寫成可執行邏輯方案，主次按鈕分清，避免誤觸、邏輯自洽。</w:t>
            </w:r>
          </w:p>
        </w:tc>
        <w:tc>
          <w:tcPr>
            <w:tcW w:type="dxa" w:w="396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主線不可改史：荊軻必敗。選擇只影響「理解深度／史料卡／課堂分數」，不影響史實結局。主按鈕＝繼續出使；次按鈕＝重看史料。重開一局是小字確認，不放在主按鈕。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開發心得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AI 用來放大人的判斷，不是代替備課；同一專案越寫越順。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教師先審這份計畫與史料卡，再讓模型寫程式。每章完成後回歸本表檢查：有沒有出處、有沒有超尺度、畫風有沒有漂。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三、已鎖定的設計邊界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041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面向</w:t>
            </w:r>
          </w:p>
        </w:tc>
        <w:tc>
          <w:tcPr>
            <w:tcW w:type="dxa" w:w="7710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規定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玩法</w:t>
            </w:r>
          </w:p>
        </w:tc>
        <w:tc>
          <w:tcPr>
            <w:tcW w:type="dxa" w:w="771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章節式視覺敘事。每章 1 個場景、1 段對話、1–2 個選擇、1 張可點史料卡。三件信物（首函、地圖、匕首）收齊才能進入易水。沒有戰鬥數值、沒有商城。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考據邊界</w:t>
            </w:r>
          </w:p>
        </w:tc>
        <w:tc>
          <w:tcPr>
            <w:tcW w:type="dxa" w:w="771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能對上《史記》或《戰國策》的才進主線。樊於期、夏無且、銅柱、白衣冠全部保留。不准穿越改結局、不准加飛劍、不准把秦王寫成卡通暴君。有爭議處只做對讀，不做「標準答案改史」。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14 歲教學目標</w:t>
            </w:r>
          </w:p>
        </w:tc>
        <w:tc>
          <w:tcPr>
            <w:tcW w:type="dxa" w:w="7710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能依序複述情節；能解釋督亢地圖、藥淬匕首、九賓、群臣不得持兵；能指出失敗原因（副使失態、劍長不及、殿中無兵）；能用自己的話談「士」與代價。對應國文課文＋歷史秦滅六國。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尺度</w:t>
            </w:r>
          </w:p>
        </w:tc>
        <w:tc>
          <w:tcPr>
            <w:tcW w:type="dxa" w:w="7710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田光自刎、樊於期獻首、殿中行刺都用象徵：劍置案、匣合蓋、袖斷、環柱。不渲染血、不特寫首級、不把暴力寫成爽感。失敗結局要寫清楚：這是悲劇，不是通關獎勵。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四、史料源分層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對應影片「全部官方／公開學術來源」表。遊戲內每張史料卡顯示層級徽章。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47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層級</w:t>
            </w:r>
          </w:p>
        </w:tc>
        <w:tc>
          <w:tcPr>
            <w:tcW w:type="dxa" w:w="3175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來源</w:t>
            </w:r>
          </w:p>
        </w:tc>
        <w:tc>
          <w:tcPr>
            <w:tcW w:type="dxa" w:w="215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管什麼</w:t>
            </w:r>
          </w:p>
        </w:tc>
        <w:tc>
          <w:tcPr>
            <w:tcW w:type="dxa" w:w="294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在遊戲裡出現的內容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 正史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《史記·刺客列傳》《史記·秦始皇本紀》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情節主線、人物、結局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田光自刎、樊於期獻頭、易水、圖窮匕見、事敗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L2 國策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《戰國策·燕策三》</w:t>
            </w:r>
          </w:p>
        </w:tc>
        <w:tc>
          <w:tcPr>
            <w:tcW w:type="dxa" w:w="215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對讀差異、外交辭令</w:t>
            </w:r>
          </w:p>
        </w:tc>
        <w:tc>
          <w:tcPr>
            <w:tcW w:type="dxa" w:w="294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太子丹質秦逃歸、請荊軻、地圖與匕首的籌備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L3 考古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燕下都遺址、咸陽宮遺址、兵馬俑、戰國銅器與車馬器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建築、服飾輪廓、器物形制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館舍、宮室柱網、地圖匣、筑、銅柱的外形依據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L4 課綱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國中國文〈荊軻刺秦王〉課文與注釋；歷史「秦滅六國」</w:t>
            </w:r>
          </w:p>
        </w:tc>
        <w:tc>
          <w:tcPr>
            <w:tcW w:type="dxa" w:w="215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14 歲詞彙、課堂任務</w:t>
            </w:r>
          </w:p>
        </w:tc>
        <w:tc>
          <w:tcPr>
            <w:tcW w:type="dxa" w:w="294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字詞（淬、匕、九賓、偏袒）、課後選擇題與短答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五、八章結構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361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章</w:t>
            </w:r>
          </w:p>
        </w:tc>
        <w:tc>
          <w:tcPr>
            <w:tcW w:type="dxa" w:w="192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時空</w:t>
            </w:r>
          </w:p>
        </w:tc>
        <w:tc>
          <w:tcPr>
            <w:tcW w:type="dxa" w:w="328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學生會經歷什麼</w:t>
            </w:r>
          </w:p>
        </w:tc>
        <w:tc>
          <w:tcPr>
            <w:tcW w:type="dxa" w:w="3175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這一章要學會什麼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0 序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前 227 · 燕下都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見習舍人接到密令：秦已滅韓趙，燕危。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認清「為何非刺不可」與「為何極危險」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 薦士</w:t>
            </w:r>
          </w:p>
        </w:tc>
        <w:tc>
          <w:tcPr>
            <w:tcW w:type="dxa" w:w="192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太子丹府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田光薦荊軻，為守密自刎。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判斷「士為知己者死」是氣節還是壓力；對讀兩書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2 樊將軍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館舍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荊軻要樊於期之首以取秦王信。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權衡：獻首能否換近身？課堂討論倫理，畫面只用合匣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3 備物</w:t>
            </w:r>
          </w:p>
        </w:tc>
        <w:tc>
          <w:tcPr>
            <w:tcW w:type="dxa" w:w="192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燕市／館中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籌督亢地圖、徐夫人匕首、藥淬、地圖匣。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三物齊備才能啟程；每物點開看出處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4 易水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易水河畔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白衣冠送行，高漸離擊筑，歌「風蕭蕭兮易水寒」。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聽歌填空＋解釋為何穿白衣冠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5 入秦</w:t>
            </w:r>
          </w:p>
        </w:tc>
        <w:tc>
          <w:tcPr>
            <w:tcW w:type="dxa" w:w="192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咸陽道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秦舞陽色變；荊軻圓場，趨至陛前。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辨「副使失態」如何幾乎壞事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6 圖窮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咸陽宮前殿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九賓之禮，獻圖，圖窮而匕見。秦王環柱而走。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還原空間：銅柱、群臣不得持兵、夏無且藥囊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7 事敗</w:t>
            </w:r>
          </w:p>
        </w:tc>
        <w:tc>
          <w:tcPr>
            <w:tcW w:type="dxa" w:w="192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殿中 → 燕亡</w:t>
            </w:r>
          </w:p>
        </w:tc>
        <w:tc>
          <w:tcPr>
            <w:tcW w:type="dxa" w:w="328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荊軻被殺；後續秦破燕。固定史實結局。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回答：失敗原因、為何仍被記入〈刺客列傳〉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六、物件庫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對應影片「每個商品底下都標註了引用來源」。找不到出處的不進遊戲。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81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物件</w:t>
            </w:r>
          </w:p>
        </w:tc>
        <w:tc>
          <w:tcPr>
            <w:tcW w:type="dxa" w:w="260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畫面怎麼呈現</w:t>
            </w:r>
          </w:p>
        </w:tc>
        <w:tc>
          <w:tcPr>
            <w:tcW w:type="dxa" w:w="249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引用</w:t>
            </w:r>
          </w:p>
        </w:tc>
        <w:tc>
          <w:tcPr>
            <w:tcW w:type="dxa" w:w="1361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層級</w:t>
            </w:r>
          </w:p>
        </w:tc>
        <w:tc>
          <w:tcPr>
            <w:tcW w:type="dxa" w:w="147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樊於期首函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合上漆匣，不開蓋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《史記·刺客列傳》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督亢地圖</w:t>
            </w:r>
          </w:p>
        </w:tc>
        <w:tc>
          <w:tcPr>
            <w:tcW w:type="dxa" w:w="260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卷帛地圖，燕南富地</w:t>
            </w:r>
          </w:p>
        </w:tc>
        <w:tc>
          <w:tcPr>
            <w:tcW w:type="dxa" w:w="249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《史記》《戰國策》</w:t>
            </w:r>
          </w:p>
        </w:tc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L1／L2</w:t>
            </w:r>
          </w:p>
        </w:tc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徐夫人匕首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趙國匕首；只寫藥淬，不畫刺入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《史記·刺客列傳》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地圖匣</w:t>
            </w:r>
          </w:p>
        </w:tc>
        <w:tc>
          <w:tcPr>
            <w:tcW w:type="dxa" w:w="260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木匣藏匕於圖</w:t>
            </w:r>
          </w:p>
        </w:tc>
        <w:tc>
          <w:tcPr>
            <w:tcW w:type="dxa" w:w="249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情節需要＋戰國漆木器形制</w:t>
            </w:r>
          </w:p>
        </w:tc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L1＋L3</w:t>
            </w:r>
          </w:p>
        </w:tc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白衣冠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送行者縞衣白冠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《史記》「皆白衣冠以送之」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高漸離筑</w:t>
            </w:r>
          </w:p>
        </w:tc>
        <w:tc>
          <w:tcPr>
            <w:tcW w:type="dxa" w:w="260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擊筑樂器</w:t>
            </w:r>
          </w:p>
        </w:tc>
        <w:tc>
          <w:tcPr>
            <w:tcW w:type="dxa" w:w="249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《史記》易水、後傳高漸離</w:t>
            </w:r>
          </w:p>
        </w:tc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L1＋L3</w:t>
            </w:r>
          </w:p>
        </w:tc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殿中銅柱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秦王環柱而走的空間錨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《史記》匕首中桐柱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夏無且藥囊</w:t>
            </w:r>
          </w:p>
        </w:tc>
        <w:tc>
          <w:tcPr>
            <w:tcW w:type="dxa" w:w="260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侍醫提藥囊擊軻</w:t>
            </w:r>
          </w:p>
        </w:tc>
        <w:tc>
          <w:tcPr>
            <w:tcW w:type="dxa" w:w="249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《史記·刺客列傳》</w:t>
            </w:r>
          </w:p>
        </w:tc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L1</w:t>
            </w:r>
          </w:p>
        </w:tc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飛劍／穿越符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影視常見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無文獻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—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不進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刺秦成功線</w:t>
            </w:r>
          </w:p>
        </w:tc>
        <w:tc>
          <w:tcPr>
            <w:tcW w:type="dxa" w:w="260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改史</w:t>
            </w:r>
          </w:p>
        </w:tc>
        <w:tc>
          <w:tcPr>
            <w:tcW w:type="dxa" w:w="249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與課綱、史料衝突</w:t>
            </w:r>
          </w:p>
        </w:tc>
        <w:tc>
          <w:tcPr>
            <w:tcW w:type="dxa" w:w="136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—</w:t>
            </w:r>
          </w:p>
        </w:tc>
        <w:tc>
          <w:tcPr>
            <w:tcW w:type="dxa" w:w="147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不進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七、美術資產清單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影片原句：「我的做法是，讓它先列出完整的美術資產清單。」下列即《易水寒》版本。沒圖前先做 SVG 墨線占位，遊戲仍可把八章點完。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81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類型</w:t>
            </w:r>
          </w:p>
        </w:tc>
        <w:tc>
          <w:tcPr>
            <w:tcW w:type="dxa" w:w="4989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要產出什麼</w:t>
            </w:r>
          </w:p>
        </w:tc>
        <w:tc>
          <w:tcPr>
            <w:tcW w:type="dxa" w:w="294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規格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角色立繪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荊軻、太子丹、田光、樊於期、秦舞陽、高漸離、秦始皇、夏無且、玩家舍人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char/*.png 透明底，同一頭身比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表情變體</w:t>
            </w:r>
          </w:p>
        </w:tc>
        <w:tc>
          <w:tcPr>
            <w:tcW w:type="dxa" w:w="498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每人 3 面：靜、急、悲（秦舞陽加「色變」）</w:t>
            </w:r>
          </w:p>
        </w:tc>
        <w:tc>
          <w:tcPr>
            <w:tcW w:type="dxa" w:w="294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只改五官，不改服裝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場景寬圖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燕下都館舍、太子丹府、易水河畔、咸陽道、咸陽宮前殿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16:9，留白 40%，可作章節底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道具圖</w:t>
            </w:r>
          </w:p>
        </w:tc>
        <w:tc>
          <w:tcPr>
            <w:tcW w:type="dxa" w:w="498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八件核心物＋史料卡小圖</w:t>
            </w:r>
          </w:p>
        </w:tc>
        <w:tc>
          <w:tcPr>
            <w:tcW w:type="dxa" w:w="294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方圖，線稿清楚，適合點擊熱區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UI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紙本對話框、選擇鈕、史料卡、進度「督亢圖卷」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色板與場景完全同一套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占位</w:t>
            </w:r>
          </w:p>
        </w:tc>
        <w:tc>
          <w:tcPr>
            <w:tcW w:type="dxa" w:w="4989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先做 SVG 墨線稿</w:t>
            </w:r>
          </w:p>
        </w:tc>
        <w:tc>
          <w:tcPr>
            <w:tcW w:type="dxa" w:w="294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沒生圖也能把八章點完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Songti SC" w:hAnsi="Songti SC" w:eastAsia="Songti SC" w:cs="Songti SC"/>
          <w:b/>
          <w:color w:val="6B3A2E"/>
          <w:sz w:val="28"/>
        </w:rPr>
        <w:t>畫風聖經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2"/>
        </w:rPr>
        <w:t>手繪線稿＋淡彩，仿古木刻，近《天工開物》插圖線條，題材用戰國深衣與銅器輪廓。線條為骨、淡彩為肉；淡彩只在結構內低透明度平塗。線質：墨線微顫、轉角圓勁、有刀感。不用均勻細線，不用素描排線，不用霓虹金邊。構圖：留白至少四成，主體不頂滿，地平線偏低。克制、安靜，一眼能讀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26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色名</w:t>
            </w:r>
          </w:p>
        </w:tc>
        <w:tc>
          <w:tcPr>
            <w:tcW w:type="dxa" w:w="226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色碼</w:t>
            </w:r>
          </w:p>
        </w:tc>
        <w:tc>
          <w:tcPr>
            <w:tcW w:type="dxa" w:w="5216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駝米紙底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#F3E6C9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頁面、卡片、生圖背景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淡墨勾線</w:t>
            </w:r>
          </w:p>
        </w:tc>
        <w:tc>
          <w:tcPr>
            <w:tcW w:type="dxa" w:w="226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#3C382F</w:t>
            </w:r>
          </w:p>
        </w:tc>
        <w:tc>
          <w:tcPr>
            <w:tcW w:type="dxa" w:w="5216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線稿，不用純黑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燕玄衣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#2C2A28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荊軻、使團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縞衣</w:t>
            </w:r>
          </w:p>
        </w:tc>
        <w:tc>
          <w:tcPr>
            <w:tcW w:type="dxa" w:w="226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#EFE8DC</w:t>
            </w:r>
          </w:p>
        </w:tc>
        <w:tc>
          <w:tcPr>
            <w:tcW w:type="dxa" w:w="5216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易水送行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易水青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#5B6E6A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河、遠山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土赭</w:t>
            </w:r>
          </w:p>
        </w:tc>
        <w:tc>
          <w:tcPr>
            <w:tcW w:type="dxa" w:w="226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#8C5A3C</w:t>
            </w:r>
          </w:p>
        </w:tc>
        <w:tc>
          <w:tcPr>
            <w:tcW w:type="dxa" w:w="5216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秦宮木構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朱砂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#9A3B2F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只作點綴，不鋪滿</w:t>
            </w:r>
          </w:p>
        </w:tc>
      </w:tr>
    </w:tbl>
    <w:p/>
    <w:p>
      <w:pPr>
        <w:spacing w:after="8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給生圖模型的固定前綴：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18"/>
        </w:rPr>
        <w:t>Chinese educational game asset. Late Warring States, Jing Ke story. Hand-inked woodblock line plus light wash, Tiangong Kaiwu print language, paper beige #F3E6C9, ink #3C382F, 40% empty paper, low horizon, no anime, no xianxia, no blood, no gore, no modern objects, no text.</w:t>
      </w:r>
    </w:p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八、開場逐秒分鏡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對應影片「分鏡 v2（逐秒）」。後續每章都要有同樣格式的 4–6 行，禁止只說「做漂亮一點」。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時間</w:t>
            </w:r>
          </w:p>
        </w:tc>
        <w:tc>
          <w:tcPr>
            <w:tcW w:type="dxa" w:w="4876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畫面</w:t>
            </w:r>
          </w:p>
        </w:tc>
        <w:tc>
          <w:tcPr>
            <w:tcW w:type="dxa" w:w="3175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交互／聲音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0.0–1.0s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純寬景：易水、蘆葦、低地平線，無 UI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靜，風動蘆葦循環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1.0–2.2s</w:t>
            </w:r>
          </w:p>
        </w:tc>
        <w:tc>
          <w:tcPr>
            <w:tcW w:type="dxa" w:w="4876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白衣冠一行自左側入畫，荊軻玄衣立於岸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慢推 8%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2.2–3.4s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高漸離席地擊筑，墨點落下成聲紋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筑聲起，音量低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3.4–4.6s</w:t>
            </w:r>
          </w:p>
        </w:tc>
        <w:tc>
          <w:tcPr>
            <w:tcW w:type="dxa" w:w="4876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紙縫留白處浮現「風蕭蕭兮易水寒，壯士一去兮不復還」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墨字，不搶框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4.6–5.6s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字停駐 1 秒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無新元素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5.6–6.4s</w:t>
            </w:r>
          </w:p>
        </w:tc>
        <w:tc>
          <w:tcPr>
            <w:tcW w:type="dxa" w:w="4876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字淡出，底部出現「第一章 · 薦士」與主按鈕「隨田光入府」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主鈕實心；「重看課文」為小字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6.4s 起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可操作。誤觸重開不存在於這一屏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進入章節狀態機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九、關鍵交互邏輯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影片在「回檔＝對賬，不是再賣銀子」裡強調：主操作與毀滅性操作必須分開。本遊戲同樣處理「重來」與「看史料」。已選方案 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928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方案</w:t>
            </w:r>
          </w:p>
        </w:tc>
        <w:tc>
          <w:tcPr>
            <w:tcW w:type="dxa" w:w="5443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學生按下去會怎樣</w:t>
            </w:r>
          </w:p>
        </w:tc>
        <w:tc>
          <w:tcPr>
            <w:tcW w:type="dxa" w:w="2381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採用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A 繼續出使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主按鈕永遠是「往下一章」。選錯只打開史料卡或扣課堂分，史實結局不變。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採用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B 改史分支</w:t>
            </w:r>
          </w:p>
        </w:tc>
        <w:tc>
          <w:tcPr>
            <w:tcW w:type="dxa" w:w="5443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讓荊軻刺中秦王。有戲劇性，但破壞課綱與考據邊界。</w:t>
            </w:r>
          </w:p>
        </w:tc>
        <w:tc>
          <w:tcPr>
            <w:tcW w:type="dxa" w:w="2381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不用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C 一鍵清空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主畫面放「重開一局」。容易誤觸，且像把悲劇當遊戲幣重刷。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不用；重開放進選單小字＋二次確認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十、五種美術風格參考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以下五張皆為課堂安全尺度。方案 1 已鎖定為生產風格；其餘只當扉頁、紋樣或宣傳圖，不混進關卡循環。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154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風格</w:t>
            </w:r>
          </w:p>
        </w:tc>
        <w:tc>
          <w:tcPr>
            <w:tcW w:type="dxa" w:w="1587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決策</w:t>
            </w:r>
          </w:p>
        </w:tc>
        <w:tc>
          <w:tcPr>
            <w:tcW w:type="dxa" w:w="3175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為什麼</w:t>
            </w:r>
          </w:p>
        </w:tc>
        <w:tc>
          <w:tcPr>
            <w:tcW w:type="dxa" w:w="2835"/>
            <w:shd w:val="clear" w:color="auto" w:fill="E8D7C0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ongti SC" w:hAnsi="Songti SC" w:eastAsia="Songti SC" w:cs="Songti SC"/>
                <w:b/>
                <w:color w:val="6B3A2E"/>
                <w:sz w:val="20"/>
              </w:rPr>
              <w:t>用在哪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1 木刻線稿＋淡彩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已鎖定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線條清楚、留白多、不血腥、生圖一致性高，最接近影片做法。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課堂主視覺、全部角色／場景／UI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2 楚帛畫／漆器礦彩</w:t>
            </w:r>
          </w:p>
        </w:tc>
        <w:tc>
          <w:tcPr>
            <w:tcW w:type="dxa" w:w="1587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備用章封面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儀式感強，但變形大、服裝易漂，不適合作操作介面。</w:t>
            </w:r>
          </w:p>
        </w:tc>
        <w:tc>
          <w:tcPr>
            <w:tcW w:type="dxa" w:w="283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僅「易水」「圖窮」兩張章節扉頁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3 漢畫像石拓片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史料卡點綴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博物館感好，但漢代冠服易與戰國考據打架，學生也較難讀表情。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史料卡背景紋，不用於立繪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4 教科書連環畫</w:t>
            </w:r>
          </w:p>
        </w:tc>
        <w:tc>
          <w:tcPr>
            <w:tcW w:type="dxa" w:w="1587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備用總風格</w:t>
            </w:r>
          </w:p>
        </w:tc>
        <w:tc>
          <w:tcPr>
            <w:tcW w:type="dxa" w:w="317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臉最親切，適合 14 歲；缺點是偏現代插畫，資產一致性略差。</w:t>
            </w:r>
          </w:p>
        </w:tc>
        <w:tc>
          <w:tcPr>
            <w:tcW w:type="dxa" w:w="2835"/>
            <w:shd w:val="clear" w:color="auto" w:fill="FBF7EE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若要更暖的臉，立繪可改這套，場景仍用方案 1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5 工筆重彩宮殿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不用作主風格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咸陽宮很有魄力，但細節太多、生成不穩，也不利批次替換。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9CBB6"/>
              <w:left w:val="single" w:sz="4" w:space="0" w:color="D9CBB6"/>
              <w:bottom w:val="single" w:sz="4" w:space="0" w:color="D9CBB6"/>
              <w:right w:val="single" w:sz="4" w:space="0" w:color="D9CB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PingFang TC" w:hAnsi="PingFang TC" w:eastAsia="PingFang TC" w:cs="PingFang TC"/>
                <w:b w:val="0"/>
                <w:color w:val="3A3228"/>
                <w:sz w:val="20"/>
              </w:rPr>
              <w:t>可做一張宣傳圖，不進關卡循環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Songti SC" w:hAnsi="Songti SC" w:eastAsia="Songti SC" w:cs="Songti SC"/>
          <w:b/>
          <w:color w:val="6B3A2E"/>
          <w:sz w:val="28"/>
        </w:rPr>
        <w:t>方案 1｜木刻線稿＋淡彩（已鎖定）</w:t>
      </w:r>
    </w:p>
    <w:p>
      <w:pPr>
        <w:spacing w:after="12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易水送別。對標《天工開物》插圖線條：墨線為骨、淡彩為肉、大量留白。作為全部角色、場景與 UI 的生產風格。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1-woodcut-w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PingFang TC" w:hAnsi="PingFang TC" w:eastAsia="PingFang TC" w:cs="PingFang TC"/>
          <w:b w:val="0"/>
          <w:color w:val="6A5C4E"/>
          <w:sz w:val="18"/>
        </w:rPr>
        <w:t>方案 1 · 木刻線稿＋淡彩（已鎖定）</w:t>
      </w:r>
    </w:p>
    <w:p>
      <w:pPr>
        <w:pStyle w:val="Heading2"/>
        <w:spacing w:before="240" w:after="160"/>
      </w:pPr>
      <w:r>
        <w:rPr>
          <w:rFonts w:ascii="Songti SC" w:hAnsi="Songti SC" w:eastAsia="Songti SC" w:cs="Songti SC"/>
          <w:b/>
          <w:color w:val="6B3A2E"/>
          <w:sz w:val="28"/>
        </w:rPr>
        <w:t>方案 2｜楚帛畫／漆器礦彩</w:t>
      </w:r>
    </w:p>
    <w:p>
      <w:pPr>
        <w:spacing w:after="12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同一送別場面，礦彩、雲氣與鳳鳥紋。儀式感強，只宜做章節扉頁，不宜做操作介面。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2-chu-sil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PingFang TC" w:hAnsi="PingFang TC" w:eastAsia="PingFang TC" w:cs="PingFang TC"/>
          <w:b w:val="0"/>
          <w:color w:val="6A5C4E"/>
          <w:sz w:val="18"/>
        </w:rPr>
        <w:t>方案 2 · 楚帛畫／漆器礦彩</w:t>
      </w:r>
    </w:p>
    <w:p>
      <w:pPr>
        <w:pStyle w:val="Heading2"/>
        <w:spacing w:before="240" w:after="160"/>
      </w:pPr>
      <w:r>
        <w:rPr>
          <w:rFonts w:ascii="Songti SC" w:hAnsi="Songti SC" w:eastAsia="Songti SC" w:cs="Songti SC"/>
          <w:b/>
          <w:color w:val="6B3A2E"/>
          <w:sz w:val="28"/>
        </w:rPr>
        <w:t>方案 3｜漢畫像石拓片</w:t>
      </w:r>
    </w:p>
    <w:p>
      <w:pPr>
        <w:spacing w:after="12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墨拓高對比、幾何邊飾。有博物館感，但衣冠偏漢，只當史料卡背景紋。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3-han-st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PingFang TC" w:hAnsi="PingFang TC" w:eastAsia="PingFang TC" w:cs="PingFang TC"/>
          <w:b w:val="0"/>
          <w:color w:val="6A5C4E"/>
          <w:sz w:val="18"/>
        </w:rPr>
        <w:t>方案 3 · 漢畫像石拓片</w:t>
      </w:r>
    </w:p>
    <w:p>
      <w:pPr>
        <w:pStyle w:val="Heading2"/>
        <w:spacing w:before="240" w:after="160"/>
      </w:pPr>
      <w:r>
        <w:rPr>
          <w:rFonts w:ascii="Songti SC" w:hAnsi="Songti SC" w:eastAsia="Songti SC" w:cs="Songti SC"/>
          <w:b/>
          <w:color w:val="6B3A2E"/>
          <w:sz w:val="28"/>
        </w:rPr>
        <w:t>方案 4｜教科書連環畫</w:t>
      </w:r>
    </w:p>
    <w:p>
      <w:pPr>
        <w:spacing w:after="12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臉較親切，接近國中課本插圖。若教師要更暖的立繪可改這套，場景仍走方案 1。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4-textbook-lianhuanhu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PingFang TC" w:hAnsi="PingFang TC" w:eastAsia="PingFang TC" w:cs="PingFang TC"/>
          <w:b w:val="0"/>
          <w:color w:val="6A5C4E"/>
          <w:sz w:val="18"/>
        </w:rPr>
        <w:t>方案 4 · 教科書連環畫</w:t>
      </w:r>
    </w:p>
    <w:p>
      <w:pPr>
        <w:pStyle w:val="Heading2"/>
        <w:spacing w:before="240" w:after="160"/>
      </w:pPr>
      <w:r>
        <w:rPr>
          <w:rFonts w:ascii="Songti SC" w:hAnsi="Songti SC" w:eastAsia="Songti SC" w:cs="Songti SC"/>
          <w:b/>
          <w:color w:val="6B3A2E"/>
          <w:sz w:val="28"/>
        </w:rPr>
        <w:t>方案 5｜工筆重彩宮殿</w:t>
      </w:r>
    </w:p>
    <w:p>
      <w:pPr>
        <w:spacing w:after="120" w:line="324" w:lineRule="auto"/>
      </w:pPr>
      <w:r>
        <w:rPr>
          <w:rFonts w:ascii="PingFang TC" w:hAnsi="PingFang TC" w:eastAsia="PingFang TC" w:cs="PingFang TC"/>
          <w:b w:val="0"/>
          <w:color w:val="3A3228"/>
          <w:sz w:val="20"/>
        </w:rPr>
        <w:t>咸陽宮獻圖（課堂安全：只獻圖、不見匕、不畫血）。魄力夠，細節太密，最多做一張宣傳圖。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5-qin-gongb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PingFang TC" w:hAnsi="PingFang TC" w:eastAsia="PingFang TC" w:cs="PingFang TC"/>
          <w:b w:val="0"/>
          <w:color w:val="6A5C4E"/>
          <w:sz w:val="18"/>
        </w:rPr>
        <w:t>方案 5 · 工筆重彩宮殿</w:t>
      </w:r>
    </w:p>
    <w:p>
      <w:pPr>
        <w:pStyle w:val="Heading1"/>
        <w:spacing w:before="320" w:after="160"/>
      </w:pPr>
      <w:r>
        <w:rPr>
          <w:rFonts w:ascii="Songti SC" w:hAnsi="Songti SC" w:eastAsia="Songti SC" w:cs="Songti SC"/>
          <w:b/>
          <w:color w:val="6B3A2E"/>
          <w:sz w:val="36"/>
        </w:rPr>
        <w:t>十一、開工順序</w:t>
      </w:r>
    </w:p>
    <w:p>
      <w:pPr>
        <w:spacing w:after="160" w:line="324" w:lineRule="auto"/>
      </w:pPr>
      <w:r>
        <w:rPr>
          <w:rFonts w:ascii="PingFang TC" w:hAnsi="PingFang TC" w:eastAsia="PingFang TC" w:cs="PingFang TC"/>
          <w:b w:val="0"/>
          <w:color w:val="3A3228"/>
          <w:sz w:val="22"/>
        </w:rPr>
        <w:t>依影片：先有這份結構化需求 → 用美術資產表生 SVG 占位 → 寫八章狀態機與開場分鏡動效 → 再按色板批次生圖替換。美術只走方案 1；方案 2、3 當紋樣；方案 5 最多一張宣傳圖。教師先審史料卡與尺度，再讓模型寫程式。每章完成後回到第二節對照表檢查：有沒有出處、有沒有超尺度、畫風有沒有漂。</w:t>
      </w:r>
    </w:p>
    <w:p>
      <w:pPr>
        <w:spacing w:before="360"/>
        <w:jc w:val="center"/>
      </w:pPr>
      <w:r>
        <w:rPr>
          <w:rFonts w:ascii="Songti SC" w:hAnsi="Songti SC" w:eastAsia="Songti SC" w:cs="Songti SC"/>
          <w:b w:val="0"/>
          <w:color w:val="6A5C4E"/>
          <w:sz w:val="22"/>
        </w:rPr>
        <w:t>—— 完 ——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 w:eastAsia="PingFang TC" w:cs="PingFang TC"/>
        <w:b w:val="0"/>
        <w:color w:val="6A5C4E"/>
        <w:sz w:val="16"/>
      </w:rPr>
      <w:t>《易水寒》荊軻刺秦王教學遊戲前期計畫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