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Algoritmos de Grafos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Graficas: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Los algoritmos vistos en clase, fueron llevados a cabo con pruebas en dos librerías diferentes, “SNAP” Standford project y “BoostGraph”.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Vemos ligeros cambios en los tiempos entre librerías y métodos de prueba, teniendo como “mejor” librería “BoostGraph” por una diferencia de .0025 más o menos, así como podemos ver que entre los métodos de prueba se corre con más eficiencia dentro de una laptop.</w:t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Juan Carlos León Jarquín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Seiji Julián Schimdtzu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/Relationships>
</file>