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C76B" w14:textId="77777777" w:rsidR="003E15D2" w:rsidRDefault="00000000">
      <w:pPr>
        <w:spacing w:before="4"/>
        <w:ind w:left="510"/>
        <w:rPr>
          <w:rFonts w:hint="eastAsia"/>
          <w:sz w:val="44"/>
        </w:rPr>
      </w:pPr>
      <w:r>
        <w:rPr>
          <w:spacing w:val="-4"/>
          <w:sz w:val="44"/>
        </w:rPr>
        <w:t>脑机与应急机器人算法应用赛（国赛</w:t>
      </w:r>
      <w:r>
        <w:rPr>
          <w:spacing w:val="-10"/>
          <w:sz w:val="44"/>
        </w:rPr>
        <w:t>）</w:t>
      </w:r>
    </w:p>
    <w:p w14:paraId="75001E6C" w14:textId="77777777" w:rsidR="003E15D2" w:rsidRDefault="003E15D2">
      <w:pPr>
        <w:pStyle w:val="a3"/>
        <w:spacing w:before="265"/>
        <w:rPr>
          <w:rFonts w:hint="eastAsia"/>
          <w:sz w:val="44"/>
        </w:rPr>
      </w:pPr>
    </w:p>
    <w:p w14:paraId="209C18D0" w14:textId="77777777" w:rsidR="003E15D2" w:rsidRDefault="00000000">
      <w:pPr>
        <w:pStyle w:val="a4"/>
        <w:spacing w:line="388" w:lineRule="auto"/>
        <w:rPr>
          <w:rFonts w:hint="eastAsia"/>
        </w:rPr>
      </w:pPr>
      <w:r>
        <w:rPr>
          <w:spacing w:val="-10"/>
        </w:rPr>
        <w:t>项目技术报告</w:t>
      </w:r>
    </w:p>
    <w:p w14:paraId="1F70958B" w14:textId="77777777" w:rsidR="003E15D2" w:rsidRDefault="003E15D2">
      <w:pPr>
        <w:pStyle w:val="a3"/>
        <w:spacing w:before="90"/>
        <w:rPr>
          <w:rFonts w:hint="eastAsia"/>
          <w:b/>
          <w:sz w:val="52"/>
        </w:rPr>
      </w:pPr>
    </w:p>
    <w:p w14:paraId="3D25AEE4" w14:textId="77777777" w:rsidR="003E15D2" w:rsidRDefault="00000000">
      <w:pPr>
        <w:spacing w:before="1"/>
        <w:ind w:left="258"/>
        <w:rPr>
          <w:rFonts w:ascii="Times New Roman" w:eastAsia="Times New Roman"/>
          <w:sz w:val="32"/>
        </w:rPr>
      </w:pPr>
      <w:r>
        <w:rPr>
          <w:spacing w:val="-2"/>
          <w:sz w:val="32"/>
        </w:rPr>
        <w:t>队伍编号：</w:t>
      </w:r>
      <w:r>
        <w:rPr>
          <w:rFonts w:ascii="Times New Roman" w:eastAsia="Times New Roman"/>
          <w:spacing w:val="-2"/>
          <w:sz w:val="32"/>
        </w:rPr>
        <w:t>AIC-2025-20852298</w:t>
      </w:r>
    </w:p>
    <w:p w14:paraId="69B33FE9" w14:textId="77777777" w:rsidR="003E15D2" w:rsidRDefault="00000000">
      <w:pPr>
        <w:spacing w:before="366"/>
        <w:ind w:left="297"/>
        <w:rPr>
          <w:rFonts w:ascii="Times New Roman" w:eastAsia="Times New Roman"/>
          <w:sz w:val="32"/>
        </w:rPr>
      </w:pPr>
      <w:r>
        <w:rPr>
          <w:sz w:val="32"/>
        </w:rPr>
        <w:t>队伍名称：</w:t>
      </w:r>
      <w:r>
        <w:rPr>
          <w:rFonts w:ascii="Times New Roman" w:eastAsia="Times New Roman"/>
          <w:sz w:val="32"/>
        </w:rPr>
        <w:t>Smart</w:t>
      </w:r>
      <w:r>
        <w:rPr>
          <w:rFonts w:ascii="Times New Roman" w:eastAsia="Times New Roman"/>
          <w:spacing w:val="-19"/>
          <w:sz w:val="32"/>
        </w:rPr>
        <w:t xml:space="preserve"> </w:t>
      </w:r>
      <w:r>
        <w:rPr>
          <w:rFonts w:ascii="Times New Roman" w:eastAsia="Times New Roman"/>
          <w:spacing w:val="-2"/>
          <w:sz w:val="32"/>
        </w:rPr>
        <w:t>Brain</w:t>
      </w:r>
    </w:p>
    <w:p w14:paraId="1CA7BABE" w14:textId="77777777" w:rsidR="003E15D2" w:rsidRDefault="003E15D2">
      <w:pPr>
        <w:pStyle w:val="a3"/>
        <w:spacing w:before="1"/>
        <w:rPr>
          <w:rFonts w:ascii="Times New Roman" w:hint="eastAsia"/>
          <w:sz w:val="32"/>
        </w:rPr>
      </w:pPr>
    </w:p>
    <w:p w14:paraId="69B3D07B" w14:textId="77777777" w:rsidR="003E15D2" w:rsidRDefault="00000000">
      <w:pPr>
        <w:tabs>
          <w:tab w:val="left" w:pos="1254"/>
        </w:tabs>
        <w:ind w:left="297"/>
        <w:rPr>
          <w:rFonts w:hint="eastAsia"/>
          <w:sz w:val="32"/>
        </w:rPr>
      </w:pPr>
      <w:r>
        <w:rPr>
          <w:spacing w:val="-10"/>
          <w:sz w:val="32"/>
        </w:rPr>
        <w:t>队</w:t>
      </w:r>
      <w:r>
        <w:rPr>
          <w:sz w:val="32"/>
        </w:rPr>
        <w:tab/>
      </w:r>
      <w:r>
        <w:rPr>
          <w:spacing w:val="-4"/>
          <w:sz w:val="32"/>
        </w:rPr>
        <w:t>长：李天</w:t>
      </w:r>
      <w:r>
        <w:rPr>
          <w:spacing w:val="-10"/>
          <w:sz w:val="32"/>
        </w:rPr>
        <w:t>稷</w:t>
      </w:r>
    </w:p>
    <w:p w14:paraId="3251E723" w14:textId="77777777" w:rsidR="003E15D2" w:rsidRDefault="00000000">
      <w:pPr>
        <w:tabs>
          <w:tab w:val="left" w:pos="1254"/>
        </w:tabs>
        <w:spacing w:before="369"/>
        <w:ind w:left="297"/>
        <w:rPr>
          <w:rFonts w:hint="eastAsia"/>
          <w:sz w:val="32"/>
        </w:rPr>
      </w:pPr>
      <w:r>
        <w:rPr>
          <w:spacing w:val="-10"/>
          <w:sz w:val="32"/>
        </w:rPr>
        <w:t>队</w:t>
      </w:r>
      <w:r>
        <w:rPr>
          <w:sz w:val="32"/>
        </w:rPr>
        <w:tab/>
      </w:r>
      <w:r>
        <w:rPr>
          <w:spacing w:val="-4"/>
          <w:sz w:val="32"/>
        </w:rPr>
        <w:t>员：胡建</w:t>
      </w:r>
      <w:r>
        <w:rPr>
          <w:spacing w:val="-10"/>
          <w:sz w:val="32"/>
        </w:rPr>
        <w:t>臣</w:t>
      </w:r>
    </w:p>
    <w:p w14:paraId="0B1CE523" w14:textId="77777777" w:rsidR="003E15D2" w:rsidRDefault="003E15D2">
      <w:pPr>
        <w:rPr>
          <w:rFonts w:hint="eastAsia"/>
          <w:sz w:val="32"/>
        </w:rPr>
        <w:sectPr w:rsidR="003E15D2">
          <w:type w:val="continuous"/>
          <w:pgSz w:w="11910" w:h="16840"/>
          <w:pgMar w:top="1440" w:right="1275" w:bottom="280" w:left="1700" w:header="720" w:footer="720" w:gutter="0"/>
          <w:cols w:space="720"/>
        </w:sectPr>
      </w:pPr>
    </w:p>
    <w:p w14:paraId="6E8F24C3" w14:textId="77777777" w:rsidR="003E15D2" w:rsidRDefault="00000000">
      <w:pPr>
        <w:spacing w:before="44"/>
        <w:ind w:left="217"/>
        <w:jc w:val="center"/>
        <w:rPr>
          <w:rFonts w:hint="eastAsia"/>
          <w:b/>
          <w:sz w:val="32"/>
        </w:rPr>
      </w:pPr>
      <w:r>
        <w:rPr>
          <w:b/>
          <w:spacing w:val="-15"/>
          <w:sz w:val="32"/>
        </w:rPr>
        <w:lastRenderedPageBreak/>
        <w:t xml:space="preserve">基于标准化 </w:t>
      </w:r>
      <w:r>
        <w:rPr>
          <w:rFonts w:ascii="Times New Roman" w:eastAsia="Times New Roman"/>
          <w:b/>
          <w:spacing w:val="-2"/>
          <w:sz w:val="32"/>
        </w:rPr>
        <w:t>SSVEP-BCI</w:t>
      </w:r>
      <w:r>
        <w:rPr>
          <w:rFonts w:ascii="Times New Roman" w:eastAsia="Times New Roman"/>
          <w:b/>
          <w:spacing w:val="5"/>
          <w:sz w:val="32"/>
        </w:rPr>
        <w:t xml:space="preserve"> </w:t>
      </w:r>
      <w:r>
        <w:rPr>
          <w:b/>
          <w:spacing w:val="-3"/>
          <w:sz w:val="32"/>
        </w:rPr>
        <w:t>脑控迷宫小车系统技术报告</w:t>
      </w:r>
    </w:p>
    <w:p w14:paraId="04823DC3" w14:textId="77777777" w:rsidR="003E15D2" w:rsidRDefault="00000000">
      <w:pPr>
        <w:pStyle w:val="1"/>
        <w:spacing w:before="325"/>
        <w:ind w:right="38"/>
        <w:rPr>
          <w:rFonts w:hint="eastAsia"/>
        </w:rPr>
      </w:pPr>
      <w:r>
        <w:rPr>
          <w:spacing w:val="-6"/>
        </w:rPr>
        <w:t>摘要</w:t>
      </w:r>
    </w:p>
    <w:p w14:paraId="13880B21" w14:textId="77777777" w:rsidR="003E15D2" w:rsidRDefault="00000000">
      <w:pPr>
        <w:pStyle w:val="a3"/>
        <w:spacing w:before="312" w:line="429" w:lineRule="auto"/>
        <w:ind w:left="100" w:right="589" w:firstLine="479"/>
        <w:rPr>
          <w:rFonts w:hint="eastAsia"/>
        </w:rPr>
      </w:pPr>
      <w:r>
        <w:rPr>
          <w:spacing w:val="-3"/>
        </w:rPr>
        <w:t xml:space="preserve">本项目旨在基于标准 </w:t>
      </w:r>
      <w:r>
        <w:rPr>
          <w:rFonts w:ascii="Times New Roman" w:eastAsia="Times New Roman" w:hAnsi="Times New Roman"/>
        </w:rPr>
        <w:t xml:space="preserve">SSVEP-BCI </w:t>
      </w:r>
      <w:r>
        <w:t>解码算法，设计并实现一套完整的“脑</w:t>
      </w:r>
      <w:r>
        <w:rPr>
          <w:rFonts w:ascii="Times New Roman" w:eastAsia="Times New Roman" w:hAnsi="Times New Roman"/>
        </w:rPr>
        <w:t>‑</w:t>
      </w:r>
      <w:r>
        <w:rPr>
          <w:spacing w:val="-2"/>
        </w:rPr>
        <w:t>车</w:t>
      </w:r>
      <w:r>
        <w:rPr>
          <w:rFonts w:ascii="Times New Roman" w:eastAsia="Times New Roman" w:hAnsi="Times New Roman"/>
          <w:spacing w:val="-2"/>
        </w:rPr>
        <w:t>‑</w:t>
      </w:r>
      <w:r>
        <w:rPr>
          <w:spacing w:val="-2"/>
        </w:rPr>
        <w:t>环境”交互系统，重点解决在迷宫动态环境下如何将离散、异步的脑控指令可靠转换为智能小车连续、自主的多阶段复合任务行为，包括定位、鸣笛</w:t>
      </w:r>
      <w:r>
        <w:rPr>
          <w:rFonts w:ascii="Times New Roman" w:eastAsia="Times New Roman" w:hAnsi="Times New Roman"/>
          <w:spacing w:val="-2"/>
        </w:rPr>
        <w:t>/</w:t>
      </w:r>
      <w:r>
        <w:rPr>
          <w:spacing w:val="-2"/>
        </w:rPr>
        <w:t>闪灯与驶出等环节。核心工作围绕系统架构设计、控制策略创新与全链路集成优化展开：构建了“用户</w:t>
      </w:r>
      <w:r>
        <w:rPr>
          <w:rFonts w:ascii="Times New Roman" w:eastAsia="Times New Roman" w:hAnsi="Times New Roman"/>
          <w:spacing w:val="-2"/>
        </w:rPr>
        <w:t>‑BCI‑</w:t>
      </w:r>
      <w:r>
        <w:rPr>
          <w:spacing w:val="-2"/>
        </w:rPr>
        <w:t>决策</w:t>
      </w:r>
      <w:r>
        <w:rPr>
          <w:rFonts w:ascii="Times New Roman" w:eastAsia="Times New Roman" w:hAnsi="Times New Roman"/>
          <w:spacing w:val="-2"/>
        </w:rPr>
        <w:t>‑</w:t>
      </w:r>
      <w:r>
        <w:rPr>
          <w:spacing w:val="-2"/>
        </w:rPr>
        <w:t>小车</w:t>
      </w:r>
      <w:r>
        <w:rPr>
          <w:rFonts w:ascii="Times New Roman" w:eastAsia="Times New Roman" w:hAnsi="Times New Roman"/>
          <w:spacing w:val="-2"/>
        </w:rPr>
        <w:t>‑</w:t>
      </w:r>
      <w:r>
        <w:rPr>
          <w:spacing w:val="-2"/>
        </w:rPr>
        <w:t>环境”五层闭环系统架构，明确各模块职责与数据流；提出了“脑控触发＋状态机自主执行”的混合控制策略，使高层脑控指令触发任务状态，由小车在状态机驱动下自主完成精细操作；完成了从脑电采集、算法调用、指令生成、无线通信到小车执行的全链路工程实现与联调，并针对延迟、抗干扰性及用户体验进行了专项优化。系统最终实现在迷宫环境中用户仅需发出数次高层意图指令，即可引导小车可靠、流畅地完成全部标准任务，充分展现了优异的系统集成能力与任务适应性。</w:t>
      </w:r>
    </w:p>
    <w:p w14:paraId="651FA7AF" w14:textId="77777777" w:rsidR="003E15D2" w:rsidRDefault="00000000">
      <w:pPr>
        <w:pStyle w:val="a3"/>
        <w:spacing w:before="16"/>
        <w:ind w:left="100"/>
        <w:rPr>
          <w:rFonts w:hint="eastAsia"/>
        </w:rPr>
      </w:pPr>
      <w:r>
        <w:rPr>
          <w:b/>
          <w:spacing w:val="-2"/>
        </w:rPr>
        <w:t>关键词</w:t>
      </w:r>
      <w:r>
        <w:rPr>
          <w:spacing w:val="-2"/>
        </w:rPr>
        <w:t>：</w:t>
      </w:r>
      <w:r>
        <w:rPr>
          <w:rFonts w:ascii="Times New Roman" w:eastAsia="Times New Roman"/>
          <w:spacing w:val="-2"/>
        </w:rPr>
        <w:t>SSVEP-BCI</w:t>
      </w:r>
      <w:r>
        <w:rPr>
          <w:spacing w:val="-3"/>
        </w:rPr>
        <w:t>；脑机接口；智能小车；迷宫导航；任务自主执行</w:t>
      </w:r>
    </w:p>
    <w:p w14:paraId="0A70D558" w14:textId="77777777" w:rsidR="003E15D2" w:rsidRDefault="003E15D2">
      <w:pPr>
        <w:pStyle w:val="a3"/>
        <w:rPr>
          <w:rFonts w:hint="eastAsia"/>
        </w:rPr>
        <w:sectPr w:rsidR="003E15D2">
          <w:pgSz w:w="11910" w:h="16840"/>
          <w:pgMar w:top="1500" w:right="1275" w:bottom="280" w:left="1700" w:header="720" w:footer="720" w:gutter="0"/>
          <w:cols w:space="720"/>
        </w:sectPr>
      </w:pPr>
    </w:p>
    <w:p w14:paraId="25B5529C" w14:textId="77777777" w:rsidR="003E15D2" w:rsidRDefault="00000000">
      <w:pPr>
        <w:pStyle w:val="1"/>
        <w:rPr>
          <w:rFonts w:hint="eastAsia"/>
        </w:rPr>
      </w:pPr>
      <w:r>
        <w:rPr>
          <w:spacing w:val="-4"/>
        </w:rPr>
        <w:lastRenderedPageBreak/>
        <w:t>一、引言</w:t>
      </w:r>
    </w:p>
    <w:p w14:paraId="382EE2A5" w14:textId="46BDBB19" w:rsidR="003E15D2" w:rsidRDefault="00D115F3">
      <w:pPr>
        <w:pStyle w:val="2"/>
        <w:numPr>
          <w:ilvl w:val="1"/>
          <w:numId w:val="1"/>
        </w:numPr>
        <w:tabs>
          <w:tab w:val="left" w:pos="659"/>
        </w:tabs>
        <w:spacing w:before="350"/>
        <w:ind w:left="659" w:hanging="559"/>
        <w:rPr>
          <w:rFonts w:hint="eastAsia"/>
        </w:rPr>
      </w:pPr>
      <w:r>
        <w:rPr>
          <w:rFonts w:hint="eastAsia"/>
          <w:spacing w:val="-3"/>
        </w:rPr>
        <w:t>1.1</w:t>
      </w:r>
    </w:p>
    <w:p w14:paraId="79B9A1B7" w14:textId="77777777" w:rsidR="003E15D2" w:rsidRDefault="00000000">
      <w:pPr>
        <w:pStyle w:val="a3"/>
        <w:spacing w:before="318" w:line="429" w:lineRule="auto"/>
        <w:ind w:left="100" w:right="641" w:firstLine="479"/>
        <w:jc w:val="both"/>
        <w:rPr>
          <w:rFonts w:hint="eastAsia"/>
        </w:rPr>
      </w:pPr>
      <w:r>
        <w:rPr>
          <w:noProof/>
        </w:rPr>
        <w:drawing>
          <wp:anchor distT="0" distB="0" distL="0" distR="0" simplePos="0" relativeHeight="487540736" behindDoc="1" locked="0" layoutInCell="1" allowOverlap="1" wp14:anchorId="32D90F13" wp14:editId="4C24242B">
            <wp:simplePos x="0" y="0"/>
            <wp:positionH relativeFrom="page">
              <wp:posOffset>1447800</wp:posOffset>
            </wp:positionH>
            <wp:positionV relativeFrom="paragraph">
              <wp:posOffset>2230754</wp:posOffset>
            </wp:positionV>
            <wp:extent cx="5274309" cy="529780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274309" cy="5297805"/>
                    </a:xfrm>
                    <a:prstGeom prst="rect">
                      <a:avLst/>
                    </a:prstGeom>
                  </pic:spPr>
                </pic:pic>
              </a:graphicData>
            </a:graphic>
          </wp:anchor>
        </w:drawing>
      </w:r>
      <w:r>
        <w:rPr>
          <w:spacing w:val="-7"/>
        </w:rPr>
        <w:t xml:space="preserve">本研究基于 </w:t>
      </w:r>
      <w:r>
        <w:rPr>
          <w:rFonts w:ascii="Times New Roman" w:eastAsia="Times New Roman" w:hAnsi="Times New Roman"/>
          <w:spacing w:val="-2"/>
        </w:rPr>
        <w:t>AIC</w:t>
      </w:r>
      <w:r>
        <w:rPr>
          <w:rFonts w:ascii="Times New Roman" w:eastAsia="Times New Roman" w:hAnsi="Times New Roman"/>
          <w:spacing w:val="4"/>
        </w:rPr>
        <w:t xml:space="preserve"> </w:t>
      </w:r>
      <w:r>
        <w:rPr>
          <w:spacing w:val="-2"/>
        </w:rPr>
        <w:t>人工智能算法精英大赛</w:t>
      </w:r>
      <w:r>
        <w:rPr>
          <w:rFonts w:ascii="Times New Roman" w:eastAsia="Times New Roman" w:hAnsi="Times New Roman"/>
          <w:spacing w:val="-2"/>
        </w:rPr>
        <w:t>“</w:t>
      </w:r>
      <w:r>
        <w:rPr>
          <w:spacing w:val="-2"/>
        </w:rPr>
        <w:t>脑机</w:t>
      </w:r>
      <w:r>
        <w:rPr>
          <w:rFonts w:ascii="Times New Roman" w:eastAsia="Times New Roman" w:hAnsi="Times New Roman"/>
          <w:spacing w:val="-2"/>
        </w:rPr>
        <w:t>”</w:t>
      </w:r>
      <w:r>
        <w:rPr>
          <w:spacing w:val="-2"/>
        </w:rPr>
        <w:t>赛项的技术要求展开。该赛项要求参赛队伍在统一的硬件平台规范下，构建一套完整的脑电控制系统，实现通过稳态视觉诱发电位技术对智能小车进行精确控制，并在设定的迷宫环境中完成多阶段复合任务。具体任务包括：控制小车定位并抵达迷宫内的标准任务区域，执行鸣笛与灯光闪烁的固定操作，随后自主规划路径驶出迷宫环境如</w:t>
      </w:r>
      <w:r>
        <w:rPr>
          <w:spacing w:val="-22"/>
        </w:rPr>
        <w:t xml:space="preserve">图 </w:t>
      </w:r>
      <w:r>
        <w:rPr>
          <w:rFonts w:ascii="Times New Roman" w:eastAsia="Times New Roman" w:hAnsi="Times New Roman"/>
        </w:rPr>
        <w:t>1</w:t>
      </w:r>
      <w:r>
        <w:t>。</w:t>
      </w:r>
    </w:p>
    <w:p w14:paraId="617DD826" w14:textId="77777777" w:rsidR="003E15D2" w:rsidRDefault="003E15D2">
      <w:pPr>
        <w:pStyle w:val="a3"/>
        <w:rPr>
          <w:rFonts w:hint="eastAsia"/>
        </w:rPr>
      </w:pPr>
    </w:p>
    <w:p w14:paraId="33DA0E96" w14:textId="77777777" w:rsidR="003E15D2" w:rsidRDefault="003E15D2">
      <w:pPr>
        <w:pStyle w:val="a3"/>
        <w:rPr>
          <w:rFonts w:hint="eastAsia"/>
        </w:rPr>
      </w:pPr>
    </w:p>
    <w:p w14:paraId="4F6E4FBB" w14:textId="77777777" w:rsidR="003E15D2" w:rsidRDefault="003E15D2">
      <w:pPr>
        <w:pStyle w:val="a3"/>
        <w:rPr>
          <w:rFonts w:hint="eastAsia"/>
        </w:rPr>
      </w:pPr>
    </w:p>
    <w:p w14:paraId="55F59E76" w14:textId="77777777" w:rsidR="003E15D2" w:rsidRDefault="003E15D2">
      <w:pPr>
        <w:pStyle w:val="a3"/>
        <w:rPr>
          <w:rFonts w:hint="eastAsia"/>
        </w:rPr>
      </w:pPr>
    </w:p>
    <w:p w14:paraId="4ACCF36D" w14:textId="77777777" w:rsidR="003E15D2" w:rsidRDefault="003E15D2">
      <w:pPr>
        <w:pStyle w:val="a3"/>
        <w:rPr>
          <w:rFonts w:hint="eastAsia"/>
        </w:rPr>
      </w:pPr>
    </w:p>
    <w:p w14:paraId="33A37F47" w14:textId="77777777" w:rsidR="003E15D2" w:rsidRDefault="003E15D2">
      <w:pPr>
        <w:pStyle w:val="a3"/>
        <w:rPr>
          <w:rFonts w:hint="eastAsia"/>
        </w:rPr>
      </w:pPr>
    </w:p>
    <w:p w14:paraId="2256A91A" w14:textId="77777777" w:rsidR="003E15D2" w:rsidRDefault="003E15D2">
      <w:pPr>
        <w:pStyle w:val="a3"/>
        <w:rPr>
          <w:rFonts w:hint="eastAsia"/>
        </w:rPr>
      </w:pPr>
    </w:p>
    <w:p w14:paraId="71A209E8" w14:textId="77777777" w:rsidR="003E15D2" w:rsidRDefault="003E15D2">
      <w:pPr>
        <w:pStyle w:val="a3"/>
        <w:rPr>
          <w:rFonts w:hint="eastAsia"/>
        </w:rPr>
      </w:pPr>
    </w:p>
    <w:p w14:paraId="706303B6" w14:textId="77777777" w:rsidR="003E15D2" w:rsidRDefault="003E15D2">
      <w:pPr>
        <w:pStyle w:val="a3"/>
        <w:rPr>
          <w:rFonts w:hint="eastAsia"/>
        </w:rPr>
      </w:pPr>
    </w:p>
    <w:p w14:paraId="219255D4" w14:textId="77777777" w:rsidR="003E15D2" w:rsidRDefault="003E15D2">
      <w:pPr>
        <w:pStyle w:val="a3"/>
        <w:rPr>
          <w:rFonts w:hint="eastAsia"/>
        </w:rPr>
      </w:pPr>
    </w:p>
    <w:p w14:paraId="05F37179" w14:textId="77777777" w:rsidR="003E15D2" w:rsidRDefault="003E15D2">
      <w:pPr>
        <w:pStyle w:val="a3"/>
        <w:rPr>
          <w:rFonts w:hint="eastAsia"/>
        </w:rPr>
      </w:pPr>
    </w:p>
    <w:p w14:paraId="6754DF0F" w14:textId="77777777" w:rsidR="003E15D2" w:rsidRDefault="003E15D2">
      <w:pPr>
        <w:pStyle w:val="a3"/>
        <w:rPr>
          <w:rFonts w:hint="eastAsia"/>
        </w:rPr>
      </w:pPr>
    </w:p>
    <w:p w14:paraId="3DFE33D1" w14:textId="77777777" w:rsidR="003E15D2" w:rsidRDefault="003E15D2">
      <w:pPr>
        <w:pStyle w:val="a3"/>
        <w:rPr>
          <w:rFonts w:hint="eastAsia"/>
        </w:rPr>
      </w:pPr>
    </w:p>
    <w:p w14:paraId="5C16ABF2" w14:textId="77777777" w:rsidR="003E15D2" w:rsidRDefault="003E15D2">
      <w:pPr>
        <w:pStyle w:val="a3"/>
        <w:rPr>
          <w:rFonts w:hint="eastAsia"/>
        </w:rPr>
      </w:pPr>
    </w:p>
    <w:p w14:paraId="6CCF46A4" w14:textId="77777777" w:rsidR="003E15D2" w:rsidRDefault="003E15D2">
      <w:pPr>
        <w:pStyle w:val="a3"/>
        <w:rPr>
          <w:rFonts w:hint="eastAsia"/>
        </w:rPr>
      </w:pPr>
    </w:p>
    <w:p w14:paraId="66D5F8B6" w14:textId="77777777" w:rsidR="003E15D2" w:rsidRDefault="003E15D2">
      <w:pPr>
        <w:pStyle w:val="a3"/>
        <w:rPr>
          <w:rFonts w:hint="eastAsia"/>
        </w:rPr>
      </w:pPr>
    </w:p>
    <w:p w14:paraId="39B35721" w14:textId="77777777" w:rsidR="003E15D2" w:rsidRDefault="003E15D2">
      <w:pPr>
        <w:pStyle w:val="a3"/>
        <w:rPr>
          <w:rFonts w:hint="eastAsia"/>
        </w:rPr>
      </w:pPr>
    </w:p>
    <w:p w14:paraId="30224DE1" w14:textId="77777777" w:rsidR="003E15D2" w:rsidRDefault="003E15D2">
      <w:pPr>
        <w:pStyle w:val="a3"/>
        <w:rPr>
          <w:rFonts w:hint="eastAsia"/>
        </w:rPr>
      </w:pPr>
    </w:p>
    <w:p w14:paraId="2F126FC1" w14:textId="77777777" w:rsidR="003E15D2" w:rsidRDefault="003E15D2">
      <w:pPr>
        <w:pStyle w:val="a3"/>
        <w:rPr>
          <w:rFonts w:hint="eastAsia"/>
        </w:rPr>
      </w:pPr>
    </w:p>
    <w:p w14:paraId="71560FBC" w14:textId="77777777" w:rsidR="003E15D2" w:rsidRDefault="003E15D2">
      <w:pPr>
        <w:pStyle w:val="a3"/>
        <w:rPr>
          <w:rFonts w:hint="eastAsia"/>
        </w:rPr>
      </w:pPr>
    </w:p>
    <w:p w14:paraId="0DA68A39" w14:textId="77777777" w:rsidR="003E15D2" w:rsidRDefault="003E15D2">
      <w:pPr>
        <w:pStyle w:val="a3"/>
        <w:rPr>
          <w:rFonts w:hint="eastAsia"/>
        </w:rPr>
      </w:pPr>
    </w:p>
    <w:p w14:paraId="491167FA" w14:textId="77777777" w:rsidR="003E15D2" w:rsidRDefault="003E15D2">
      <w:pPr>
        <w:pStyle w:val="a3"/>
        <w:rPr>
          <w:rFonts w:hint="eastAsia"/>
        </w:rPr>
      </w:pPr>
    </w:p>
    <w:p w14:paraId="3BCEAF4C" w14:textId="77777777" w:rsidR="003E15D2" w:rsidRDefault="003E15D2">
      <w:pPr>
        <w:pStyle w:val="a3"/>
        <w:rPr>
          <w:rFonts w:hint="eastAsia"/>
        </w:rPr>
      </w:pPr>
    </w:p>
    <w:p w14:paraId="0327C969" w14:textId="77777777" w:rsidR="003E15D2" w:rsidRDefault="003E15D2">
      <w:pPr>
        <w:pStyle w:val="a3"/>
        <w:rPr>
          <w:rFonts w:hint="eastAsia"/>
        </w:rPr>
      </w:pPr>
    </w:p>
    <w:p w14:paraId="2866699C" w14:textId="77777777" w:rsidR="003E15D2" w:rsidRDefault="003E15D2">
      <w:pPr>
        <w:pStyle w:val="a3"/>
        <w:rPr>
          <w:rFonts w:hint="eastAsia"/>
        </w:rPr>
      </w:pPr>
    </w:p>
    <w:p w14:paraId="7BEE3C72" w14:textId="77777777" w:rsidR="003E15D2" w:rsidRDefault="003E15D2">
      <w:pPr>
        <w:pStyle w:val="a3"/>
        <w:spacing w:before="116"/>
        <w:rPr>
          <w:rFonts w:hint="eastAsia"/>
        </w:rPr>
      </w:pPr>
    </w:p>
    <w:p w14:paraId="7D91C9C9" w14:textId="77777777" w:rsidR="003E15D2" w:rsidRDefault="00000000">
      <w:pPr>
        <w:pStyle w:val="a3"/>
        <w:ind w:left="217" w:right="161"/>
        <w:jc w:val="center"/>
        <w:rPr>
          <w:rFonts w:hint="eastAsia"/>
        </w:rPr>
      </w:pPr>
      <w:r>
        <w:rPr>
          <w:spacing w:val="-30"/>
        </w:rPr>
        <w:t xml:space="preserve">图 </w:t>
      </w:r>
      <w:r>
        <w:rPr>
          <w:rFonts w:ascii="Times New Roman" w:eastAsia="Times New Roman"/>
        </w:rPr>
        <w:t>1</w:t>
      </w:r>
      <w:r>
        <w:rPr>
          <w:rFonts w:ascii="Times New Roman" w:eastAsia="Times New Roman"/>
          <w:spacing w:val="60"/>
        </w:rPr>
        <w:t xml:space="preserve"> </w:t>
      </w:r>
      <w:r>
        <w:rPr>
          <w:spacing w:val="-3"/>
        </w:rPr>
        <w:t>迷宫环境</w:t>
      </w:r>
    </w:p>
    <w:p w14:paraId="5CF72545" w14:textId="77777777" w:rsidR="003E15D2" w:rsidRDefault="003E15D2">
      <w:pPr>
        <w:pStyle w:val="a3"/>
        <w:jc w:val="center"/>
        <w:rPr>
          <w:rFonts w:hint="eastAsia"/>
        </w:rPr>
        <w:sectPr w:rsidR="003E15D2">
          <w:pgSz w:w="11910" w:h="16840"/>
          <w:pgMar w:top="1540" w:right="1275" w:bottom="280" w:left="1700" w:header="720" w:footer="720" w:gutter="0"/>
          <w:cols w:space="720"/>
        </w:sectPr>
      </w:pPr>
    </w:p>
    <w:p w14:paraId="105DAEA5" w14:textId="77777777" w:rsidR="003E15D2" w:rsidRDefault="00000000">
      <w:pPr>
        <w:pStyle w:val="a3"/>
        <w:spacing w:before="46" w:line="429" w:lineRule="auto"/>
        <w:ind w:left="100" w:right="668" w:firstLine="479"/>
        <w:jc w:val="both"/>
        <w:rPr>
          <w:rFonts w:hint="eastAsia"/>
        </w:rPr>
      </w:pPr>
      <w:r>
        <w:rPr>
          <w:spacing w:val="-2"/>
        </w:rPr>
        <w:lastRenderedPageBreak/>
        <w:t>竞赛的核心挑战在于如何将组委会提供的标准化脑电信号处理系统与自主开发的智能控制平台有效集成，并将离散的脑电识别结果转化为在复杂动态环境中的连续、可靠控制行为。这要求参赛团队不仅需要深入理解脑机接口的工作原理，更需要具备系统工程思维，解决从信号采集到物理执行全链路中的实</w:t>
      </w:r>
      <w:r>
        <w:rPr>
          <w:spacing w:val="-4"/>
        </w:rPr>
        <w:t>际问题。</w:t>
      </w:r>
    </w:p>
    <w:p w14:paraId="7501BCF7" w14:textId="23806189" w:rsidR="003E15D2" w:rsidRDefault="00D115F3">
      <w:pPr>
        <w:pStyle w:val="2"/>
        <w:numPr>
          <w:ilvl w:val="1"/>
          <w:numId w:val="1"/>
        </w:numPr>
        <w:tabs>
          <w:tab w:val="left" w:pos="659"/>
        </w:tabs>
        <w:ind w:left="659" w:hanging="559"/>
        <w:jc w:val="both"/>
        <w:rPr>
          <w:rFonts w:hint="eastAsia"/>
        </w:rPr>
      </w:pPr>
      <w:r>
        <w:rPr>
          <w:rFonts w:hint="eastAsia"/>
          <w:spacing w:val="-3"/>
        </w:rPr>
        <w:t>1.2</w:t>
      </w:r>
    </w:p>
    <w:p w14:paraId="5EBB4571" w14:textId="77777777" w:rsidR="003E15D2" w:rsidRDefault="00000000">
      <w:pPr>
        <w:pStyle w:val="a3"/>
        <w:spacing w:before="318" w:line="429" w:lineRule="auto"/>
        <w:ind w:left="100" w:right="668" w:firstLine="479"/>
        <w:rPr>
          <w:rFonts w:hint="eastAsia"/>
        </w:rPr>
      </w:pPr>
      <w:r>
        <w:rPr>
          <w:spacing w:val="-8"/>
        </w:rPr>
        <w:t xml:space="preserve">本系统采用的 </w:t>
      </w:r>
      <w:r>
        <w:rPr>
          <w:rFonts w:ascii="Times New Roman" w:eastAsia="Times New Roman"/>
        </w:rPr>
        <w:t xml:space="preserve">TC-BCI </w:t>
      </w:r>
      <w:r>
        <w:t>脑电采集平台包含六个关键部分：六导联脑电帽、</w:t>
      </w:r>
      <w:r>
        <w:rPr>
          <w:spacing w:val="-2"/>
        </w:rPr>
        <w:t>无线脑电放大器、蓝牙接收器、导电膏、注射器及上位机采集软件。脑电帽采</w:t>
      </w:r>
      <w:r>
        <w:rPr>
          <w:spacing w:val="-3"/>
        </w:rPr>
        <w:t xml:space="preserve">用亲肤柔性材质，电极采用烧结 </w:t>
      </w:r>
      <w:r>
        <w:rPr>
          <w:rFonts w:ascii="Times New Roman" w:eastAsia="Times New Roman"/>
        </w:rPr>
        <w:t xml:space="preserve">AgCl </w:t>
      </w:r>
      <w:r>
        <w:t>材料，电极外圈的柔性硅胶设计提升了</w:t>
      </w:r>
      <w:r>
        <w:rPr>
          <w:spacing w:val="-2"/>
        </w:rPr>
        <w:t>佩戴舒适度与贴合度。</w:t>
      </w:r>
    </w:p>
    <w:p w14:paraId="5163E7AD" w14:textId="77777777" w:rsidR="003E15D2" w:rsidRDefault="00000000">
      <w:pPr>
        <w:pStyle w:val="a3"/>
        <w:spacing w:before="5" w:line="432" w:lineRule="auto"/>
        <w:ind w:left="100" w:right="713" w:firstLine="479"/>
        <w:rPr>
          <w:rFonts w:hint="eastAsia"/>
        </w:rPr>
      </w:pPr>
      <w:r>
        <w:t>在实际使用中，我们发现信号质量与操作规范性高度相关。通过反复测</w:t>
      </w:r>
      <w:r>
        <w:rPr>
          <w:spacing w:val="-3"/>
        </w:rPr>
        <w:t xml:space="preserve">试，我们总结出一套标准操作流程：佩戴时确保 </w:t>
      </w:r>
      <w:r>
        <w:rPr>
          <w:rFonts w:ascii="Times New Roman" w:eastAsia="Times New Roman"/>
        </w:rPr>
        <w:t>R</w:t>
      </w:r>
      <w:r>
        <w:rPr>
          <w:rFonts w:ascii="Times New Roman" w:eastAsia="Times New Roman"/>
          <w:spacing w:val="-1"/>
        </w:rPr>
        <w:t>e</w:t>
      </w:r>
      <w:r>
        <w:rPr>
          <w:rFonts w:ascii="Times New Roman" w:eastAsia="Times New Roman"/>
        </w:rPr>
        <w:t>f</w:t>
      </w:r>
      <w:r>
        <w:rPr>
          <w:rFonts w:ascii="Times New Roman" w:eastAsia="Times New Roman"/>
          <w:spacing w:val="-1"/>
        </w:rPr>
        <w:t xml:space="preserve"> </w:t>
      </w:r>
      <w:r>
        <w:t>电极位于头顶正中央位</w:t>
      </w:r>
      <w:r>
        <w:rPr>
          <w:spacing w:val="-4"/>
        </w:rPr>
        <w:t xml:space="preserve">置；注射导电膏采用每次注入不超过 </w:t>
      </w:r>
      <w:r>
        <w:rPr>
          <w:rFonts w:ascii="Times New Roman" w:eastAsia="Times New Roman"/>
        </w:rPr>
        <w:t>0.5ml</w:t>
      </w:r>
      <w:r>
        <w:rPr>
          <w:rFonts w:ascii="Times New Roman" w:eastAsia="Times New Roman"/>
          <w:spacing w:val="1"/>
        </w:rPr>
        <w:t xml:space="preserve"> </w:t>
      </w:r>
      <w:r>
        <w:rPr>
          <w:spacing w:val="-2"/>
        </w:rPr>
        <w:t>导电膏并用针头搅动使其充分渗透</w:t>
      </w:r>
      <w:r>
        <w:rPr>
          <w:spacing w:val="-1"/>
        </w:rPr>
        <w:t>至发根的方法。这一方法使电极阻抗稳定性大大增强。</w:t>
      </w:r>
    </w:p>
    <w:p w14:paraId="00BBB9B5" w14:textId="77777777" w:rsidR="003E15D2" w:rsidRDefault="00000000">
      <w:pPr>
        <w:pStyle w:val="a3"/>
        <w:spacing w:line="429" w:lineRule="auto"/>
        <w:ind w:left="100" w:right="555" w:firstLine="479"/>
        <w:rPr>
          <w:rFonts w:hint="eastAsia"/>
        </w:rPr>
      </w:pPr>
      <w:r>
        <w:rPr>
          <w:spacing w:val="-3"/>
        </w:rPr>
        <w:t xml:space="preserve">脑电放大器采用蓝牙 </w:t>
      </w:r>
      <w:r>
        <w:rPr>
          <w:rFonts w:ascii="Times New Roman" w:eastAsia="Times New Roman" w:hAnsi="Times New Roman"/>
        </w:rPr>
        <w:t xml:space="preserve">5.0 </w:t>
      </w:r>
      <w:r>
        <w:t>无线传输，内置智能电源管理系统。设备状态通</w:t>
      </w:r>
      <w:r>
        <w:rPr>
          <w:spacing w:val="-2"/>
        </w:rPr>
        <w:t xml:space="preserve">过指示灯明确显示：开机后指示灯慢闪表示系统自检，常亮表示进入正常工作状态；绿灯表示电量高于 </w:t>
      </w:r>
      <w:r>
        <w:rPr>
          <w:rFonts w:ascii="Times New Roman" w:eastAsia="Times New Roman" w:hAnsi="Times New Roman"/>
        </w:rPr>
        <w:t>60%</w:t>
      </w:r>
      <w:r>
        <w:rPr>
          <w:spacing w:val="-3"/>
        </w:rPr>
        <w:t xml:space="preserve">，蓝灯表示电量低于 </w:t>
      </w:r>
      <w:r>
        <w:rPr>
          <w:rFonts w:ascii="Times New Roman" w:eastAsia="Times New Roman" w:hAnsi="Times New Roman"/>
        </w:rPr>
        <w:t>60%</w:t>
      </w:r>
      <w:r>
        <w:t xml:space="preserve">。上位机软件 </w:t>
      </w:r>
      <w:r>
        <w:rPr>
          <w:rFonts w:ascii="Times New Roman" w:eastAsia="Times New Roman" w:hAnsi="Times New Roman"/>
        </w:rPr>
        <w:t>EEGViewer</w:t>
      </w:r>
      <w:r>
        <w:rPr>
          <w:rFonts w:ascii="Times New Roman" w:eastAsia="Times New Roman" w:hAnsi="Times New Roman"/>
          <w:spacing w:val="-15"/>
        </w:rPr>
        <w:t xml:space="preserve"> </w:t>
      </w:r>
      <w:r>
        <w:rPr>
          <w:spacing w:val="-20"/>
        </w:rPr>
        <w:t xml:space="preserve">通过 </w:t>
      </w:r>
      <w:r>
        <w:rPr>
          <w:rFonts w:ascii="Times New Roman" w:eastAsia="Times New Roman" w:hAnsi="Times New Roman"/>
        </w:rPr>
        <w:t>CH340</w:t>
      </w:r>
      <w:r>
        <w:rPr>
          <w:rFonts w:ascii="Times New Roman" w:eastAsia="Times New Roman" w:hAnsi="Times New Roman"/>
          <w:spacing w:val="-15"/>
        </w:rPr>
        <w:t xml:space="preserve"> </w:t>
      </w:r>
      <w:r>
        <w:t>驱动与设备通信，在信号采集界面可实时观察六通道脑</w:t>
      </w:r>
      <w:r>
        <w:rPr>
          <w:spacing w:val="-2"/>
        </w:rPr>
        <w:t>电波形，通过调整显示尺度可清晰观察信号质量。良好信号表现为基线平稳、</w:t>
      </w:r>
      <w:r>
        <w:rPr>
          <w:spacing w:val="-4"/>
        </w:rPr>
        <w:t xml:space="preserve">幅值约 </w:t>
      </w:r>
      <w:r>
        <w:rPr>
          <w:rFonts w:ascii="Times New Roman" w:eastAsia="Times New Roman" w:hAnsi="Times New Roman"/>
        </w:rPr>
        <w:t>20μV</w:t>
      </w:r>
      <w:r>
        <w:rPr>
          <w:spacing w:val="-2"/>
        </w:rPr>
        <w:t xml:space="preserve">，闭眼时可观察到明显的 </w:t>
      </w:r>
      <w:r>
        <w:rPr>
          <w:rFonts w:ascii="Times New Roman" w:eastAsia="Times New Roman" w:hAnsi="Times New Roman"/>
        </w:rPr>
        <w:t xml:space="preserve">α </w:t>
      </w:r>
      <w:r>
        <w:t>节律。</w:t>
      </w:r>
    </w:p>
    <w:p w14:paraId="3CD010C6" w14:textId="7C10C32D" w:rsidR="003E15D2" w:rsidRDefault="00D115F3">
      <w:pPr>
        <w:pStyle w:val="2"/>
        <w:numPr>
          <w:ilvl w:val="1"/>
          <w:numId w:val="1"/>
        </w:numPr>
        <w:tabs>
          <w:tab w:val="left" w:pos="659"/>
        </w:tabs>
        <w:ind w:left="659" w:hanging="559"/>
        <w:rPr>
          <w:rFonts w:hint="eastAsia"/>
        </w:rPr>
      </w:pPr>
      <w:r>
        <w:rPr>
          <w:rFonts w:hint="eastAsia"/>
          <w:spacing w:val="-3"/>
        </w:rPr>
        <w:t>1.3</w:t>
      </w:r>
    </w:p>
    <w:p w14:paraId="1520425E" w14:textId="77777777" w:rsidR="003E15D2" w:rsidRDefault="00000000">
      <w:pPr>
        <w:pStyle w:val="a3"/>
        <w:spacing w:before="315" w:line="432" w:lineRule="auto"/>
        <w:ind w:left="100" w:right="582" w:firstLine="479"/>
        <w:rPr>
          <w:rFonts w:hint="eastAsia"/>
        </w:rPr>
      </w:pPr>
      <w:r>
        <w:rPr>
          <w:spacing w:val="-2"/>
        </w:rPr>
        <w:t xml:space="preserve">智能小车平台基于模块化设计理念构建。车体采用四轮差速驱动结构，配备金属齿轮减速电机，具备良好的负载能力与运动精度。核心控制系统采用 </w:t>
      </w:r>
      <w:r>
        <w:rPr>
          <w:rFonts w:ascii="Times New Roman" w:eastAsia="Times New Roman"/>
        </w:rPr>
        <w:t>STM32F407</w:t>
      </w:r>
      <w:r>
        <w:rPr>
          <w:rFonts w:ascii="Times New Roman" w:eastAsia="Times New Roman"/>
          <w:spacing w:val="-15"/>
        </w:rPr>
        <w:t xml:space="preserve"> </w:t>
      </w:r>
      <w:r>
        <w:t>微控制器，负责传感器数据融合、运动控制算法执行及通信协议处</w:t>
      </w:r>
    </w:p>
    <w:p w14:paraId="119EC533" w14:textId="77777777" w:rsidR="003E15D2" w:rsidRDefault="003E15D2">
      <w:pPr>
        <w:pStyle w:val="a3"/>
        <w:spacing w:line="432" w:lineRule="auto"/>
        <w:rPr>
          <w:rFonts w:hint="eastAsia"/>
        </w:rPr>
        <w:sectPr w:rsidR="003E15D2">
          <w:pgSz w:w="11910" w:h="16840"/>
          <w:pgMar w:top="1580" w:right="1275" w:bottom="280" w:left="1700" w:header="720" w:footer="720" w:gutter="0"/>
          <w:cols w:space="720"/>
        </w:sectPr>
      </w:pPr>
    </w:p>
    <w:p w14:paraId="13000016" w14:textId="77777777" w:rsidR="003E15D2" w:rsidRDefault="00000000">
      <w:pPr>
        <w:pStyle w:val="a3"/>
        <w:spacing w:before="46"/>
        <w:ind w:left="100"/>
        <w:rPr>
          <w:rFonts w:hint="eastAsia"/>
        </w:rPr>
      </w:pPr>
      <w:r>
        <w:rPr>
          <w:spacing w:val="-5"/>
        </w:rPr>
        <w:lastRenderedPageBreak/>
        <w:t>理。</w:t>
      </w:r>
    </w:p>
    <w:p w14:paraId="020FF535" w14:textId="77777777" w:rsidR="003E15D2" w:rsidRDefault="00000000">
      <w:pPr>
        <w:pStyle w:val="a3"/>
        <w:spacing w:before="247" w:line="432" w:lineRule="auto"/>
        <w:ind w:left="100" w:right="552" w:firstLine="479"/>
        <w:jc w:val="both"/>
        <w:rPr>
          <w:rFonts w:hint="eastAsia"/>
        </w:rPr>
      </w:pPr>
      <w:r>
        <w:rPr>
          <w:spacing w:val="-4"/>
        </w:rPr>
        <w:t xml:space="preserve">感知系统由多传感器构成：三组 </w:t>
      </w:r>
      <w:r>
        <w:rPr>
          <w:rFonts w:ascii="Times New Roman" w:eastAsia="Times New Roman"/>
          <w:spacing w:val="-2"/>
        </w:rPr>
        <w:t>HC-SR04</w:t>
      </w:r>
      <w:r>
        <w:rPr>
          <w:rFonts w:ascii="Times New Roman" w:eastAsia="Times New Roman"/>
          <w:spacing w:val="14"/>
        </w:rPr>
        <w:t xml:space="preserve"> </w:t>
      </w:r>
      <w:r>
        <w:rPr>
          <w:spacing w:val="-2"/>
        </w:rPr>
        <w:t>超声波模块（前、左、右）实时</w:t>
      </w:r>
      <w:r>
        <w:rPr>
          <w:spacing w:val="-3"/>
        </w:rPr>
        <w:t xml:space="preserve">测量障碍物距离，测量范围 </w:t>
      </w:r>
      <w:r>
        <w:rPr>
          <w:rFonts w:ascii="Times New Roman" w:eastAsia="Times New Roman"/>
        </w:rPr>
        <w:t>2-400cm</w:t>
      </w:r>
      <w:r>
        <w:t>；</w:t>
      </w:r>
      <w:r>
        <w:rPr>
          <w:rFonts w:ascii="Times New Roman" w:eastAsia="Times New Roman"/>
        </w:rPr>
        <w:t>OV2640</w:t>
      </w:r>
      <w:r>
        <w:rPr>
          <w:rFonts w:ascii="Times New Roman" w:eastAsia="Times New Roman"/>
          <w:spacing w:val="-15"/>
        </w:rPr>
        <w:t xml:space="preserve"> </w:t>
      </w:r>
      <w:r>
        <w:rPr>
          <w:spacing w:val="-5"/>
        </w:rPr>
        <w:t xml:space="preserve">摄像头模块以 </w:t>
      </w:r>
      <w:r>
        <w:rPr>
          <w:rFonts w:ascii="Times New Roman" w:eastAsia="Times New Roman"/>
        </w:rPr>
        <w:t>30fps</w:t>
      </w:r>
      <w:r>
        <w:rPr>
          <w:rFonts w:ascii="Times New Roman" w:eastAsia="Times New Roman"/>
          <w:spacing w:val="-15"/>
        </w:rPr>
        <w:t xml:space="preserve"> </w:t>
      </w:r>
      <w:r>
        <w:t>采集图像，用于识别地面视觉标识；</w:t>
      </w:r>
      <w:r>
        <w:rPr>
          <w:rFonts w:ascii="Times New Roman" w:eastAsia="Times New Roman"/>
        </w:rPr>
        <w:t xml:space="preserve">MPU6050 </w:t>
      </w:r>
      <w:r>
        <w:t>惯性测量单元提供姿态参考信息；</w:t>
      </w:r>
      <w:r>
        <w:rPr>
          <w:rFonts w:ascii="Times New Roman" w:eastAsia="Times New Roman"/>
        </w:rPr>
        <w:t xml:space="preserve">500 </w:t>
      </w:r>
      <w:r>
        <w:t>线光</w:t>
      </w:r>
      <w:r>
        <w:rPr>
          <w:spacing w:val="-3"/>
        </w:rPr>
        <w:t xml:space="preserve">电编码器实现电机转速与位移的精确测量。通信系统采用 </w:t>
      </w:r>
      <w:r>
        <w:rPr>
          <w:rFonts w:ascii="Times New Roman" w:eastAsia="Times New Roman"/>
          <w:spacing w:val="-2"/>
        </w:rPr>
        <w:t>ESP8266</w:t>
      </w:r>
      <w:r>
        <w:rPr>
          <w:rFonts w:ascii="Times New Roman" w:eastAsia="Times New Roman"/>
          <w:spacing w:val="-13"/>
        </w:rPr>
        <w:t xml:space="preserve"> </w:t>
      </w:r>
      <w:r>
        <w:rPr>
          <w:rFonts w:ascii="Times New Roman" w:eastAsia="Times New Roman"/>
          <w:spacing w:val="-2"/>
        </w:rPr>
        <w:t>WiFi</w:t>
      </w:r>
      <w:r>
        <w:rPr>
          <w:rFonts w:ascii="Times New Roman" w:eastAsia="Times New Roman"/>
          <w:spacing w:val="14"/>
        </w:rPr>
        <w:t xml:space="preserve"> </w:t>
      </w:r>
      <w:r>
        <w:rPr>
          <w:spacing w:val="-2"/>
        </w:rPr>
        <w:t>模块，</w:t>
      </w:r>
      <w:r>
        <w:rPr>
          <w:spacing w:val="-16"/>
        </w:rPr>
        <w:t xml:space="preserve">工作在 </w:t>
      </w:r>
      <w:r>
        <w:rPr>
          <w:rFonts w:ascii="Times New Roman" w:eastAsia="Times New Roman"/>
        </w:rPr>
        <w:t>STA</w:t>
      </w:r>
      <w:r>
        <w:rPr>
          <w:rFonts w:ascii="Times New Roman" w:eastAsia="Times New Roman"/>
          <w:spacing w:val="-10"/>
        </w:rPr>
        <w:t xml:space="preserve"> </w:t>
      </w:r>
      <w:r>
        <w:t>模式，通过自定义的轻量级通信协议与上位机保持实时数据交换。</w:t>
      </w:r>
    </w:p>
    <w:p w14:paraId="393EA1FC" w14:textId="77777777" w:rsidR="003E15D2" w:rsidRDefault="00000000">
      <w:pPr>
        <w:pStyle w:val="a3"/>
        <w:spacing w:line="429" w:lineRule="auto"/>
        <w:ind w:left="100" w:right="908" w:firstLine="479"/>
        <w:rPr>
          <w:rFonts w:hint="eastAsia"/>
        </w:rPr>
      </w:pPr>
      <w:r>
        <w:rPr>
          <w:spacing w:val="-2"/>
        </w:rPr>
        <w:t>在调试过程中，我们针对迷宫环境特点对小车的运动参数进行了专项优化。通过实验确定了当前比赛场地下的小车最佳运动模式。</w:t>
      </w:r>
    </w:p>
    <w:sectPr w:rsidR="003E15D2">
      <w:pgSz w:w="11910" w:h="16840"/>
      <w:pgMar w:top="1580" w:right="1275"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B37D6"/>
    <w:multiLevelType w:val="multilevel"/>
    <w:tmpl w:val="894E1A9C"/>
    <w:lvl w:ilvl="0">
      <w:start w:val="1"/>
      <w:numFmt w:val="decimal"/>
      <w:lvlText w:val="%1"/>
      <w:lvlJc w:val="left"/>
      <w:pPr>
        <w:ind w:left="662" w:hanging="562"/>
        <w:jc w:val="left"/>
      </w:pPr>
      <w:rPr>
        <w:rFonts w:hint="default"/>
        <w:lang w:val="en-US" w:eastAsia="zh-CN" w:bidi="ar-SA"/>
      </w:rPr>
    </w:lvl>
    <w:lvl w:ilvl="1">
      <w:start w:val="1"/>
      <w:numFmt w:val="decimal"/>
      <w:lvlText w:val="%1.%2"/>
      <w:lvlJc w:val="left"/>
      <w:pPr>
        <w:ind w:left="662" w:hanging="562"/>
        <w:jc w:val="left"/>
      </w:pPr>
      <w:rPr>
        <w:rFonts w:ascii="宋体" w:eastAsia="宋体" w:hAnsi="宋体" w:cs="宋体" w:hint="default"/>
        <w:b w:val="0"/>
        <w:bCs w:val="0"/>
        <w:i w:val="0"/>
        <w:iCs w:val="0"/>
        <w:spacing w:val="-2"/>
        <w:w w:val="100"/>
        <w:sz w:val="28"/>
        <w:szCs w:val="28"/>
        <w:lang w:val="en-US" w:eastAsia="zh-CN" w:bidi="ar-SA"/>
      </w:rPr>
    </w:lvl>
    <w:lvl w:ilvl="2">
      <w:numFmt w:val="bullet"/>
      <w:lvlText w:val="•"/>
      <w:lvlJc w:val="left"/>
      <w:pPr>
        <w:ind w:left="2314" w:hanging="562"/>
      </w:pPr>
      <w:rPr>
        <w:rFonts w:hint="default"/>
        <w:lang w:val="en-US" w:eastAsia="zh-CN" w:bidi="ar-SA"/>
      </w:rPr>
    </w:lvl>
    <w:lvl w:ilvl="3">
      <w:numFmt w:val="bullet"/>
      <w:lvlText w:val="•"/>
      <w:lvlJc w:val="left"/>
      <w:pPr>
        <w:ind w:left="3141" w:hanging="562"/>
      </w:pPr>
      <w:rPr>
        <w:rFonts w:hint="default"/>
        <w:lang w:val="en-US" w:eastAsia="zh-CN" w:bidi="ar-SA"/>
      </w:rPr>
    </w:lvl>
    <w:lvl w:ilvl="4">
      <w:numFmt w:val="bullet"/>
      <w:lvlText w:val="•"/>
      <w:lvlJc w:val="left"/>
      <w:pPr>
        <w:ind w:left="3968" w:hanging="562"/>
      </w:pPr>
      <w:rPr>
        <w:rFonts w:hint="default"/>
        <w:lang w:val="en-US" w:eastAsia="zh-CN" w:bidi="ar-SA"/>
      </w:rPr>
    </w:lvl>
    <w:lvl w:ilvl="5">
      <w:numFmt w:val="bullet"/>
      <w:lvlText w:val="•"/>
      <w:lvlJc w:val="left"/>
      <w:pPr>
        <w:ind w:left="4795" w:hanging="562"/>
      </w:pPr>
      <w:rPr>
        <w:rFonts w:hint="default"/>
        <w:lang w:val="en-US" w:eastAsia="zh-CN" w:bidi="ar-SA"/>
      </w:rPr>
    </w:lvl>
    <w:lvl w:ilvl="6">
      <w:numFmt w:val="bullet"/>
      <w:lvlText w:val="•"/>
      <w:lvlJc w:val="left"/>
      <w:pPr>
        <w:ind w:left="5622" w:hanging="562"/>
      </w:pPr>
      <w:rPr>
        <w:rFonts w:hint="default"/>
        <w:lang w:val="en-US" w:eastAsia="zh-CN" w:bidi="ar-SA"/>
      </w:rPr>
    </w:lvl>
    <w:lvl w:ilvl="7">
      <w:numFmt w:val="bullet"/>
      <w:lvlText w:val="•"/>
      <w:lvlJc w:val="left"/>
      <w:pPr>
        <w:ind w:left="6449" w:hanging="562"/>
      </w:pPr>
      <w:rPr>
        <w:rFonts w:hint="default"/>
        <w:lang w:val="en-US" w:eastAsia="zh-CN" w:bidi="ar-SA"/>
      </w:rPr>
    </w:lvl>
    <w:lvl w:ilvl="8">
      <w:numFmt w:val="bullet"/>
      <w:lvlText w:val="•"/>
      <w:lvlJc w:val="left"/>
      <w:pPr>
        <w:ind w:left="7277" w:hanging="562"/>
      </w:pPr>
      <w:rPr>
        <w:rFonts w:hint="default"/>
        <w:lang w:val="en-US" w:eastAsia="zh-CN" w:bidi="ar-SA"/>
      </w:rPr>
    </w:lvl>
  </w:abstractNum>
  <w:num w:numId="1" w16cid:durableId="2007319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bordersDoNotSurroundHeader/>
  <w:bordersDoNotSurroundFooter/>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3E15D2"/>
    <w:rsid w:val="003E15D2"/>
    <w:rsid w:val="004A2F86"/>
    <w:rsid w:val="00D11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43B89B"/>
  <w15:docId w15:val="{67681664-0FAA-4182-8E36-4A763BE9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spacing w:before="25"/>
      <w:ind w:left="217" w:right="35"/>
      <w:jc w:val="center"/>
      <w:outlineLvl w:val="0"/>
    </w:pPr>
    <w:rPr>
      <w:b/>
      <w:bCs/>
      <w:sz w:val="30"/>
      <w:szCs w:val="30"/>
    </w:rPr>
  </w:style>
  <w:style w:type="paragraph" w:styleId="2">
    <w:name w:val="heading 2"/>
    <w:basedOn w:val="a"/>
    <w:uiPriority w:val="9"/>
    <w:unhideWhenUsed/>
    <w:qFormat/>
    <w:pPr>
      <w:spacing w:before="126"/>
      <w:ind w:left="659" w:hanging="559"/>
      <w:outlineLvl w:val="1"/>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left="3991" w:right="4417"/>
      <w:jc w:val="both"/>
    </w:pPr>
    <w:rPr>
      <w:b/>
      <w:bCs/>
      <w:sz w:val="52"/>
      <w:szCs w:val="52"/>
    </w:rPr>
  </w:style>
  <w:style w:type="paragraph" w:styleId="a5">
    <w:name w:val="List Paragraph"/>
    <w:basedOn w:val="a"/>
    <w:uiPriority w:val="1"/>
    <w:qFormat/>
    <w:pPr>
      <w:spacing w:before="126"/>
      <w:ind w:left="659" w:hanging="559"/>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826</Words>
  <Characters>901</Characters>
  <Application>Microsoft Office Word</Application>
  <DocSecurity>0</DocSecurity>
  <Lines>56</Lines>
  <Paragraphs>24</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安亿 路</cp:lastModifiedBy>
  <cp:revision>2</cp:revision>
  <dcterms:created xsi:type="dcterms:W3CDTF">2026-03-01T14:08:00Z</dcterms:created>
  <dcterms:modified xsi:type="dcterms:W3CDTF">2026-03-01T14:09:00Z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LastSaved">
    <vt:filetime>2026-03-01T00:00:00Z</vt:filetime>
  </property>
  <property fmtid="{D5CDD505-2E9C-101B-9397-08002B2CF9AE}" pid="4" name="Producer">
    <vt:lpwstr>iTextSharp™ 5.5.13.4 ©2000-2024 iText Group NV (AGPL-version)</vt:lpwstr>
  </property>
</Properties>
</file>