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</w:rPr>
      </w:pPr>
      <w:r>
        <w:rPr>
          <w:rFonts w:ascii="微软雅黑" w:hAnsi="微软雅黑"/>
          <w:b/>
          <w:color w:val="000000"/>
          <w:sz w:val="44"/>
        </w:rPr>
        <w:t xml:space="preserve">PathMind AI </w:t>
      </w:r>
      <w:r>
        <w:rPr>
          <w:rFonts w:ascii="微软雅黑" w:hAnsi="微软雅黑"/>
          <w:b/>
          <w:color w:val="000000"/>
          <w:sz w:val="44"/>
        </w:rPr>
        <w:t>创业计划书（框架模板）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i/>
          <w:color w:val="000000"/>
          <w:sz w:val="24"/>
        </w:rPr>
        <w:t>（参考“脑机接口技术报告”结构搭建，仅含框架）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项目名称：</w:t>
      </w:r>
      <w:r>
        <w:rPr>
          <w:rFonts w:ascii="微软雅黑" w:hAnsi="微软雅黑"/>
          <w:color w:val="000000"/>
          <w:sz w:val="24"/>
        </w:rPr>
        <w:t>PathMind AI——</w:t>
      </w:r>
      <w:r>
        <w:rPr>
          <w:rFonts w:ascii="微软雅黑" w:hAnsi="微软雅黑"/>
          <w:color w:val="000000"/>
          <w:sz w:val="24"/>
        </w:rPr>
        <w:t>基于能力图谱的教育垂直智能模型系统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参赛组别：</w:t>
      </w:r>
      <w:r>
        <w:rPr>
          <w:rFonts w:ascii="仿宋_GB2312" w:hAnsi="仿宋_GB2312" w:cs="仿宋_GB2312" w:hint="eastAsia" w:eastAsia="仿宋_GB2312"/>
          <w:color w:val="000000"/>
          <w:sz w:val="24"/>
          <w:szCs w:val="24"/>
        </w:rPr>
        <w:t>科技创新和未来产业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参赛单位</w:t>
      </w:r>
      <w:r>
        <w:rPr>
          <w:rFonts w:ascii="微软雅黑" w:hAnsi="微软雅黑"/>
          <w:color w:val="000000"/>
          <w:sz w:val="24"/>
        </w:rPr>
        <w:t>/</w:t>
      </w:r>
      <w:r>
        <w:rPr>
          <w:rFonts w:ascii="微软雅黑" w:hAnsi="微软雅黑"/>
          <w:color w:val="000000"/>
          <w:sz w:val="24"/>
        </w:rPr>
        <w:t>学院：人工智能与大数据学院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团队名称：那么只能</w:t>
      </w:r>
      <w:r>
        <w:rPr>
          <w:rFonts w:ascii="微软雅黑" w:hAnsi="微软雅黑"/>
          <w:color w:val="000000"/>
          <w:sz w:val="24"/>
        </w:rPr>
        <w:t>vibe coding</w:t>
      </w:r>
      <w:r>
        <w:rPr>
          <w:rFonts w:ascii="微软雅黑" w:hAnsi="微软雅黑"/>
          <w:color w:val="000000"/>
          <w:sz w:val="24"/>
        </w:rPr>
        <w:t>呢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项目负责人：范延哲    联系方式：</w:t>
      </w:r>
      <w:r>
        <w:rPr>
          <w:rFonts w:ascii="微软雅黑" w:hAnsi="微软雅黑"/>
          <w:color w:val="000000"/>
          <w:sz w:val="24"/>
        </w:rPr>
        <w:t>15071203491</w:t>
      </w:r>
    </w:p>
    <w:p>
      <w:pPr>
        <w:pStyle w:val="Normal"/>
        <w:rPr>
          <w:color w:val="000000"/>
        </w:rPr>
      </w:pPr>
      <w:r>
        <w:rPr>
          <w:rFonts w:ascii="微软雅黑" w:hAnsi="微软雅黑"/>
          <w:b/>
          <w:color w:val="000000"/>
          <w:sz w:val="24"/>
        </w:rPr>
        <w:t>团队成员信息（待填写）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姓名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分工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</w:tbl>
    <w:p>
      <w:pPr>
        <w:pStyle w:val="Normal"/>
        <w:rPr>
          <w:color w:val="000000"/>
        </w:rPr>
      </w:pPr>
      <w:r>
        <w:rPr>
          <w:rFonts w:ascii="微软雅黑" w:hAnsi="微软雅黑"/>
          <w:color w:val="000000"/>
          <w:sz w:val="24"/>
        </w:rPr>
        <w:t>日期：【待填写】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摘要</w:t>
      </w:r>
    </w:p>
    <w:p>
      <w:pPr>
        <w:pStyle w:val="Normal"/>
        <w:rPr>
          <w:color w:val="000000"/>
        </w:rPr>
      </w:pPr>
      <w:r>
        <w:rPr>
          <w:color w:val="000000"/>
        </w:rPr>
        <w:t>当前高校人才培养正由“经验驱动”向“数据与智能驱动”转型，但传统培养方式仍高度依赖人工经验判断，难以实现能力结构的精准建模与持续跟踪。同时，现有通用</w:t>
      </w:r>
      <w:r>
        <w:rPr>
          <w:color w:val="000000"/>
        </w:rPr>
        <w:t>AI</w:t>
      </w:r>
      <w:r>
        <w:rPr>
          <w:color w:val="000000"/>
        </w:rPr>
        <w:t>工具多停留在问答层面，缺乏对能力成长路径的系统推理与过程管理能力。在此背景下，亟需构建一套面向教育场景的垂直智能模型系统，实现能力建模、成长路径生成与培养过程追踪的一体化支撑。</w:t>
      </w:r>
    </w:p>
    <w:p>
      <w:pPr>
        <w:pStyle w:val="Normal"/>
        <w:rPr>
          <w:color w:val="000000"/>
        </w:rPr>
      </w:pPr>
      <w:r>
        <w:rPr>
          <w:color w:val="000000"/>
        </w:rPr>
        <w:t>PathMind AI</w:t>
      </w:r>
      <w:r>
        <w:rPr>
          <w:color w:val="000000"/>
        </w:rPr>
        <w:t>是一套基于能力图谱构建的教育垂直智能模型系统。项目围绕岗位能力结构与课程知识体系构建能力建模框架，通过整合学习行为数据、实践任务记录与能力标签信息，建立动态能力画像，实现从能力评估、差距诊断到成长路径生成的闭环决策支持。系统强化专业场景建模与任务级推理能力，能够输出阶段性成长方案与实践任务建议，并支持培养过程的持续追踪与反馈优化。区别于通用问答类</w:t>
      </w:r>
      <w:r>
        <w:rPr>
          <w:color w:val="000000"/>
        </w:rPr>
        <w:t>AI</w:t>
      </w:r>
      <w:r>
        <w:rPr>
          <w:color w:val="000000"/>
        </w:rPr>
        <w:t>工具，</w:t>
      </w:r>
      <w:r>
        <w:rPr>
          <w:color w:val="000000"/>
        </w:rPr>
        <w:t>PathMind AI</w:t>
      </w:r>
      <w:r>
        <w:rPr>
          <w:color w:val="000000"/>
        </w:rPr>
        <w:t>更加注重真实任务生成与路径执行能力，推动人才培养由“经验判断”向“模型驱动”升级。目前项目已完成核心模型框架与实训模块开发，具备在高校教学场景落地应用的条件，并可向多专业方向扩展推广。</w:t>
      </w:r>
    </w:p>
    <w:p>
      <w:pPr>
        <w:pStyle w:val="Heading1"/>
        <w:rPr>
          <w:color w:val="000000"/>
        </w:rPr>
      </w:pPr>
      <w:r>
        <w:rPr>
          <w:color w:val="000000"/>
        </w:rPr>
        <w:t>关键词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</w:t>
      </w:r>
      <w:r>
        <w:rPr>
          <w:color w:val="000000"/>
        </w:rPr>
        <w:t>Agent</w:t>
      </w:r>
      <w:r>
        <w:rPr>
          <w:color w:val="000000"/>
        </w:rPr>
        <w:t>；</w:t>
      </w:r>
      <w:r>
        <w:rPr>
          <w:color w:val="000000"/>
        </w:rPr>
        <w:t>MCP</w:t>
      </w:r>
      <w:r>
        <w:rPr>
          <w:color w:val="000000"/>
        </w:rPr>
        <w:t>；大模型；工具链；知识图谱；】</w:t>
      </w:r>
    </w:p>
    <w:p>
      <w:pPr>
        <w:pStyle w:val="Heading1"/>
        <w:rPr>
          <w:color w:val="000000"/>
        </w:rPr>
      </w:pPr>
      <w:r>
        <w:rPr>
          <w:color w:val="000000"/>
        </w:rPr>
        <w:t>一、引言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1.1 </w:t>
      </w:r>
      <w:r>
        <w:rPr>
          <w:color w:val="000000"/>
        </w:rPr>
        <w:t>项目背景与行业痛点</w:t>
      </w:r>
    </w:p>
    <w:p>
      <w:pPr>
        <w:pStyle w:val="Normal"/>
        <w:rPr>
          <w:color w:val="000000"/>
        </w:rPr>
      </w:pPr>
      <w:r>
        <w:rPr>
          <w:color w:val="000000"/>
        </w:rPr>
        <w:t>中国高等教育已经进入高规模、强竞争、深转型阶段。根据公开信息，</w:t>
      </w:r>
      <w:r>
        <w:rPr>
          <w:color w:val="000000"/>
        </w:rPr>
        <w:t xml:space="preserve">2025 </w:t>
      </w:r>
      <w:r>
        <w:rPr>
          <w:color w:val="000000"/>
        </w:rPr>
        <w:t xml:space="preserve">届全国普通高校毕业生预计达 </w:t>
      </w:r>
      <w:r>
        <w:rPr>
          <w:color w:val="000000"/>
        </w:rPr>
        <w:t xml:space="preserve">1222 </w:t>
      </w:r>
      <w:r>
        <w:rPr>
          <w:color w:val="000000"/>
        </w:rPr>
        <w:t xml:space="preserve">万人（较上年增加 </w:t>
      </w:r>
      <w:r>
        <w:rPr>
          <w:color w:val="000000"/>
        </w:rPr>
        <w:t xml:space="preserve">43 </w:t>
      </w:r>
      <w:r>
        <w:rPr>
          <w:color w:val="000000"/>
        </w:rPr>
        <w:t>万人）；同时，</w:t>
      </w:r>
      <w:r>
        <w:rPr>
          <w:color w:val="000000"/>
        </w:rPr>
        <w:t xml:space="preserve">2024 </w:t>
      </w:r>
      <w:r>
        <w:rPr>
          <w:color w:val="000000"/>
        </w:rPr>
        <w:t xml:space="preserve">年全国普通、职业本专科在校生达到 </w:t>
      </w:r>
      <w:r>
        <w:rPr>
          <w:color w:val="000000"/>
        </w:rPr>
        <w:t xml:space="preserve">3891.26 </w:t>
      </w:r>
      <w:r>
        <w:rPr>
          <w:color w:val="000000"/>
        </w:rPr>
        <w:t xml:space="preserve">万人，各类高等教育在学总规模达 </w:t>
      </w:r>
      <w:r>
        <w:rPr>
          <w:color w:val="000000"/>
        </w:rPr>
        <w:t xml:space="preserve">4846 </w:t>
      </w:r>
      <w:r>
        <w:rPr>
          <w:color w:val="000000"/>
        </w:rPr>
        <w:t>万人。这意味着高校职业发展服务面对的是一个长期高压、持续扩容的服务场景，不再是“毕业季短期应对”，而是覆盖全学段、全过程的系统工程。</w:t>
      </w:r>
    </w:p>
    <w:p>
      <w:pPr>
        <w:pStyle w:val="Normal"/>
        <w:rPr>
          <w:color w:val="000000"/>
        </w:rPr>
      </w:pPr>
      <w:r>
        <w:rPr>
          <w:color w:val="000000"/>
        </w:rPr>
        <w:t>从就业环境看，</w:t>
      </w:r>
      <w:r>
        <w:rPr>
          <w:color w:val="000000"/>
        </w:rPr>
        <w:t xml:space="preserve">2025 </w:t>
      </w:r>
      <w:r>
        <w:rPr>
          <w:color w:val="000000"/>
        </w:rPr>
        <w:t xml:space="preserve">年全国城镇调查失业率平均值为 </w:t>
      </w:r>
      <w:r>
        <w:rPr>
          <w:color w:val="000000"/>
        </w:rPr>
        <w:t>5.2%</w:t>
      </w:r>
      <w:r>
        <w:rPr>
          <w:color w:val="000000"/>
        </w:rPr>
        <w:t>，就业总体稳定，但高校毕业生仍处于结构性竞争最集中的人群。围绕这一现实，</w:t>
      </w:r>
      <w:r>
        <w:rPr>
          <w:color w:val="000000"/>
        </w:rPr>
        <w:t xml:space="preserve">2025 </w:t>
      </w:r>
      <w:r>
        <w:rPr>
          <w:color w:val="000000"/>
        </w:rPr>
        <w:t xml:space="preserve">年 </w:t>
      </w:r>
      <w:r>
        <w:rPr>
          <w:color w:val="000000"/>
        </w:rPr>
        <w:t xml:space="preserve">4 </w:t>
      </w:r>
      <w:r>
        <w:rPr>
          <w:color w:val="000000"/>
        </w:rPr>
        <w:t xml:space="preserve">月发布的《关于加快构建普通高等学校毕业生高质量就业服务体系的意见》明确提出：要在 </w:t>
      </w:r>
      <w:r>
        <w:rPr>
          <w:color w:val="000000"/>
        </w:rPr>
        <w:t xml:space="preserve">3 </w:t>
      </w:r>
      <w:r>
        <w:rPr>
          <w:color w:val="000000"/>
        </w:rPr>
        <w:t xml:space="preserve">至 </w:t>
      </w:r>
      <w:r>
        <w:rPr>
          <w:color w:val="000000"/>
        </w:rPr>
        <w:t xml:space="preserve">5 </w:t>
      </w:r>
      <w:r>
        <w:rPr>
          <w:color w:val="000000"/>
        </w:rPr>
        <w:t>年内基本建立“覆盖全员、功能完备、保障有力”的服务体系，并将生涯教育与就业指导课程标准化、体系化推进。这一政策导向本身也反映出当前高校就业指导仍存在供给能力不足、服务链条不完整、过程跟踪不连续等痛点。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与此同时，教育数字化进入加速期。教育部等九部门于 </w:t>
      </w:r>
      <w:r>
        <w:rPr>
          <w:color w:val="000000"/>
        </w:rPr>
        <w:t xml:space="preserve">2025 </w:t>
      </w:r>
      <w:r>
        <w:rPr>
          <w:color w:val="000000"/>
        </w:rPr>
        <w:t xml:space="preserve">年 </w:t>
      </w:r>
      <w:r>
        <w:rPr>
          <w:color w:val="000000"/>
        </w:rPr>
        <w:t xml:space="preserve">4 </w:t>
      </w:r>
      <w:r>
        <w:rPr>
          <w:color w:val="000000"/>
        </w:rPr>
        <w:t xml:space="preserve">月印发《关于加快推进教育数字化的意见》，明确提出推动人工智能与教育教学深度融合，探索智能学伴、数字导师、人机协同教学等新模式。行业已经从“有没有 </w:t>
      </w:r>
      <w:r>
        <w:rPr>
          <w:color w:val="000000"/>
        </w:rPr>
        <w:t>AI”</w:t>
      </w:r>
      <w:r>
        <w:rPr>
          <w:color w:val="000000"/>
        </w:rPr>
        <w:t>进入“</w:t>
      </w:r>
      <w:r>
        <w:rPr>
          <w:color w:val="000000"/>
        </w:rPr>
        <w:t xml:space="preserve">AI </w:t>
      </w:r>
      <w:r>
        <w:rPr>
          <w:color w:val="000000"/>
        </w:rPr>
        <w:t>能否真正落地复杂任务”的阶段。对高校职业规划场景而言，核心矛盾不在于生成一段建议文本，而在于如何把“职业认知、目标确定、路径规划、学习执行、阶段复盘”形成可执行、可追踪、可优化的闭环。</w:t>
      </w:r>
    </w:p>
    <w:p>
      <w:pPr>
        <w:pStyle w:val="Normal"/>
        <w:rPr>
          <w:color w:val="000000"/>
        </w:rPr>
      </w:pPr>
      <w:r>
        <w:rPr>
          <w:color w:val="000000"/>
        </w:rPr>
        <w:t>综合来看，当前行业痛点可归纳为三点：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1. </w:t>
      </w:r>
      <w:r>
        <w:rPr>
          <w:color w:val="000000"/>
        </w:rPr>
        <w:t>学生规模持续扩大与指导资源有限之间的结构性矛盾。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职业指导从“单次咨询”到“长期陪伴”的能力缺口。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数字化工具从“问答辅助”走向“任务执行平台”的关键跃迁尚未完成。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同时，当前 </w:t>
      </w:r>
      <w:r>
        <w:rPr>
          <w:color w:val="000000"/>
        </w:rPr>
        <w:t xml:space="preserve">AI </w:t>
      </w:r>
      <w:r>
        <w:rPr>
          <w:color w:val="000000"/>
        </w:rPr>
        <w:t xml:space="preserve">正从“单模型生成内容”进入“多智能体执行任务”的新阶段。早期大模型主要解决问答和内容生成，核心价值在模型参数与推理质量；而新一代系统开始强调 </w:t>
      </w:r>
      <w:r>
        <w:rPr>
          <w:color w:val="000000"/>
        </w:rPr>
        <w:t xml:space="preserve">Agent </w:t>
      </w:r>
      <w:r>
        <w:rPr>
          <w:color w:val="000000"/>
        </w:rPr>
        <w:t xml:space="preserve">运行时能力，即模型不仅要“会回答”，还要“会调用工具、会分解任务、会协同执行、会闭环反馈”。这一趋势下，技术栈正从单一模型调用演进为“模型 </w:t>
      </w:r>
      <w:r>
        <w:rPr>
          <w:color w:val="000000"/>
        </w:rPr>
        <w:t xml:space="preserve">+ </w:t>
      </w:r>
      <w:r>
        <w:rPr>
          <w:color w:val="000000"/>
        </w:rPr>
        <w:t xml:space="preserve">工具 </w:t>
      </w:r>
      <w:r>
        <w:rPr>
          <w:color w:val="000000"/>
        </w:rPr>
        <w:t xml:space="preserve">+ </w:t>
      </w:r>
      <w:r>
        <w:rPr>
          <w:color w:val="000000"/>
        </w:rPr>
        <w:t xml:space="preserve">协议 </w:t>
      </w:r>
      <w:r>
        <w:rPr>
          <w:color w:val="000000"/>
        </w:rPr>
        <w:t xml:space="preserve">+ </w:t>
      </w:r>
      <w:r>
        <w:rPr>
          <w:color w:val="000000"/>
        </w:rPr>
        <w:t>生态”的平台化架构：</w:t>
      </w:r>
      <w:r>
        <w:rPr>
          <w:color w:val="000000"/>
        </w:rPr>
        <w:t xml:space="preserve">MCP </w:t>
      </w:r>
      <w:r>
        <w:rPr>
          <w:color w:val="000000"/>
        </w:rPr>
        <w:t xml:space="preserve">负责打通 </w:t>
      </w:r>
      <w:r>
        <w:rPr>
          <w:color w:val="000000"/>
        </w:rPr>
        <w:t xml:space="preserve">Agent </w:t>
      </w:r>
      <w:r>
        <w:rPr>
          <w:color w:val="000000"/>
        </w:rPr>
        <w:t>与外部数据</w:t>
      </w:r>
      <w:r>
        <w:rPr>
          <w:color w:val="000000"/>
        </w:rPr>
        <w:t>/</w:t>
      </w:r>
      <w:r>
        <w:rPr>
          <w:color w:val="000000"/>
        </w:rPr>
        <w:t>工具，</w:t>
      </w:r>
      <w:r>
        <w:rPr>
          <w:color w:val="000000"/>
        </w:rPr>
        <w:t xml:space="preserve">A2A </w:t>
      </w:r>
      <w:r>
        <w:rPr>
          <w:color w:val="000000"/>
        </w:rPr>
        <w:t xml:space="preserve">负责打通 </w:t>
      </w:r>
      <w:r>
        <w:rPr>
          <w:color w:val="000000"/>
        </w:rPr>
        <w:t xml:space="preserve">Agent </w:t>
      </w:r>
      <w:r>
        <w:rPr>
          <w:color w:val="000000"/>
        </w:rPr>
        <w:t xml:space="preserve">与 </w:t>
      </w:r>
      <w:r>
        <w:rPr>
          <w:color w:val="000000"/>
        </w:rPr>
        <w:t xml:space="preserve">Agent </w:t>
      </w:r>
      <w:r>
        <w:rPr>
          <w:color w:val="000000"/>
        </w:rPr>
        <w:t xml:space="preserve">的协作，二者共同推动企业级多智能体系统从实验走向生产。尤其是 </w:t>
      </w:r>
      <w:r>
        <w:rPr>
          <w:color w:val="000000"/>
        </w:rPr>
        <w:t xml:space="preserve">Google </w:t>
      </w:r>
      <w:r>
        <w:rPr>
          <w:color w:val="000000"/>
        </w:rPr>
        <w:t xml:space="preserve">在 </w:t>
      </w:r>
      <w:r>
        <w:rPr>
          <w:color w:val="000000"/>
        </w:rPr>
        <w:t xml:space="preserve">2025 </w:t>
      </w:r>
      <w:r>
        <w:rPr>
          <w:color w:val="000000"/>
        </w:rPr>
        <w:t xml:space="preserve">年 </w:t>
      </w:r>
      <w:r>
        <w:rPr>
          <w:color w:val="000000"/>
        </w:rPr>
        <w:t xml:space="preserve">4 </w:t>
      </w:r>
      <w:r>
        <w:rPr>
          <w:color w:val="000000"/>
        </w:rPr>
        <w:t xml:space="preserve">月发布 </w:t>
      </w:r>
      <w:r>
        <w:rPr>
          <w:color w:val="000000"/>
        </w:rPr>
        <w:t>A2A</w:t>
      </w:r>
      <w:r>
        <w:rPr>
          <w:color w:val="000000"/>
        </w:rPr>
        <w:t xml:space="preserve">，并在 </w:t>
      </w:r>
      <w:r>
        <w:rPr>
          <w:color w:val="000000"/>
        </w:rPr>
        <w:t xml:space="preserve">2025 </w:t>
      </w:r>
      <w:r>
        <w:rPr>
          <w:color w:val="000000"/>
        </w:rPr>
        <w:t xml:space="preserve">年 </w:t>
      </w:r>
      <w:r>
        <w:rPr>
          <w:color w:val="000000"/>
        </w:rPr>
        <w:t xml:space="preserve">6 </w:t>
      </w:r>
      <w:r>
        <w:rPr>
          <w:color w:val="000000"/>
        </w:rPr>
        <w:t xml:space="preserve">月将其捐赠至 </w:t>
      </w:r>
      <w:r>
        <w:rPr>
          <w:color w:val="000000"/>
        </w:rPr>
        <w:t>Linux Foundation</w:t>
      </w:r>
      <w:r>
        <w:rPr>
          <w:color w:val="000000"/>
        </w:rPr>
        <w:t>、</w:t>
      </w:r>
      <w:r>
        <w:rPr>
          <w:color w:val="000000"/>
        </w:rPr>
        <w:t xml:space="preserve">2025 </w:t>
      </w:r>
      <w:r>
        <w:rPr>
          <w:color w:val="000000"/>
        </w:rPr>
        <w:t xml:space="preserve">年 </w:t>
      </w:r>
      <w:r>
        <w:rPr>
          <w:color w:val="000000"/>
        </w:rPr>
        <w:t xml:space="preserve">8 </w:t>
      </w:r>
      <w:r>
        <w:rPr>
          <w:color w:val="000000"/>
        </w:rPr>
        <w:t xml:space="preserve">月推进到 </w:t>
      </w:r>
      <w:r>
        <w:rPr>
          <w:color w:val="000000"/>
        </w:rPr>
        <w:t xml:space="preserve">0.3 </w:t>
      </w:r>
      <w:r>
        <w:rPr>
          <w:color w:val="000000"/>
        </w:rPr>
        <w:t xml:space="preserve">版本（引入 </w:t>
      </w:r>
      <w:r>
        <w:rPr>
          <w:color w:val="000000"/>
        </w:rPr>
        <w:t>gRPC</w:t>
      </w:r>
      <w:r>
        <w:rPr>
          <w:color w:val="000000"/>
        </w:rPr>
        <w:t xml:space="preserve">、增强安全与 </w:t>
      </w:r>
      <w:r>
        <w:rPr>
          <w:color w:val="000000"/>
        </w:rPr>
        <w:t xml:space="preserve">SDK </w:t>
      </w:r>
      <w:r>
        <w:rPr>
          <w:color w:val="000000"/>
        </w:rPr>
        <w:t>能力），标志着行业正在形成面向互操作、可治理、可规模化的开放协议层。未来竞争焦点将不再是“谁的模型更大”，而是“谁能用标准协议组织跨模型、跨工具、跨平台的智能体协作网络”。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这正是 </w:t>
      </w:r>
      <w:r>
        <w:rPr>
          <w:color w:val="000000"/>
        </w:rPr>
        <w:t xml:space="preserve">PathMind AI </w:t>
      </w:r>
      <w:r>
        <w:rPr>
          <w:color w:val="000000"/>
        </w:rPr>
        <w:t>的切入点：以多智能体主动编排与工具链执行能力，补齐高校职业发展服务中“能规划、能执行、能跟踪、能治理”的关键环节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1.2 </w:t>
      </w:r>
      <w:r>
        <w:rPr>
          <w:color w:val="000000"/>
        </w:rPr>
        <w:t>行业政策与市场环境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当前教育与就业场景中的多数 </w:t>
      </w:r>
      <w:r>
        <w:rPr>
          <w:color w:val="000000"/>
        </w:rPr>
        <w:t xml:space="preserve">AI </w:t>
      </w:r>
      <w:r>
        <w:rPr>
          <w:color w:val="000000"/>
        </w:rPr>
        <w:t xml:space="preserve">产品，仍以“问答助手 </w:t>
      </w:r>
      <w:r>
        <w:rPr>
          <w:color w:val="000000"/>
        </w:rPr>
        <w:t xml:space="preserve">+ </w:t>
      </w:r>
      <w:r>
        <w:rPr>
          <w:color w:val="000000"/>
        </w:rPr>
        <w:t xml:space="preserve">单点功能”形态为主，而非完整 </w:t>
      </w:r>
      <w:r>
        <w:rPr>
          <w:color w:val="000000"/>
        </w:rPr>
        <w:t xml:space="preserve">Agent </w:t>
      </w:r>
      <w:r>
        <w:rPr>
          <w:color w:val="000000"/>
        </w:rPr>
        <w:t xml:space="preserve">协同系统。公开行业数据也显示，头部赛道仍是 </w:t>
      </w:r>
      <w:r>
        <w:rPr>
          <w:color w:val="000000"/>
        </w:rPr>
        <w:t xml:space="preserve">AI </w:t>
      </w:r>
      <w:r>
        <w:rPr>
          <w:color w:val="000000"/>
        </w:rPr>
        <w:t xml:space="preserve">搜索与综合助手；教育类产品被明确指出“仍需更好嵌入具体教学流程”。在高校实践中，常见落地形态也是 </w:t>
      </w:r>
      <w:r>
        <w:rPr>
          <w:color w:val="000000"/>
        </w:rPr>
        <w:t xml:space="preserve">AI </w:t>
      </w:r>
      <w:r>
        <w:rPr>
          <w:color w:val="000000"/>
        </w:rPr>
        <w:t>面试模拟、岗位推送、简历优化等模块化能力，尚未形成跨角色、多工具、可闭环的执行式智能体体系。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技术范式上，行业正在从“单一大模型接口”向“协议化 </w:t>
      </w:r>
      <w:r>
        <w:rPr>
          <w:color w:val="000000"/>
        </w:rPr>
        <w:t xml:space="preserve">Agent </w:t>
      </w:r>
      <w:r>
        <w:rPr>
          <w:color w:val="000000"/>
        </w:rPr>
        <w:t>生态”演进：</w:t>
      </w:r>
      <w:r>
        <w:rPr>
          <w:color w:val="000000"/>
        </w:rPr>
        <w:t xml:space="preserve">MCP </w:t>
      </w:r>
      <w:r>
        <w:rPr>
          <w:color w:val="000000"/>
        </w:rPr>
        <w:t>解决“模型到工具</w:t>
      </w:r>
      <w:r>
        <w:rPr>
          <w:color w:val="000000"/>
        </w:rPr>
        <w:t>/</w:t>
      </w:r>
      <w:r>
        <w:rPr>
          <w:color w:val="000000"/>
        </w:rPr>
        <w:t>数据”的标准连接问题，</w:t>
      </w:r>
      <w:r>
        <w:rPr>
          <w:color w:val="000000"/>
        </w:rPr>
        <w:t xml:space="preserve">A2A </w:t>
      </w:r>
      <w:r>
        <w:rPr>
          <w:color w:val="000000"/>
        </w:rPr>
        <w:t>解决“</w:t>
      </w:r>
      <w:r>
        <w:rPr>
          <w:color w:val="000000"/>
        </w:rPr>
        <w:t xml:space="preserve">Agent </w:t>
      </w:r>
      <w:r>
        <w:rPr>
          <w:color w:val="000000"/>
        </w:rPr>
        <w:t xml:space="preserve">到 </w:t>
      </w:r>
      <w:r>
        <w:rPr>
          <w:color w:val="000000"/>
        </w:rPr>
        <w:t>Agent”</w:t>
      </w:r>
      <w:r>
        <w:rPr>
          <w:color w:val="000000"/>
        </w:rPr>
        <w:t>的跨系统协作问题。</w:t>
      </w:r>
      <w:r>
        <w:rPr>
          <w:color w:val="000000"/>
        </w:rPr>
        <w:t xml:space="preserve">A2A </w:t>
      </w:r>
      <w:r>
        <w:rPr>
          <w:color w:val="000000"/>
        </w:rPr>
        <w:t xml:space="preserve">已由 </w:t>
      </w:r>
      <w:r>
        <w:rPr>
          <w:color w:val="000000"/>
        </w:rPr>
        <w:t xml:space="preserve">Google </w:t>
      </w:r>
      <w:r>
        <w:rPr>
          <w:color w:val="000000"/>
        </w:rPr>
        <w:t xml:space="preserve">发起并于 </w:t>
      </w:r>
      <w:r>
        <w:rPr>
          <w:color w:val="000000"/>
        </w:rPr>
        <w:t xml:space="preserve">2025 </w:t>
      </w:r>
      <w:r>
        <w:rPr>
          <w:color w:val="000000"/>
        </w:rPr>
        <w:t xml:space="preserve">年进入 </w:t>
      </w:r>
      <w:r>
        <w:rPr>
          <w:color w:val="000000"/>
        </w:rPr>
        <w:t xml:space="preserve">Linux Foundation </w:t>
      </w:r>
      <w:r>
        <w:rPr>
          <w:color w:val="000000"/>
        </w:rPr>
        <w:t xml:space="preserve">治理，协议版本持续迭代（如 </w:t>
      </w:r>
      <w:r>
        <w:rPr>
          <w:color w:val="000000"/>
        </w:rPr>
        <w:t xml:space="preserve">2025-07-30 </w:t>
      </w:r>
      <w:r>
        <w:rPr>
          <w:color w:val="000000"/>
        </w:rPr>
        <w:t xml:space="preserve">发布 </w:t>
      </w:r>
      <w:r>
        <w:rPr>
          <w:color w:val="000000"/>
        </w:rPr>
        <w:t>v0.3.0</w:t>
      </w:r>
      <w:r>
        <w:rPr>
          <w:color w:val="000000"/>
        </w:rPr>
        <w:t xml:space="preserve">，增强安全与能力发现机制）。这表明未来竞争焦点将是“谁能构建可互操作、可治理、可扩展的 </w:t>
      </w:r>
      <w:r>
        <w:rPr>
          <w:color w:val="000000"/>
        </w:rPr>
        <w:t xml:space="preserve">Agent </w:t>
      </w:r>
      <w:r>
        <w:rPr>
          <w:color w:val="000000"/>
        </w:rPr>
        <w:t>工具链平台”，而不是单轮问答效果。</w:t>
      </w:r>
    </w:p>
    <w:p>
      <w:pPr>
        <w:pStyle w:val="Normal"/>
        <w:rPr>
          <w:color w:val="000000"/>
        </w:rPr>
      </w:pPr>
      <w:r>
        <w:rPr>
          <w:color w:val="000000"/>
        </w:rPr>
        <w:t>基于这一趋势，</w:t>
      </w:r>
      <w:r>
        <w:rPr>
          <w:color w:val="000000"/>
        </w:rPr>
        <w:t xml:space="preserve">PathMind AI </w:t>
      </w:r>
      <w:r>
        <w:rPr>
          <w:color w:val="000000"/>
        </w:rPr>
        <w:t xml:space="preserve">提出的标准 </w:t>
      </w:r>
      <w:r>
        <w:rPr>
          <w:color w:val="000000"/>
        </w:rPr>
        <w:t xml:space="preserve">SDK </w:t>
      </w:r>
      <w:r>
        <w:rPr>
          <w:color w:val="000000"/>
        </w:rPr>
        <w:t xml:space="preserve">与 </w:t>
      </w:r>
      <w:r>
        <w:rPr>
          <w:color w:val="000000"/>
        </w:rPr>
        <w:t xml:space="preserve">Web Agent </w:t>
      </w:r>
      <w:r>
        <w:rPr>
          <w:color w:val="000000"/>
        </w:rPr>
        <w:t>执行范式，属于从“</w:t>
      </w:r>
      <w:r>
        <w:rPr>
          <w:color w:val="000000"/>
        </w:rPr>
        <w:t xml:space="preserve">AI </w:t>
      </w:r>
      <w:r>
        <w:rPr>
          <w:color w:val="000000"/>
        </w:rPr>
        <w:t>功能组件”升级为“智能服务基础设施”的前瞻路线。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1.3 </w:t>
      </w:r>
      <w:r>
        <w:rPr>
          <w:color w:val="000000"/>
        </w:rPr>
        <w:t>项目目标与边界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【待填写：本项目要解决什么、不解决什么、阶段目标】</w:t>
      </w:r>
    </w:p>
    <w:p>
      <w:pPr>
        <w:pStyle w:val="Heading1"/>
        <w:rPr>
          <w:color w:val="000000"/>
        </w:rPr>
      </w:pPr>
      <w:r>
        <w:rPr>
          <w:color w:val="000000"/>
        </w:rPr>
        <w:t>二、项目方案与技术框架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2.1 </w:t>
      </w:r>
      <w:r>
        <w:rPr>
          <w:color w:val="000000"/>
        </w:rPr>
        <w:t>产品定位</w:t>
      </w:r>
    </w:p>
    <w:p>
      <w:pPr>
        <w:pStyle w:val="BodyText"/>
        <w:rPr>
          <w:color w:val="000000"/>
        </w:rPr>
      </w:pPr>
      <w:r>
        <w:rPr>
          <w:rStyle w:val="Strong"/>
          <w:b/>
        </w:rPr>
        <w:t xml:space="preserve">PathMind AI </w:t>
      </w:r>
      <w:r>
        <w:rPr>
          <w:rStyle w:val="Strong"/>
          <w:b/>
        </w:rPr>
        <w:t>是面向高校的“职业发展决策与执行操作系统”</w:t>
      </w:r>
      <w:r>
        <w:rPr/>
        <w:t>，把分散的咨询、规划、学习与跟踪流程，整合为可持续运行的智能服务闭环。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before="180" w:after="90"/>
        <w:ind w:hanging="0" w:start="0" w:end="0"/>
        <w:rPr>
          <w:rFonts w:ascii="Cambria" w:hAnsi="Cambria" w:asciiTheme="minorHAnsi" w:cstheme="minorBidi" w:eastAsiaTheme="minorEastAsia" w:hAnsiTheme="minorHAnsi"/>
          <w:b/>
          <w:color w:val="auto"/>
          <w:sz w:val="20"/>
        </w:rPr>
      </w:pPr>
      <w:r>
        <w:rPr>
          <w:rFonts w:ascii="Cambria" w:hAnsi="Cambria" w:asciiTheme="minorHAnsi" w:cstheme="minorBidi" w:eastAsiaTheme="minorEastAsia" w:hAnsiTheme="minorHAnsi"/>
          <w:b/>
          <w:color w:val="auto"/>
          <w:sz w:val="20"/>
        </w:rPr>
        <w:t>目标用户</w:t>
      </w:r>
    </w:p>
    <w:p>
      <w:pPr>
        <w:pStyle w:val="BodyText"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b/>
        </w:rPr>
        <w:t>高校管理端（学院</w:t>
      </w:r>
      <w:r>
        <w:rPr>
          <w:rStyle w:val="Strong"/>
          <w:b/>
        </w:rPr>
        <w:t>/</w:t>
      </w:r>
      <w:r>
        <w:rPr>
          <w:rStyle w:val="Strong"/>
          <w:b/>
        </w:rPr>
        <w:t>就业中心）</w:t>
      </w:r>
      <w:r>
        <w:rPr/>
        <w:br/>
      </w:r>
      <w:r>
        <w:rPr/>
        <w:t>需要在有限人力下提升服务覆盖率、过程可视化和结果评估能力。</w:t>
      </w:r>
    </w:p>
    <w:p>
      <w:pPr>
        <w:pStyle w:val="BodyText"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b/>
        </w:rPr>
        <w:t>教师与辅导员端</w:t>
      </w:r>
      <w:r>
        <w:rPr/>
        <w:br/>
      </w:r>
      <w:r>
        <w:rPr/>
        <w:t>需要将“经验驱动”的个体辅导升级为“数据驱动”的分层指导，提高批量服务效率。</w:t>
      </w:r>
    </w:p>
    <w:p>
      <w:pPr>
        <w:pStyle w:val="BodyText"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b/>
        </w:rPr>
        <w:t>学生端（本科生</w:t>
      </w:r>
      <w:r>
        <w:rPr>
          <w:rStyle w:val="Strong"/>
          <w:b/>
        </w:rPr>
        <w:t>/</w:t>
      </w:r>
      <w:r>
        <w:rPr>
          <w:rStyle w:val="Strong"/>
          <w:b/>
        </w:rPr>
        <w:t>研究生）</w:t>
      </w:r>
      <w:r>
        <w:rPr/>
        <w:br/>
      </w:r>
      <w:r>
        <w:rPr/>
        <w:t>需要从“信息焦虑”和“选择困难”中走出来，获得可执行、可迭代的职业与学习行动方案。</w:t>
      </w:r>
    </w:p>
    <w:p>
      <w:pPr>
        <w:pStyle w:val="BodyText"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b/>
        </w:rPr>
        <w:t>校企协同场景（可选扩展）</w:t>
      </w:r>
      <w:r>
        <w:rPr/>
        <w:br/>
      </w:r>
      <w:r>
        <w:rPr/>
        <w:t>需要更高质量的人才画像与供需匹配支撑，降低招聘与培养错配成本。</w:t>
      </w:r>
    </w:p>
    <w:p>
      <w:pPr>
        <w:pStyle w:val="Normal"/>
        <w:rPr>
          <w:color w:val="000000"/>
        </w:rPr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2.2 </w:t>
      </w:r>
      <w:r>
        <w:rPr>
          <w:color w:val="000000"/>
        </w:rPr>
        <w:t>核心功能模块</w:t>
      </w:r>
    </w:p>
    <w:p>
      <w:pPr>
        <w:pStyle w:val="Normal"/>
        <w:rPr>
          <w:color w:val="000000"/>
        </w:rPr>
      </w:pPr>
      <w:r>
        <w:rPr/>
        <w:t xml:space="preserve">PathMind AI </w:t>
      </w:r>
      <w:r>
        <w:rPr/>
        <w:t xml:space="preserve">以“测评诊断—决策规划—执行跟踪—反馈优化”构建职业发展闭环：先通过 </w:t>
      </w:r>
      <w:r>
        <w:rPr/>
        <w:t xml:space="preserve">MBTI </w:t>
      </w:r>
      <w:r>
        <w:rPr/>
        <w:t>与学习画像识别学生优势与短板，再由多智能体协同生成职业方向与学习路径，随后在文档、笔记、图谱与任务执行中持续提供可落地支持，最终将过程数据回流到教师与管理端，实现服务效果可视化与策略迭代。平台的价值不在于回答更多问题，而在于把“职业规划”从一次性建议升级为可持续执行的系统能力。</w:t>
      </w:r>
    </w:p>
    <w:p>
      <w:pPr>
        <w:pStyle w:val="Normal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58085"/>
            <wp:effectExtent l="0" t="0" r="0" b="0"/>
            <wp:wrapSquare wrapText="largest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2.3 </w:t>
      </w:r>
      <w:r>
        <w:rPr>
          <w:color w:val="000000"/>
        </w:rPr>
        <w:t>多智能体主动工具编排机制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</w:t>
      </w:r>
      <w:r>
        <w:rPr>
          <w:color w:val="000000"/>
        </w:rPr>
        <w:t xml:space="preserve">Agent </w:t>
      </w:r>
      <w:r>
        <w:rPr>
          <w:color w:val="000000"/>
        </w:rPr>
        <w:t>角色划分、任务委托逻辑、工具调用流程、闭环机制】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2.4 </w:t>
      </w:r>
      <w:r>
        <w:rPr>
          <w:color w:val="000000"/>
        </w:rPr>
        <w:t>系统架构与关键技术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【待填写：前端</w:t>
      </w:r>
      <w:r>
        <w:rPr>
          <w:color w:val="000000"/>
        </w:rPr>
        <w:t>/</w:t>
      </w:r>
      <w:r>
        <w:rPr>
          <w:color w:val="000000"/>
        </w:rPr>
        <w:t>代理</w:t>
      </w:r>
      <w:r>
        <w:rPr>
          <w:color w:val="000000"/>
        </w:rPr>
        <w:t>/AI</w:t>
      </w:r>
      <w:r>
        <w:rPr>
          <w:color w:val="000000"/>
        </w:rPr>
        <w:t>服务三层架构，</w:t>
      </w:r>
      <w:r>
        <w:rPr>
          <w:color w:val="000000"/>
        </w:rPr>
        <w:t xml:space="preserve">MCP </w:t>
      </w:r>
      <w:r>
        <w:rPr>
          <w:color w:val="000000"/>
        </w:rPr>
        <w:t xml:space="preserve">接入方式，本地工具链 </w:t>
      </w:r>
      <w:r>
        <w:rPr>
          <w:color w:val="000000"/>
        </w:rPr>
        <w:t xml:space="preserve">Web </w:t>
      </w:r>
      <w:r>
        <w:rPr>
          <w:color w:val="000000"/>
        </w:rPr>
        <w:t>化方案】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2.5 </w:t>
      </w:r>
      <w:r>
        <w:rPr>
          <w:color w:val="000000"/>
        </w:rPr>
        <w:t>安全与治理机制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【待填写：工具沙箱、审批机制、审计日志、权限模型】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2.6 </w:t>
      </w:r>
      <w:r>
        <w:rPr>
          <w:color w:val="000000"/>
        </w:rPr>
        <w:t>差异化优势与技术壁垒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【待填写：与问答型 </w:t>
      </w:r>
      <w:r>
        <w:rPr>
          <w:color w:val="000000"/>
        </w:rPr>
        <w:t>AI</w:t>
      </w:r>
      <w:r>
        <w:rPr>
          <w:color w:val="000000"/>
        </w:rPr>
        <w:t>、传统职业测评产品、通用大模型产品的对比】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竞品对比表（待填写）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1728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本项目</w:t>
            </w:r>
          </w:p>
        </w:tc>
        <w:tc>
          <w:tcPr>
            <w:tcW w:w="1728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竞品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竞品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  <w:tc>
          <w:tcPr>
            <w:tcW w:w="1728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竞品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核心能力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技术架构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商业模式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优势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不足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三、商业模式与市场路径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3.1 </w:t>
      </w:r>
      <w:r>
        <w:rPr>
          <w:color w:val="000000"/>
        </w:rPr>
        <w:t>目标市场与用户分层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【待填写：高校端、教师端、学生端用户画像与需求优先级】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3.2 </w:t>
      </w:r>
      <w:r>
        <w:rPr>
          <w:color w:val="000000"/>
        </w:rPr>
        <w:t>商业模式设计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</w:t>
      </w:r>
      <w:r>
        <w:rPr>
          <w:color w:val="000000"/>
        </w:rPr>
        <w:t>B2B2C</w:t>
      </w:r>
      <w:r>
        <w:rPr>
          <w:color w:val="000000"/>
        </w:rPr>
        <w:t>、</w:t>
      </w:r>
      <w:r>
        <w:rPr>
          <w:color w:val="000000"/>
        </w:rPr>
        <w:t>SaaS</w:t>
      </w:r>
      <w:r>
        <w:rPr>
          <w:color w:val="000000"/>
        </w:rPr>
        <w:t>、收费方式、交付方式】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3.3 </w:t>
      </w:r>
      <w:r>
        <w:rPr>
          <w:color w:val="000000"/>
        </w:rPr>
        <w:t>市场进入与渠道策略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【待填写：试点策略、合作院校拓展路径、服务落地机制】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3.4 </w:t>
      </w:r>
      <w:r>
        <w:rPr>
          <w:color w:val="000000"/>
        </w:rPr>
        <w:t>收入结构与成本结构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【待填写：收入项、成本项、测算口径（仅填已验证数据）】</w:t>
      </w:r>
    </w:p>
    <w:p>
      <w:pPr>
        <w:pStyle w:val="Heading1"/>
        <w:rPr>
          <w:color w:val="000000"/>
        </w:rPr>
      </w:pPr>
      <w:r>
        <w:rPr>
          <w:color w:val="000000"/>
        </w:rPr>
        <w:t>四、实施计划与里程碑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4.1 </w:t>
      </w:r>
      <w:r>
        <w:rPr>
          <w:color w:val="000000"/>
        </w:rPr>
        <w:t>阶段目标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【待填写：阶段一</w:t>
      </w:r>
      <w:r>
        <w:rPr>
          <w:color w:val="000000"/>
        </w:rPr>
        <w:t>/</w:t>
      </w:r>
      <w:r>
        <w:rPr>
          <w:color w:val="000000"/>
        </w:rPr>
        <w:t>阶段二</w:t>
      </w:r>
      <w:r>
        <w:rPr>
          <w:color w:val="000000"/>
        </w:rPr>
        <w:t>/</w:t>
      </w:r>
      <w:r>
        <w:rPr>
          <w:color w:val="000000"/>
        </w:rPr>
        <w:t>阶段三目标】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4.2 </w:t>
      </w:r>
      <w:r>
        <w:rPr>
          <w:color w:val="000000"/>
        </w:rPr>
        <w:t>关键里程碑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时间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里程碑目标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验收指标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阶段一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阶段二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阶段三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阶段四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</w:tbl>
    <w:p>
      <w:pPr>
        <w:pStyle w:val="Heading2"/>
        <w:rPr>
          <w:color w:val="000000"/>
        </w:rPr>
      </w:pPr>
      <w:r>
        <w:rPr>
          <w:color w:val="000000"/>
        </w:rPr>
        <w:t xml:space="preserve">4.3 </w:t>
      </w:r>
      <w:r>
        <w:rPr>
          <w:color w:val="000000"/>
        </w:rPr>
        <w:t>团队组织与分工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【待填写：组织架构、核心岗位、职责边界、外部协作资源】</w:t>
      </w:r>
    </w:p>
    <w:p>
      <w:pPr>
        <w:pStyle w:val="Heading1"/>
        <w:rPr>
          <w:color w:val="000000"/>
        </w:rPr>
      </w:pPr>
      <w:r>
        <w:rPr>
          <w:color w:val="000000"/>
        </w:rPr>
        <w:t>五、风险识别与应对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5.1 </w:t>
      </w:r>
      <w:r>
        <w:rPr>
          <w:color w:val="000000"/>
        </w:rPr>
        <w:t>技术风险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【待填写：风险描述 </w:t>
      </w:r>
      <w:r>
        <w:rPr>
          <w:color w:val="000000"/>
        </w:rPr>
        <w:t xml:space="preserve">+ </w:t>
      </w:r>
      <w:r>
        <w:rPr>
          <w:color w:val="000000"/>
        </w:rPr>
        <w:t xml:space="preserve">触发条件 </w:t>
      </w:r>
      <w:r>
        <w:rPr>
          <w:color w:val="000000"/>
        </w:rPr>
        <w:t xml:space="preserve">+ </w:t>
      </w:r>
      <w:r>
        <w:rPr>
          <w:color w:val="000000"/>
        </w:rPr>
        <w:t xml:space="preserve">预防措施 </w:t>
      </w:r>
      <w:r>
        <w:rPr>
          <w:color w:val="000000"/>
        </w:rPr>
        <w:t xml:space="preserve">+ </w:t>
      </w:r>
      <w:r>
        <w:rPr>
          <w:color w:val="000000"/>
        </w:rPr>
        <w:t>兜底方案】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5.2 </w:t>
      </w:r>
      <w:r>
        <w:rPr>
          <w:color w:val="000000"/>
        </w:rPr>
        <w:t>市场风险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【待填写：风险描述 </w:t>
      </w:r>
      <w:r>
        <w:rPr>
          <w:color w:val="000000"/>
        </w:rPr>
        <w:t xml:space="preserve">+ </w:t>
      </w:r>
      <w:r>
        <w:rPr>
          <w:color w:val="000000"/>
        </w:rPr>
        <w:t xml:space="preserve">触发条件 </w:t>
      </w:r>
      <w:r>
        <w:rPr>
          <w:color w:val="000000"/>
        </w:rPr>
        <w:t xml:space="preserve">+ </w:t>
      </w:r>
      <w:r>
        <w:rPr>
          <w:color w:val="000000"/>
        </w:rPr>
        <w:t xml:space="preserve">预防措施 </w:t>
      </w:r>
      <w:r>
        <w:rPr>
          <w:color w:val="000000"/>
        </w:rPr>
        <w:t xml:space="preserve">+ </w:t>
      </w:r>
      <w:r>
        <w:rPr>
          <w:color w:val="000000"/>
        </w:rPr>
        <w:t>兜底方案】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5.3 </w:t>
      </w:r>
      <w:r>
        <w:rPr>
          <w:color w:val="000000"/>
        </w:rPr>
        <w:t>合规与数据安全风险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【待填写：风险描述 </w:t>
      </w:r>
      <w:r>
        <w:rPr>
          <w:color w:val="000000"/>
        </w:rPr>
        <w:t xml:space="preserve">+ </w:t>
      </w:r>
      <w:r>
        <w:rPr>
          <w:color w:val="000000"/>
        </w:rPr>
        <w:t xml:space="preserve">触发条件 </w:t>
      </w:r>
      <w:r>
        <w:rPr>
          <w:color w:val="000000"/>
        </w:rPr>
        <w:t xml:space="preserve">+ </w:t>
      </w:r>
      <w:r>
        <w:rPr>
          <w:color w:val="000000"/>
        </w:rPr>
        <w:t xml:space="preserve">预防措施 </w:t>
      </w:r>
      <w:r>
        <w:rPr>
          <w:color w:val="000000"/>
        </w:rPr>
        <w:t xml:space="preserve">+ </w:t>
      </w:r>
      <w:r>
        <w:rPr>
          <w:color w:val="000000"/>
        </w:rPr>
        <w:t>兜底方案】</w:t>
      </w:r>
    </w:p>
    <w:p>
      <w:pPr>
        <w:pStyle w:val="Heading1"/>
        <w:rPr>
          <w:color w:val="000000"/>
        </w:rPr>
      </w:pPr>
      <w:r>
        <w:rPr>
          <w:color w:val="000000"/>
        </w:rPr>
        <w:t>六、社会价值与预期成效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6.1 </w:t>
      </w:r>
      <w:r>
        <w:rPr>
          <w:color w:val="000000"/>
        </w:rPr>
        <w:t>社会价值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【待填写：教育公平价值、学生成长价值、高校管理价值】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6.2 </w:t>
      </w:r>
      <w:r>
        <w:rPr>
          <w:color w:val="000000"/>
        </w:rPr>
        <w:t>预期成效与评估指标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【待填写：评估维度、指标定义、数据采集方式、评估周期】</w:t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附录 </w:t>
      </w:r>
      <w:r>
        <w:rPr>
          <w:color w:val="000000"/>
        </w:rPr>
        <w:t>A</w:t>
      </w:r>
      <w:r>
        <w:rPr>
          <w:color w:val="000000"/>
        </w:rPr>
        <w:t>：数据与政策来源清单（模板）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来源名称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链接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2160" w:type="dxa"/>
            <w:tcBorders/>
            <w:shd w:color="auto" w:fill="2F559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使用位置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【待填写】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 xml:space="preserve">附录 </w:t>
      </w:r>
      <w:r>
        <w:rPr>
          <w:color w:val="000000"/>
        </w:rPr>
        <w:t>B</w:t>
      </w:r>
      <w:r>
        <w:rPr>
          <w:color w:val="000000"/>
        </w:rPr>
        <w:t>：术语与缩略语（模板）</w:t>
      </w:r>
    </w:p>
    <w:p>
      <w:pPr>
        <w:pStyle w:val="Normal"/>
        <w:rPr>
          <w:color w:val="000000"/>
        </w:rPr>
      </w:pPr>
      <w:r>
        <w:rPr>
          <w:color w:val="000000"/>
        </w:rPr>
        <w:t>【待填写：术语、定义、缩写解释】</w:t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附录 </w:t>
      </w:r>
      <w:r>
        <w:rPr>
          <w:color w:val="000000"/>
        </w:rPr>
        <w:t>C</w:t>
      </w:r>
      <w:r>
        <w:rPr>
          <w:color w:val="000000"/>
        </w:rPr>
        <w:t>：附件目录（模板）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1. </w:t>
      </w:r>
      <w:r>
        <w:rPr>
          <w:color w:val="000000"/>
        </w:rPr>
        <w:t>【待填写：产品原型图</w:t>
      </w:r>
      <w:r>
        <w:rPr>
          <w:color w:val="000000"/>
        </w:rPr>
        <w:t>/</w:t>
      </w:r>
      <w:r>
        <w:rPr>
          <w:color w:val="000000"/>
        </w:rPr>
        <w:t>系统架构图】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【待填写：调研问卷与访谈纪要】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【待填写：试点数据与成效材料】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【待填写：团队资质与获奖证明】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01" w:characterSet="utf-8"/>
    <w:family w:val="roman"/>
    <w:pitch w:val="variable"/>
  </w:font>
  <w:font w:name="仿宋_GB2312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编号符号 (user)"/>
    <w:qFormat/>
    <w:rPr/>
  </w:style>
  <w:style w:type="character" w:styleId="Style5">
    <w:name w:val="编号符号"/>
    <w:qFormat/>
    <w:rPr/>
  </w:style>
  <w:style w:type="paragraph" w:styleId="Style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索引"/>
    <w:basedOn w:val="Normal"/>
    <w:qFormat/>
    <w:pPr>
      <w:suppressLineNumbers/>
    </w:pPr>
    <w:rPr>
      <w:rFonts w:cs="Noto Sans Devanagari"/>
    </w:rPr>
  </w:style>
  <w:style w:type="paragraph" w:styleId="user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Noto Sans Devanagari"/>
    </w:rPr>
  </w:style>
  <w:style w:type="paragraph" w:styleId="user3">
    <w:name w:val="页眉与页脚 (user)"/>
    <w:basedOn w:val="Normal"/>
    <w:qFormat/>
    <w:pPr/>
    <w:rPr/>
  </w:style>
  <w:style w:type="paragraph" w:styleId="Style8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4" w:default="1">
    <w:name w:val="无列表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LibreOffice/25.8.4.2$Linux_X86_64 LibreOffice_project/580$Build-2</Application>
  <AppVersion>15.0000</AppVersion>
  <Pages>7</Pages>
  <Words>3626</Words>
  <Characters>3963</Characters>
  <CharactersWithSpaces>4142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PathMind Team</dc:creator>
  <dc:description>generated by python-docx</dc:description>
  <dc:language>zh-CN</dc:language>
  <cp:lastModifiedBy/>
  <dcterms:modified xsi:type="dcterms:W3CDTF">2026-03-02T10:23:47Z</dcterms:modified>
  <cp:revision>8</cp:revision>
  <dc:subject/>
  <dc:title>PathMind AI 创业计划书（框架）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