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0F172A"/>
          <w:sz w:val="44"/>
          <w:szCs w:val="44"/>
        </w:rPr>
        <w:t xml:space="preserve">SHIJO.AI</w:t>
      </w:r>
    </w:p>
    <w:p>
      <w:pPr>
        <w:spacing w:after="50"/>
      </w:pPr>
      <w:r>
        <w:rPr>
          <w:color w:val="6B7280"/>
          <w:sz w:val="28"/>
          <w:szCs w:val="28"/>
        </w:rPr>
        <w:t xml:space="preserve">Feature, Pricing &amp; Conversion Review</w:t>
      </w:r>
    </w:p>
    <w:p>
      <w:pPr>
        <w:spacing w:after="400"/>
      </w:pPr>
      <w:r>
        <w:rPr>
          <w:i/>
          <w:iCs/>
          <w:color w:val="6B7280"/>
          <w:sz w:val="20"/>
          <w:szCs w:val="20"/>
        </w:rPr>
        <w:t xml:space="preserve">Prepared for review — July 19, 2026</w:t>
      </w:r>
    </w:p>
    <w:p>
      <w:pPr>
        <w:spacing w:after="150"/>
      </w:pPr>
      <w:r>
        <w:t xml:space="preserve">This document lays out what is actually built and live on shijo.ai today: the 12 AI tools, the pricing tiers that gate them, and every upgrade CTA currently on the site. It also proposes new upgrade copy for review, and flags a few decisions that are still open. Everything below reflects the current state of the codebase and live site as of this week's testing pass, not the original product plan — where the two differ, this document describes what is actually running in production.</w:t>
      </w:r>
    </w:p>
    <w:p>
      <w:pPr>
        <w:pStyle w:val="Heading1"/>
        <w:spacing w:after="200" w:before="400"/>
      </w:pPr>
      <w:r>
        <w:t xml:space="preserve">1. What SHIJO.AI does</w:t>
      </w:r>
    </w:p>
    <w:p>
      <w:pPr>
        <w:spacing w:after="150"/>
      </w:pPr>
      <w:r>
        <w:t xml:space="preserve">SHIJO.AI is a suite of 12 AI-powered marketing tools, organized into 4 categories — Social Media, SEO, Ads &amp; Copy, and Email. Each tool is a focused, single-purpose generator (e.g. write ad headlines, write an SEO meta description) rather than a general-purpose chat assistant. A registered user picks a tool, fills in a short form, and gets back ready-to-use marketing copy in seconds.</w:t>
      </w:r>
    </w:p>
    <w:p>
      <w:pPr>
        <w:pStyle w:val="Heading2"/>
        <w:spacing w:after="150" w:before="300"/>
      </w:pPr>
      <w:r>
        <w:t xml:space="preserve">The 12 tools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900"/>
        <w:gridCol w:w="1000"/>
        <w:gridCol w:w="4400"/>
      </w:tblGrid>
      <w:tr>
        <w:trPr>
          <w:tblHeader/>
        </w:trPr>
        <w:tc>
          <w:tcPr>
            <w:tcW w:type="dxa" w:w="2400"/>
            <w:shd w:fill="0F172A" w:val="clear"/>
          </w:tcPr>
          <w:p>
            <w:pPr>
              <w:jc w:val="left"/>
            </w:pPr>
            <w:r>
              <w:rPr>
                <w:b/>
                <w:bCs/>
                <w:color w:val="FFFFFF"/>
                <w:sz w:val="18"/>
                <w:szCs w:val="18"/>
              </w:rPr>
              <w:t xml:space="preserve">Tool</w:t>
            </w:r>
          </w:p>
        </w:tc>
        <w:tc>
          <w:tcPr>
            <w:tcW w:type="dxa" w:w="1000"/>
            <w:shd w:fill="0F172A" w:val="clear"/>
          </w:tcPr>
          <w:p>
            <w:pPr>
              <w:jc w:val="left"/>
            </w:pPr>
            <w:r>
              <w:rPr>
                <w:b/>
                <w:bCs/>
                <w:color w:val="FFFFFF"/>
                <w:sz w:val="18"/>
                <w:szCs w:val="18"/>
              </w:rPr>
              <w:t xml:space="preserve">Category</w:t>
            </w:r>
          </w:p>
        </w:tc>
        <w:tc>
          <w:tcPr>
            <w:tcW w:type="dxa" w:w="900"/>
            <w:shd w:fill="0F172A" w:val="clear"/>
          </w:tcPr>
          <w:p>
            <w:pPr>
              <w:jc w:val="left"/>
            </w:pPr>
            <w:r>
              <w:rPr>
                <w:b/>
                <w:bCs/>
                <w:color w:val="FFFFFF"/>
                <w:sz w:val="18"/>
                <w:szCs w:val="18"/>
              </w:rPr>
              <w:t xml:space="preserve">Plan</w:t>
            </w:r>
          </w:p>
        </w:tc>
        <w:tc>
          <w:tcPr>
            <w:tcW w:type="dxa" w:w="1000"/>
            <w:shd w:fill="0F172A" w:val="clear"/>
          </w:tcPr>
          <w:p>
            <w:pPr>
              <w:jc w:val="left"/>
            </w:pPr>
            <w:r>
              <w:rPr>
                <w:b/>
                <w:bCs/>
                <w:color w:val="FFFFFF"/>
                <w:sz w:val="18"/>
                <w:szCs w:val="18"/>
              </w:rPr>
              <w:t xml:space="preserve">AI Model</w:t>
            </w:r>
          </w:p>
        </w:tc>
        <w:tc>
          <w:tcPr>
            <w:tcW w:type="dxa" w:w="4400"/>
            <w:shd w:fill="0F172A" w:val="clear"/>
          </w:tcPr>
          <w:p>
            <w:pPr>
              <w:jc w:val="left"/>
            </w:pPr>
            <w:r>
              <w:rPr>
                <w:b/>
                <w:bCs/>
                <w:color w:val="FFFFFF"/>
                <w:sz w:val="18"/>
                <w:szCs w:val="18"/>
              </w:rPr>
              <w:t xml:space="preserve">What it does</w:t>
            </w:r>
          </w:p>
        </w:tc>
      </w:tr>
      <w:tr>
        <w:tc>
          <w:tcPr>
            <w:tcW w:type="dxa" w:w="2400"/>
          </w:tcPr>
          <w:p>
            <w:pPr>
              <w:jc w:val="left"/>
            </w:pPr>
            <w:r>
              <w:rPr>
                <w:b/>
                <w:bCs/>
                <w:sz w:val="18"/>
                <w:szCs w:val="18"/>
              </w:rPr>
              <w:t xml:space="preserve">Post Caption Generator</w:t>
            </w:r>
          </w:p>
        </w:tc>
        <w:tc>
          <w:tcPr>
            <w:tcW w:type="dxa" w:w="1000"/>
          </w:tcPr>
          <w:p>
            <w:pPr>
              <w:jc w:val="left"/>
            </w:pPr>
            <w:r>
              <w:rPr>
                <w:b w:val="false"/>
                <w:bCs w:val="false"/>
                <w:sz w:val="18"/>
                <w:szCs w:val="18"/>
              </w:rPr>
              <w:t xml:space="preserve">Social</w:t>
            </w:r>
          </w:p>
        </w:tc>
        <w:tc>
          <w:tcPr>
            <w:tcW w:type="dxa" w:w="900"/>
          </w:tcPr>
          <w:p>
            <w:pPr>
              <w:jc w:val="left"/>
            </w:pPr>
            <w:r>
              <w:rPr>
                <w:b/>
                <w:bCs/>
                <w:color w:val="16A34A"/>
                <w:sz w:val="18"/>
                <w:szCs w:val="18"/>
              </w:rPr>
              <w:t xml:space="preserve">Free</w:t>
            </w:r>
          </w:p>
        </w:tc>
        <w:tc>
          <w:tcPr>
            <w:tcW w:type="dxa" w:w="1000"/>
          </w:tcPr>
          <w:p>
            <w:pPr>
              <w:jc w:val="left"/>
            </w:pPr>
            <w:r>
              <w:rPr>
                <w:b w:val="false"/>
                <w:bCs w:val="false"/>
                <w:sz w:val="18"/>
                <w:szCs w:val="18"/>
              </w:rPr>
              <w:t xml:space="preserve">Sonnet</w:t>
            </w:r>
          </w:p>
        </w:tc>
        <w:tc>
          <w:tcPr>
            <w:tcW w:type="dxa" w:w="4400"/>
          </w:tcPr>
          <w:p>
            <w:pPr>
              <w:jc w:val="left"/>
            </w:pPr>
            <w:r>
              <w:rPr>
                <w:b w:val="false"/>
                <w:bCs w:val="false"/>
                <w:sz w:val="18"/>
                <w:szCs w:val="18"/>
              </w:rPr>
              <w:t xml:space="preserve">Scroll-stopping captions with hooks, CTAs, hashtags for any platform.</w:t>
            </w:r>
          </w:p>
        </w:tc>
      </w:tr>
      <w:tr>
        <w:tc>
          <w:tcPr>
            <w:tcW w:type="dxa" w:w="2400"/>
          </w:tcPr>
          <w:p>
            <w:pPr>
              <w:jc w:val="left"/>
            </w:pPr>
            <w:r>
              <w:rPr>
                <w:b/>
                <w:bCs/>
                <w:sz w:val="18"/>
                <w:szCs w:val="18"/>
              </w:rPr>
              <w:t xml:space="preserve">SEO Meta Generator</w:t>
            </w:r>
          </w:p>
        </w:tc>
        <w:tc>
          <w:tcPr>
            <w:tcW w:type="dxa" w:w="1000"/>
          </w:tcPr>
          <w:p>
            <w:pPr>
              <w:jc w:val="left"/>
            </w:pPr>
            <w:r>
              <w:rPr>
                <w:b w:val="false"/>
                <w:bCs w:val="false"/>
                <w:sz w:val="18"/>
                <w:szCs w:val="18"/>
              </w:rPr>
              <w:t xml:space="preserve">SEO</w:t>
            </w:r>
          </w:p>
        </w:tc>
        <w:tc>
          <w:tcPr>
            <w:tcW w:type="dxa" w:w="900"/>
          </w:tcPr>
          <w:p>
            <w:pPr>
              <w:jc w:val="left"/>
            </w:pPr>
            <w:r>
              <w:rPr>
                <w:b/>
                <w:bCs/>
                <w:color w:val="16A34A"/>
                <w:sz w:val="18"/>
                <w:szCs w:val="18"/>
              </w:rPr>
              <w:t xml:space="preserve">Free</w:t>
            </w:r>
          </w:p>
        </w:tc>
        <w:tc>
          <w:tcPr>
            <w:tcW w:type="dxa" w:w="1000"/>
          </w:tcPr>
          <w:p>
            <w:pPr>
              <w:jc w:val="left"/>
            </w:pPr>
            <w:r>
              <w:rPr>
                <w:b w:val="false"/>
                <w:bCs w:val="false"/>
                <w:sz w:val="18"/>
                <w:szCs w:val="18"/>
              </w:rPr>
              <w:t xml:space="preserve">Haiku</w:t>
            </w:r>
          </w:p>
        </w:tc>
        <w:tc>
          <w:tcPr>
            <w:tcW w:type="dxa" w:w="4400"/>
          </w:tcPr>
          <w:p>
            <w:pPr>
              <w:jc w:val="left"/>
            </w:pPr>
            <w:r>
              <w:rPr>
                <w:b w:val="false"/>
                <w:bCs w:val="false"/>
                <w:sz w:val="18"/>
                <w:szCs w:val="18"/>
              </w:rPr>
              <w:t xml:space="preserve">5 title tag + meta description variations optimized for CTR.</w:t>
            </w:r>
          </w:p>
        </w:tc>
      </w:tr>
      <w:tr>
        <w:tc>
          <w:tcPr>
            <w:tcW w:type="dxa" w:w="2400"/>
          </w:tcPr>
          <w:p>
            <w:pPr>
              <w:jc w:val="left"/>
            </w:pPr>
            <w:r>
              <w:rPr>
                <w:b/>
                <w:bCs/>
                <w:sz w:val="18"/>
                <w:szCs w:val="18"/>
              </w:rPr>
              <w:t xml:space="preserve">Keyword Research</w:t>
            </w:r>
          </w:p>
        </w:tc>
        <w:tc>
          <w:tcPr>
            <w:tcW w:type="dxa" w:w="1000"/>
          </w:tcPr>
          <w:p>
            <w:pPr>
              <w:jc w:val="left"/>
            </w:pPr>
            <w:r>
              <w:rPr>
                <w:b w:val="false"/>
                <w:bCs w:val="false"/>
                <w:sz w:val="18"/>
                <w:szCs w:val="18"/>
              </w:rPr>
              <w:t xml:space="preserve">SEO</w:t>
            </w:r>
          </w:p>
        </w:tc>
        <w:tc>
          <w:tcPr>
            <w:tcW w:type="dxa" w:w="900"/>
          </w:tcPr>
          <w:p>
            <w:pPr>
              <w:jc w:val="left"/>
            </w:pPr>
            <w:r>
              <w:rPr>
                <w:b/>
                <w:bCs/>
                <w:color w:val="2563EB"/>
                <w:sz w:val="18"/>
                <w:szCs w:val="18"/>
              </w:rPr>
              <w:t xml:space="preserve">Pro</w:t>
            </w:r>
          </w:p>
        </w:tc>
        <w:tc>
          <w:tcPr>
            <w:tcW w:type="dxa" w:w="1000"/>
          </w:tcPr>
          <w:p>
            <w:pPr>
              <w:jc w:val="left"/>
            </w:pPr>
            <w:r>
              <w:rPr>
                <w:b w:val="false"/>
                <w:bCs w:val="false"/>
                <w:sz w:val="18"/>
                <w:szCs w:val="18"/>
              </w:rPr>
              <w:t xml:space="preserve">Sonnet</w:t>
            </w:r>
          </w:p>
        </w:tc>
        <w:tc>
          <w:tcPr>
            <w:tcW w:type="dxa" w:w="4400"/>
          </w:tcPr>
          <w:p>
            <w:pPr>
              <w:jc w:val="left"/>
            </w:pPr>
            <w:r>
              <w:rPr>
                <w:b w:val="false"/>
                <w:bCs w:val="false"/>
                <w:sz w:val="18"/>
                <w:szCs w:val="18"/>
              </w:rPr>
              <w:t xml:space="preserve">Primary, long-tail, question &amp; local keywords with intent analysis.</w:t>
            </w:r>
          </w:p>
        </w:tc>
      </w:tr>
      <w:tr>
        <w:tc>
          <w:tcPr>
            <w:tcW w:type="dxa" w:w="2400"/>
          </w:tcPr>
          <w:p>
            <w:pPr>
              <w:jc w:val="left"/>
            </w:pPr>
            <w:r>
              <w:rPr>
                <w:b/>
                <w:bCs/>
                <w:sz w:val="18"/>
                <w:szCs w:val="18"/>
              </w:rPr>
              <w:t xml:space="preserve">SEO Content Brief</w:t>
            </w:r>
          </w:p>
        </w:tc>
        <w:tc>
          <w:tcPr>
            <w:tcW w:type="dxa" w:w="1000"/>
          </w:tcPr>
          <w:p>
            <w:pPr>
              <w:jc w:val="left"/>
            </w:pPr>
            <w:r>
              <w:rPr>
                <w:b w:val="false"/>
                <w:bCs w:val="false"/>
                <w:sz w:val="18"/>
                <w:szCs w:val="18"/>
              </w:rPr>
              <w:t xml:space="preserve">SEO</w:t>
            </w:r>
          </w:p>
        </w:tc>
        <w:tc>
          <w:tcPr>
            <w:tcW w:type="dxa" w:w="900"/>
          </w:tcPr>
          <w:p>
            <w:pPr>
              <w:jc w:val="left"/>
            </w:pPr>
            <w:r>
              <w:rPr>
                <w:b/>
                <w:bCs/>
                <w:color w:val="2563EB"/>
                <w:sz w:val="18"/>
                <w:szCs w:val="18"/>
              </w:rPr>
              <w:t xml:space="preserve">Pro</w:t>
            </w:r>
          </w:p>
        </w:tc>
        <w:tc>
          <w:tcPr>
            <w:tcW w:type="dxa" w:w="1000"/>
          </w:tcPr>
          <w:p>
            <w:pPr>
              <w:jc w:val="left"/>
            </w:pPr>
            <w:r>
              <w:rPr>
                <w:b w:val="false"/>
                <w:bCs w:val="false"/>
                <w:sz w:val="18"/>
                <w:szCs w:val="18"/>
              </w:rPr>
              <w:t xml:space="preserve">Sonnet</w:t>
            </w:r>
          </w:p>
        </w:tc>
        <w:tc>
          <w:tcPr>
            <w:tcW w:type="dxa" w:w="4400"/>
          </w:tcPr>
          <w:p>
            <w:pPr>
              <w:jc w:val="left"/>
            </w:pPr>
            <w:r>
              <w:rPr>
                <w:b w:val="false"/>
                <w:bCs w:val="false"/>
                <w:sz w:val="18"/>
                <w:szCs w:val="18"/>
              </w:rPr>
              <w:t xml:space="preserve">Full content brief: title, outline, secondary keywords, E-E-A-T signals.</w:t>
            </w:r>
          </w:p>
        </w:tc>
      </w:tr>
      <w:tr>
        <w:tc>
          <w:tcPr>
            <w:tcW w:type="dxa" w:w="2400"/>
          </w:tcPr>
          <w:p>
            <w:pPr>
              <w:jc w:val="left"/>
            </w:pPr>
            <w:r>
              <w:rPr>
                <w:b/>
                <w:bCs/>
                <w:sz w:val="18"/>
                <w:szCs w:val="18"/>
              </w:rPr>
              <w:t xml:space="preserve">FAQ Generator</w:t>
            </w:r>
          </w:p>
        </w:tc>
        <w:tc>
          <w:tcPr>
            <w:tcW w:type="dxa" w:w="1000"/>
          </w:tcPr>
          <w:p>
            <w:pPr>
              <w:jc w:val="left"/>
            </w:pPr>
            <w:r>
              <w:rPr>
                <w:b w:val="false"/>
                <w:bCs w:val="false"/>
                <w:sz w:val="18"/>
                <w:szCs w:val="18"/>
              </w:rPr>
              <w:t xml:space="preserve">SEO</w:t>
            </w:r>
          </w:p>
        </w:tc>
        <w:tc>
          <w:tcPr>
            <w:tcW w:type="dxa" w:w="900"/>
          </w:tcPr>
          <w:p>
            <w:pPr>
              <w:jc w:val="left"/>
            </w:pPr>
            <w:r>
              <w:rPr>
                <w:b/>
                <w:bCs/>
                <w:color w:val="2563EB"/>
                <w:sz w:val="18"/>
                <w:szCs w:val="18"/>
              </w:rPr>
              <w:t xml:space="preserve">Pro</w:t>
            </w:r>
          </w:p>
        </w:tc>
        <w:tc>
          <w:tcPr>
            <w:tcW w:type="dxa" w:w="1000"/>
          </w:tcPr>
          <w:p>
            <w:pPr>
              <w:jc w:val="left"/>
            </w:pPr>
            <w:r>
              <w:rPr>
                <w:b w:val="false"/>
                <w:bCs w:val="false"/>
                <w:sz w:val="18"/>
                <w:szCs w:val="18"/>
              </w:rPr>
              <w:t xml:space="preserve">Sonnet</w:t>
            </w:r>
          </w:p>
        </w:tc>
        <w:tc>
          <w:tcPr>
            <w:tcW w:type="dxa" w:w="4400"/>
          </w:tcPr>
          <w:p>
            <w:pPr>
              <w:jc w:val="left"/>
            </w:pPr>
            <w:r>
              <w:rPr>
                <w:b w:val="false"/>
                <w:bCs w:val="false"/>
                <w:sz w:val="18"/>
                <w:szCs w:val="18"/>
              </w:rPr>
              <w:t xml:space="preserve">12 structured FAQs optimized for featured snippets.</w:t>
            </w:r>
          </w:p>
        </w:tc>
      </w:tr>
      <w:tr>
        <w:tc>
          <w:tcPr>
            <w:tcW w:type="dxa" w:w="2400"/>
          </w:tcPr>
          <w:p>
            <w:pPr>
              <w:jc w:val="left"/>
            </w:pPr>
            <w:r>
              <w:rPr>
                <w:b/>
                <w:bCs/>
                <w:sz w:val="18"/>
                <w:szCs w:val="18"/>
              </w:rPr>
              <w:t xml:space="preserve">AI Overview Optimizer</w:t>
            </w:r>
          </w:p>
        </w:tc>
        <w:tc>
          <w:tcPr>
            <w:tcW w:type="dxa" w:w="1000"/>
          </w:tcPr>
          <w:p>
            <w:pPr>
              <w:jc w:val="left"/>
            </w:pPr>
            <w:r>
              <w:rPr>
                <w:b w:val="false"/>
                <w:bCs w:val="false"/>
                <w:sz w:val="18"/>
                <w:szCs w:val="18"/>
              </w:rPr>
              <w:t xml:space="preserve">SEO</w:t>
            </w:r>
          </w:p>
        </w:tc>
        <w:tc>
          <w:tcPr>
            <w:tcW w:type="dxa" w:w="900"/>
          </w:tcPr>
          <w:p>
            <w:pPr>
              <w:jc w:val="left"/>
            </w:pPr>
            <w:r>
              <w:rPr>
                <w:b/>
                <w:bCs/>
                <w:color w:val="2563EB"/>
                <w:sz w:val="18"/>
                <w:szCs w:val="18"/>
              </w:rPr>
              <w:t xml:space="preserve">Pro</w:t>
            </w:r>
          </w:p>
        </w:tc>
        <w:tc>
          <w:tcPr>
            <w:tcW w:type="dxa" w:w="1000"/>
          </w:tcPr>
          <w:p>
            <w:pPr>
              <w:jc w:val="left"/>
            </w:pPr>
            <w:r>
              <w:rPr>
                <w:b w:val="false"/>
                <w:bCs w:val="false"/>
                <w:sz w:val="18"/>
                <w:szCs w:val="18"/>
              </w:rPr>
              <w:t xml:space="preserve">Sonnet</w:t>
            </w:r>
          </w:p>
        </w:tc>
        <w:tc>
          <w:tcPr>
            <w:tcW w:type="dxa" w:w="4400"/>
          </w:tcPr>
          <w:p>
            <w:pPr>
              <w:jc w:val="left"/>
            </w:pPr>
            <w:r>
              <w:rPr>
                <w:b w:val="false"/>
                <w:bCs w:val="false"/>
                <w:sz w:val="18"/>
                <w:szCs w:val="18"/>
              </w:rPr>
              <w:t xml:space="preserve">Optimize content for Google AI Overviews, ChatGPT, Perplexity.</w:t>
            </w:r>
          </w:p>
        </w:tc>
      </w:tr>
      <w:tr>
        <w:tc>
          <w:tcPr>
            <w:tcW w:type="dxa" w:w="2400"/>
          </w:tcPr>
          <w:p>
            <w:pPr>
              <w:jc w:val="left"/>
            </w:pPr>
            <w:r>
              <w:rPr>
                <w:b/>
                <w:bCs/>
                <w:sz w:val="18"/>
                <w:szCs w:val="18"/>
              </w:rPr>
              <w:t xml:space="preserve">Ad Copy Generator</w:t>
            </w:r>
          </w:p>
        </w:tc>
        <w:tc>
          <w:tcPr>
            <w:tcW w:type="dxa" w:w="1000"/>
          </w:tcPr>
          <w:p>
            <w:pPr>
              <w:jc w:val="left"/>
            </w:pPr>
            <w:r>
              <w:rPr>
                <w:b w:val="false"/>
                <w:bCs w:val="false"/>
                <w:sz w:val="18"/>
                <w:szCs w:val="18"/>
              </w:rPr>
              <w:t xml:space="preserve">Ads</w:t>
            </w:r>
          </w:p>
        </w:tc>
        <w:tc>
          <w:tcPr>
            <w:tcW w:type="dxa" w:w="900"/>
          </w:tcPr>
          <w:p>
            <w:pPr>
              <w:jc w:val="left"/>
            </w:pPr>
            <w:r>
              <w:rPr>
                <w:b/>
                <w:bCs/>
                <w:color w:val="2563EB"/>
                <w:sz w:val="18"/>
                <w:szCs w:val="18"/>
              </w:rPr>
              <w:t xml:space="preserve">Pro</w:t>
            </w:r>
          </w:p>
        </w:tc>
        <w:tc>
          <w:tcPr>
            <w:tcW w:type="dxa" w:w="1000"/>
          </w:tcPr>
          <w:p>
            <w:pPr>
              <w:jc w:val="left"/>
            </w:pPr>
            <w:r>
              <w:rPr>
                <w:b w:val="false"/>
                <w:bCs w:val="false"/>
                <w:sz w:val="18"/>
                <w:szCs w:val="18"/>
              </w:rPr>
              <w:t xml:space="preserve">Sonnet</w:t>
            </w:r>
          </w:p>
        </w:tc>
        <w:tc>
          <w:tcPr>
            <w:tcW w:type="dxa" w:w="4400"/>
          </w:tcPr>
          <w:p>
            <w:pPr>
              <w:jc w:val="left"/>
            </w:pPr>
            <w:r>
              <w:rPr>
                <w:b w:val="false"/>
                <w:bCs w:val="false"/>
                <w:sz w:val="18"/>
                <w:szCs w:val="18"/>
              </w:rPr>
              <w:t xml:space="preserve">4 ad variations: PAS, story-based, testimonial, direct offer.</w:t>
            </w:r>
          </w:p>
        </w:tc>
      </w:tr>
      <w:tr>
        <w:tc>
          <w:tcPr>
            <w:tcW w:type="dxa" w:w="2400"/>
          </w:tcPr>
          <w:p>
            <w:pPr>
              <w:jc w:val="left"/>
            </w:pPr>
            <w:r>
              <w:rPr>
                <w:b/>
                <w:bCs/>
                <w:sz w:val="18"/>
                <w:szCs w:val="18"/>
              </w:rPr>
              <w:t xml:space="preserve">Ad Headline A/B Tester</w:t>
            </w:r>
          </w:p>
        </w:tc>
        <w:tc>
          <w:tcPr>
            <w:tcW w:type="dxa" w:w="1000"/>
          </w:tcPr>
          <w:p>
            <w:pPr>
              <w:jc w:val="left"/>
            </w:pPr>
            <w:r>
              <w:rPr>
                <w:b w:val="false"/>
                <w:bCs w:val="false"/>
                <w:sz w:val="18"/>
                <w:szCs w:val="18"/>
              </w:rPr>
              <w:t xml:space="preserve">Ads</w:t>
            </w:r>
          </w:p>
        </w:tc>
        <w:tc>
          <w:tcPr>
            <w:tcW w:type="dxa" w:w="900"/>
          </w:tcPr>
          <w:p>
            <w:pPr>
              <w:jc w:val="left"/>
            </w:pPr>
            <w:r>
              <w:rPr>
                <w:b/>
                <w:bCs/>
                <w:color w:val="2563EB"/>
                <w:sz w:val="18"/>
                <w:szCs w:val="18"/>
              </w:rPr>
              <w:t xml:space="preserve">Pro</w:t>
            </w:r>
          </w:p>
        </w:tc>
        <w:tc>
          <w:tcPr>
            <w:tcW w:type="dxa" w:w="1000"/>
          </w:tcPr>
          <w:p>
            <w:pPr>
              <w:jc w:val="left"/>
            </w:pPr>
            <w:r>
              <w:rPr>
                <w:b w:val="false"/>
                <w:bCs w:val="false"/>
                <w:sz w:val="18"/>
                <w:szCs w:val="18"/>
              </w:rPr>
              <w:t xml:space="preserve">Haiku</w:t>
            </w:r>
          </w:p>
        </w:tc>
        <w:tc>
          <w:tcPr>
            <w:tcW w:type="dxa" w:w="4400"/>
          </w:tcPr>
          <w:p>
            <w:pPr>
              <w:jc w:val="left"/>
            </w:pPr>
            <w:r>
              <w:rPr>
                <w:b w:val="false"/>
                <w:bCs w:val="false"/>
                <w:sz w:val="18"/>
                <w:szCs w:val="18"/>
              </w:rPr>
              <w:t xml:space="preserve">15 headline variations across 5 proven strategies.</w:t>
            </w:r>
          </w:p>
        </w:tc>
      </w:tr>
      <w:tr>
        <w:tc>
          <w:tcPr>
            <w:tcW w:type="dxa" w:w="2400"/>
          </w:tcPr>
          <w:p>
            <w:pPr>
              <w:jc w:val="left"/>
            </w:pPr>
            <w:r>
              <w:rPr>
                <w:b/>
                <w:bCs/>
                <w:sz w:val="18"/>
                <w:szCs w:val="18"/>
              </w:rPr>
              <w:t xml:space="preserve">Audience Targeting Profiles</w:t>
            </w:r>
          </w:p>
        </w:tc>
        <w:tc>
          <w:tcPr>
            <w:tcW w:type="dxa" w:w="1000"/>
          </w:tcPr>
          <w:p>
            <w:pPr>
              <w:jc w:val="left"/>
            </w:pPr>
            <w:r>
              <w:rPr>
                <w:b w:val="false"/>
                <w:bCs w:val="false"/>
                <w:sz w:val="18"/>
                <w:szCs w:val="18"/>
              </w:rPr>
              <w:t xml:space="preserve">Ads</w:t>
            </w:r>
          </w:p>
        </w:tc>
        <w:tc>
          <w:tcPr>
            <w:tcW w:type="dxa" w:w="900"/>
          </w:tcPr>
          <w:p>
            <w:pPr>
              <w:jc w:val="left"/>
            </w:pPr>
            <w:r>
              <w:rPr>
                <w:b/>
                <w:bCs/>
                <w:color w:val="2563EB"/>
                <w:sz w:val="18"/>
                <w:szCs w:val="18"/>
              </w:rPr>
              <w:t xml:space="preserve">Pro</w:t>
            </w:r>
          </w:p>
        </w:tc>
        <w:tc>
          <w:tcPr>
            <w:tcW w:type="dxa" w:w="1000"/>
          </w:tcPr>
          <w:p>
            <w:pPr>
              <w:jc w:val="left"/>
            </w:pPr>
            <w:r>
              <w:rPr>
                <w:b w:val="false"/>
                <w:bCs w:val="false"/>
                <w:sz w:val="18"/>
                <w:szCs w:val="18"/>
              </w:rPr>
              <w:t xml:space="preserve">Sonnet</w:t>
            </w:r>
          </w:p>
        </w:tc>
        <w:tc>
          <w:tcPr>
            <w:tcW w:type="dxa" w:w="4400"/>
          </w:tcPr>
          <w:p>
            <w:pPr>
              <w:jc w:val="left"/>
            </w:pPr>
            <w:r>
              <w:rPr>
                <w:b w:val="false"/>
                <w:bCs w:val="false"/>
                <w:sz w:val="18"/>
                <w:szCs w:val="18"/>
              </w:rPr>
              <w:t xml:space="preserve">3 detailed personas with demographics &amp; platform targeting.</w:t>
            </w:r>
          </w:p>
        </w:tc>
      </w:tr>
      <w:tr>
        <w:tc>
          <w:tcPr>
            <w:tcW w:type="dxa" w:w="2400"/>
          </w:tcPr>
          <w:p>
            <w:pPr>
              <w:jc w:val="left"/>
            </w:pPr>
            <w:r>
              <w:rPr>
                <w:b/>
                <w:bCs/>
                <w:sz w:val="18"/>
                <w:szCs w:val="18"/>
              </w:rPr>
              <w:t xml:space="preserve">Landing Page Copy Generator</w:t>
            </w:r>
          </w:p>
        </w:tc>
        <w:tc>
          <w:tcPr>
            <w:tcW w:type="dxa" w:w="1000"/>
          </w:tcPr>
          <w:p>
            <w:pPr>
              <w:jc w:val="left"/>
            </w:pPr>
            <w:r>
              <w:rPr>
                <w:b w:val="false"/>
                <w:bCs w:val="false"/>
                <w:sz w:val="18"/>
                <w:szCs w:val="18"/>
              </w:rPr>
              <w:t xml:space="preserve">Ads</w:t>
            </w:r>
          </w:p>
        </w:tc>
        <w:tc>
          <w:tcPr>
            <w:tcW w:type="dxa" w:w="900"/>
          </w:tcPr>
          <w:p>
            <w:pPr>
              <w:jc w:val="left"/>
            </w:pPr>
            <w:r>
              <w:rPr>
                <w:b/>
                <w:bCs/>
                <w:color w:val="2563EB"/>
                <w:sz w:val="18"/>
                <w:szCs w:val="18"/>
              </w:rPr>
              <w:t xml:space="preserve">Pro</w:t>
            </w:r>
          </w:p>
        </w:tc>
        <w:tc>
          <w:tcPr>
            <w:tcW w:type="dxa" w:w="1000"/>
          </w:tcPr>
          <w:p>
            <w:pPr>
              <w:jc w:val="left"/>
            </w:pPr>
            <w:r>
              <w:rPr>
                <w:b w:val="false"/>
                <w:bCs w:val="false"/>
                <w:sz w:val="18"/>
                <w:szCs w:val="18"/>
              </w:rPr>
              <w:t xml:space="preserve">Sonnet</w:t>
            </w:r>
          </w:p>
        </w:tc>
        <w:tc>
          <w:tcPr>
            <w:tcW w:type="dxa" w:w="4400"/>
          </w:tcPr>
          <w:p>
            <w:pPr>
              <w:jc w:val="left"/>
            </w:pPr>
            <w:r>
              <w:rPr>
                <w:b w:val="false"/>
                <w:bCs w:val="false"/>
                <w:sz w:val="18"/>
                <w:szCs w:val="18"/>
              </w:rPr>
              <w:t xml:space="preserve">Full landing page: hero, benefits, social proof, FAQ, CTA.</w:t>
            </w:r>
          </w:p>
        </w:tc>
      </w:tr>
      <w:tr>
        <w:tc>
          <w:tcPr>
            <w:tcW w:type="dxa" w:w="2400"/>
          </w:tcPr>
          <w:p>
            <w:pPr>
              <w:jc w:val="left"/>
            </w:pPr>
            <w:r>
              <w:rPr>
                <w:b/>
                <w:bCs/>
                <w:sz w:val="18"/>
                <w:szCs w:val="18"/>
              </w:rPr>
              <w:t xml:space="preserve">Email Sequence Generator</w:t>
            </w:r>
          </w:p>
        </w:tc>
        <w:tc>
          <w:tcPr>
            <w:tcW w:type="dxa" w:w="1000"/>
          </w:tcPr>
          <w:p>
            <w:pPr>
              <w:jc w:val="left"/>
            </w:pPr>
            <w:r>
              <w:rPr>
                <w:b w:val="false"/>
                <w:bCs w:val="false"/>
                <w:sz w:val="18"/>
                <w:szCs w:val="18"/>
              </w:rPr>
              <w:t xml:space="preserve">Email</w:t>
            </w:r>
          </w:p>
        </w:tc>
        <w:tc>
          <w:tcPr>
            <w:tcW w:type="dxa" w:w="900"/>
          </w:tcPr>
          <w:p>
            <w:pPr>
              <w:jc w:val="left"/>
            </w:pPr>
            <w:r>
              <w:rPr>
                <w:b/>
                <w:bCs/>
                <w:color w:val="2563EB"/>
                <w:sz w:val="18"/>
                <w:szCs w:val="18"/>
              </w:rPr>
              <w:t xml:space="preserve">Pro</w:t>
            </w:r>
          </w:p>
        </w:tc>
        <w:tc>
          <w:tcPr>
            <w:tcW w:type="dxa" w:w="1000"/>
          </w:tcPr>
          <w:p>
            <w:pPr>
              <w:jc w:val="left"/>
            </w:pPr>
            <w:r>
              <w:rPr>
                <w:b w:val="false"/>
                <w:bCs w:val="false"/>
                <w:sz w:val="18"/>
                <w:szCs w:val="18"/>
              </w:rPr>
              <w:t xml:space="preserve">Sonnet</w:t>
            </w:r>
          </w:p>
        </w:tc>
        <w:tc>
          <w:tcPr>
            <w:tcW w:type="dxa" w:w="4400"/>
          </w:tcPr>
          <w:p>
            <w:pPr>
              <w:jc w:val="left"/>
            </w:pPr>
            <w:r>
              <w:rPr>
                <w:b w:val="false"/>
                <w:bCs w:val="false"/>
                <w:sz w:val="18"/>
                <w:szCs w:val="18"/>
              </w:rPr>
              <w:t xml:space="preserve">Multi-email sequence with subject lines, preview text, timing.</w:t>
            </w:r>
          </w:p>
        </w:tc>
      </w:tr>
      <w:tr>
        <w:tc>
          <w:tcPr>
            <w:tcW w:type="dxa" w:w="2400"/>
          </w:tcPr>
          <w:p>
            <w:pPr>
              <w:jc w:val="left"/>
            </w:pPr>
            <w:r>
              <w:rPr>
                <w:b/>
                <w:bCs/>
                <w:sz w:val="18"/>
                <w:szCs w:val="18"/>
              </w:rPr>
              <w:t xml:space="preserve">Newsletter Generator</w:t>
            </w:r>
          </w:p>
        </w:tc>
        <w:tc>
          <w:tcPr>
            <w:tcW w:type="dxa" w:w="1000"/>
          </w:tcPr>
          <w:p>
            <w:pPr>
              <w:jc w:val="left"/>
            </w:pPr>
            <w:r>
              <w:rPr>
                <w:b w:val="false"/>
                <w:bCs w:val="false"/>
                <w:sz w:val="18"/>
                <w:szCs w:val="18"/>
              </w:rPr>
              <w:t xml:space="preserve">Email</w:t>
            </w:r>
          </w:p>
        </w:tc>
        <w:tc>
          <w:tcPr>
            <w:tcW w:type="dxa" w:w="900"/>
          </w:tcPr>
          <w:p>
            <w:pPr>
              <w:jc w:val="left"/>
            </w:pPr>
            <w:r>
              <w:rPr>
                <w:b/>
                <w:bCs/>
                <w:color w:val="2563EB"/>
                <w:sz w:val="18"/>
                <w:szCs w:val="18"/>
              </w:rPr>
              <w:t xml:space="preserve">Pro</w:t>
            </w:r>
          </w:p>
        </w:tc>
        <w:tc>
          <w:tcPr>
            <w:tcW w:type="dxa" w:w="1000"/>
          </w:tcPr>
          <w:p>
            <w:pPr>
              <w:jc w:val="left"/>
            </w:pPr>
            <w:r>
              <w:rPr>
                <w:b w:val="false"/>
                <w:bCs w:val="false"/>
                <w:sz w:val="18"/>
                <w:szCs w:val="18"/>
              </w:rPr>
              <w:t xml:space="preserve">Sonnet</w:t>
            </w:r>
          </w:p>
        </w:tc>
        <w:tc>
          <w:tcPr>
            <w:tcW w:type="dxa" w:w="4400"/>
          </w:tcPr>
          <w:p>
            <w:pPr>
              <w:jc w:val="left"/>
            </w:pPr>
            <w:r>
              <w:rPr>
                <w:b w:val="false"/>
                <w:bCs w:val="false"/>
                <w:sz w:val="18"/>
                <w:szCs w:val="18"/>
              </w:rPr>
              <w:t xml:space="preserve">Full newsletter issue: subject, opening, content, tips, P.S.</w:t>
            </w:r>
          </w:p>
        </w:tc>
      </w:tr>
    </w:tbl>
    <w:p>
      <w:pPr>
        <w:spacing w:after="200"/>
      </w:pPr>
    </w:p>
    <w:p>
      <w:pPr>
        <w:spacing w:after="150"/>
      </w:pPr>
      <w:r>
        <w:t xml:space="preserve">Every tool has one true required field (the topic/keyword/product) — everything else is optional and falls back to a sensible default if left blank. This was a real bug earlier this week (every field was being forced as required); it's now fixed and confirmed working across all 12 tools.</w:t>
      </w:r>
    </w:p>
    <w:p>
      <w:pPr>
        <w:pStyle w:val="Heading1"/>
        <w:spacing w:after="200" w:before="400"/>
      </w:pPr>
      <w:r>
        <w:t xml:space="preserve">2. Pricing &amp; plans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2800"/>
        <w:gridCol w:w="1600"/>
        <w:gridCol w:w="1500"/>
      </w:tblGrid>
      <w:tr>
        <w:trPr>
          <w:tblHeader/>
        </w:trPr>
        <w:tc>
          <w:tcPr>
            <w:tcW w:type="dxa" w:w="1800"/>
            <w:shd w:fill="0F172A" w:val="clear"/>
          </w:tcPr>
          <w:p>
            <w:pPr>
              <w:jc w:val="left"/>
            </w:pPr>
            <w:r>
              <w:rPr>
                <w:b/>
                <w:bCs/>
                <w:color w:val="FFFFFF"/>
                <w:sz w:val="18"/>
                <w:szCs w:val="18"/>
              </w:rPr>
              <w:t xml:space="preserve">Plan</w:t>
            </w:r>
          </w:p>
        </w:tc>
        <w:tc>
          <w:tcPr>
            <w:tcW w:type="dxa" w:w="2200"/>
            <w:shd w:fill="0F172A" w:val="clear"/>
          </w:tcPr>
          <w:p>
            <w:pPr>
              <w:jc w:val="left"/>
            </w:pPr>
            <w:r>
              <w:rPr>
                <w:b/>
                <w:bCs/>
                <w:color w:val="FFFFFF"/>
                <w:sz w:val="18"/>
                <w:szCs w:val="18"/>
              </w:rPr>
              <w:t xml:space="preserve">Price</w:t>
            </w:r>
          </w:p>
        </w:tc>
        <w:tc>
          <w:tcPr>
            <w:tcW w:type="dxa" w:w="2800"/>
            <w:shd w:fill="0F172A" w:val="clear"/>
          </w:tcPr>
          <w:p>
            <w:pPr>
              <w:jc w:val="left"/>
            </w:pPr>
            <w:r>
              <w:rPr>
                <w:b/>
                <w:bCs/>
                <w:color w:val="FFFFFF"/>
                <w:sz w:val="18"/>
                <w:szCs w:val="18"/>
              </w:rPr>
              <w:t xml:space="preserve">Tool access</w:t>
            </w:r>
          </w:p>
        </w:tc>
        <w:tc>
          <w:tcPr>
            <w:tcW w:type="dxa" w:w="1600"/>
            <w:shd w:fill="0F172A" w:val="clear"/>
          </w:tcPr>
          <w:p>
            <w:pPr>
              <w:jc w:val="left"/>
            </w:pPr>
            <w:r>
              <w:rPr>
                <w:b/>
                <w:bCs/>
                <w:color w:val="FFFFFF"/>
                <w:sz w:val="18"/>
                <w:szCs w:val="18"/>
              </w:rPr>
              <w:t xml:space="preserve">Generations</w:t>
            </w:r>
          </w:p>
        </w:tc>
        <w:tc>
          <w:tcPr>
            <w:tcW w:type="dxa" w:w="1500"/>
            <w:shd w:fill="0F172A" w:val="clear"/>
          </w:tcPr>
          <w:p>
            <w:pPr>
              <w:jc w:val="left"/>
            </w:pPr>
            <w:r>
              <w:rPr>
                <w:b/>
                <w:bCs/>
                <w:color w:val="FFFFFF"/>
                <w:sz w:val="18"/>
                <w:szCs w:val="18"/>
              </w:rPr>
              <w:t xml:space="preserve">AI model</w:t>
            </w:r>
          </w:p>
        </w:tc>
      </w:tr>
      <w:tr>
        <w:tc>
          <w:tcPr>
            <w:tcW w:type="dxa" w:w="1800"/>
          </w:tcPr>
          <w:p>
            <w:pPr>
              <w:jc w:val="left"/>
            </w:pPr>
            <w:r>
              <w:rPr>
                <w:b/>
                <w:bCs/>
                <w:sz w:val="18"/>
                <w:szCs w:val="18"/>
              </w:rPr>
              <w:t xml:space="preserve">Free</w:t>
            </w:r>
          </w:p>
        </w:tc>
        <w:tc>
          <w:tcPr>
            <w:tcW w:type="dxa" w:w="2200"/>
          </w:tcPr>
          <w:p>
            <w:pPr>
              <w:jc w:val="left"/>
            </w:pPr>
            <w:r>
              <w:rPr>
                <w:b w:val="false"/>
                <w:bCs w:val="false"/>
                <w:sz w:val="18"/>
                <w:szCs w:val="18"/>
              </w:rPr>
              <w:t xml:space="preserve">$0</w:t>
            </w:r>
          </w:p>
        </w:tc>
        <w:tc>
          <w:tcPr>
            <w:tcW w:type="dxa" w:w="2800"/>
          </w:tcPr>
          <w:p>
            <w:pPr>
              <w:jc w:val="left"/>
            </w:pPr>
            <w:r>
              <w:rPr>
                <w:b w:val="false"/>
                <w:bCs w:val="false"/>
                <w:sz w:val="18"/>
                <w:szCs w:val="18"/>
              </w:rPr>
              <w:t xml:space="preserve">2 tools (Post Caption, SEO Meta)</w:t>
            </w:r>
          </w:p>
        </w:tc>
        <w:tc>
          <w:tcPr>
            <w:tcW w:type="dxa" w:w="1600"/>
          </w:tcPr>
          <w:p>
            <w:pPr>
              <w:jc w:val="left"/>
            </w:pPr>
            <w:r>
              <w:rPr>
                <w:b w:val="false"/>
                <w:bCs w:val="false"/>
                <w:sz w:val="18"/>
                <w:szCs w:val="18"/>
              </w:rPr>
              <w:t xml:space="preserve">3 / day</w:t>
            </w:r>
          </w:p>
        </w:tc>
        <w:tc>
          <w:tcPr>
            <w:tcW w:type="dxa" w:w="1500"/>
          </w:tcPr>
          <w:p>
            <w:pPr>
              <w:jc w:val="left"/>
            </w:pPr>
            <w:r>
              <w:rPr>
                <w:b w:val="false"/>
                <w:bCs w:val="false"/>
                <w:sz w:val="18"/>
                <w:szCs w:val="18"/>
              </w:rPr>
              <w:t xml:space="preserve">Haiku (fast model) only</w:t>
            </w:r>
          </w:p>
        </w:tc>
      </w:tr>
      <w:tr>
        <w:tc>
          <w:tcPr>
            <w:tcW w:type="dxa" w:w="1800"/>
          </w:tcPr>
          <w:p>
            <w:pPr>
              <w:jc w:val="left"/>
            </w:pPr>
            <w:r>
              <w:rPr>
                <w:b/>
                <w:bCs/>
                <w:sz w:val="18"/>
                <w:szCs w:val="18"/>
              </w:rPr>
              <w:t xml:space="preserve">Pro</w:t>
            </w:r>
          </w:p>
        </w:tc>
        <w:tc>
          <w:tcPr>
            <w:tcW w:type="dxa" w:w="2200"/>
          </w:tcPr>
          <w:p>
            <w:pPr>
              <w:jc w:val="left"/>
            </w:pPr>
            <w:r>
              <w:rPr>
                <w:b w:val="false"/>
                <w:bCs w:val="false"/>
                <w:sz w:val="18"/>
                <w:szCs w:val="18"/>
              </w:rPr>
              <w:t xml:space="preserve">$29/mo ($278/yr)</w:t>
            </w:r>
          </w:p>
        </w:tc>
        <w:tc>
          <w:tcPr>
            <w:tcW w:type="dxa" w:w="2800"/>
          </w:tcPr>
          <w:p>
            <w:pPr>
              <w:jc w:val="left"/>
            </w:pPr>
            <w:r>
              <w:rPr>
                <w:b w:val="false"/>
                <w:bCs w:val="false"/>
                <w:sz w:val="18"/>
                <w:szCs w:val="18"/>
              </w:rPr>
              <w:t xml:space="preserve">All 12 tools</w:t>
            </w:r>
          </w:p>
        </w:tc>
        <w:tc>
          <w:tcPr>
            <w:tcW w:type="dxa" w:w="1600"/>
          </w:tcPr>
          <w:p>
            <w:pPr>
              <w:jc w:val="left"/>
            </w:pPr>
            <w:r>
              <w:rPr>
                <w:b w:val="false"/>
                <w:bCs w:val="false"/>
                <w:sz w:val="18"/>
                <w:szCs w:val="18"/>
              </w:rPr>
              <w:t xml:space="preserve">200 / month</w:t>
            </w:r>
          </w:p>
        </w:tc>
        <w:tc>
          <w:tcPr>
            <w:tcW w:type="dxa" w:w="1500"/>
          </w:tcPr>
          <w:p>
            <w:pPr>
              <w:jc w:val="left"/>
            </w:pPr>
            <w:r>
              <w:rPr>
                <w:b w:val="false"/>
                <w:bCs w:val="false"/>
                <w:sz w:val="18"/>
                <w:szCs w:val="18"/>
              </w:rPr>
              <w:t xml:space="preserve">Auto — Haiku or Sonnet per tool</w:t>
            </w:r>
          </w:p>
        </w:tc>
      </w:tr>
      <w:tr>
        <w:tc>
          <w:tcPr>
            <w:tcW w:type="dxa" w:w="1800"/>
          </w:tcPr>
          <w:p>
            <w:pPr>
              <w:jc w:val="left"/>
            </w:pPr>
            <w:r>
              <w:rPr>
                <w:b/>
                <w:bCs/>
                <w:sz w:val="18"/>
                <w:szCs w:val="18"/>
              </w:rPr>
              <w:t xml:space="preserve">Enterprise</w:t>
            </w:r>
          </w:p>
        </w:tc>
        <w:tc>
          <w:tcPr>
            <w:tcW w:type="dxa" w:w="2200"/>
          </w:tcPr>
          <w:p>
            <w:pPr>
              <w:jc w:val="left"/>
            </w:pPr>
            <w:r>
              <w:rPr>
                <w:b w:val="false"/>
                <w:bCs w:val="false"/>
                <w:sz w:val="18"/>
                <w:szCs w:val="18"/>
              </w:rPr>
              <w:t xml:space="preserve">$99/mo ($950/yr)</w:t>
            </w:r>
          </w:p>
        </w:tc>
        <w:tc>
          <w:tcPr>
            <w:tcW w:type="dxa" w:w="2800"/>
          </w:tcPr>
          <w:p>
            <w:pPr>
              <w:jc w:val="left"/>
            </w:pPr>
            <w:r>
              <w:rPr>
                <w:b w:val="false"/>
                <w:bCs w:val="false"/>
                <w:sz w:val="18"/>
                <w:szCs w:val="18"/>
              </w:rPr>
              <w:t xml:space="preserve">All 12 tools</w:t>
            </w:r>
          </w:p>
        </w:tc>
        <w:tc>
          <w:tcPr>
            <w:tcW w:type="dxa" w:w="1600"/>
          </w:tcPr>
          <w:p>
            <w:pPr>
              <w:jc w:val="left"/>
            </w:pPr>
            <w:r>
              <w:rPr>
                <w:b w:val="false"/>
                <w:bCs w:val="false"/>
                <w:sz w:val="18"/>
                <w:szCs w:val="18"/>
              </w:rPr>
              <w:t xml:space="preserve">Unlimited</w:t>
            </w:r>
          </w:p>
        </w:tc>
        <w:tc>
          <w:tcPr>
            <w:tcW w:type="dxa" w:w="1500"/>
          </w:tcPr>
          <w:p>
            <w:pPr>
              <w:jc w:val="left"/>
            </w:pPr>
            <w:r>
              <w:rPr>
                <w:b w:val="false"/>
                <w:bCs w:val="false"/>
                <w:sz w:val="18"/>
                <w:szCs w:val="18"/>
              </w:rPr>
              <w:t xml:space="preserve">Auto — Haiku or Sonnet per tool</w:t>
            </w:r>
          </w:p>
        </w:tc>
      </w:tr>
    </w:tbl>
    <w:p>
      <w:pPr>
        <w:spacing w:after="200"/>
      </w:pPr>
    </w:p>
    <w:p>
      <w:pPr>
        <w:spacing w:after="150"/>
      </w:pPr>
      <w:r>
        <w:t xml:space="preserve">Billing runs through Stripe in live mode (confirmed — checkout sessions use the cs_live_ prefix). Both Pro and Enterprise offer a monthly or annual price, with the annual price working out to a 20% discount over paying monthly.</w:t>
      </w:r>
    </w:p>
    <w:p>
      <w:pPr>
        <w:spacing w:after="150"/>
      </w:pPr>
      <w:r>
        <w:t xml:space="preserve">One nuance worth knowing: Free-plan users are always forced onto the Haiku model (faster, cheaper) regardless of what a given tool is configured to use — this is intentional cost control, not a bug. Paid users get whichever model each tool is actually configured for (some tools use Sonnet for higher-quality output, some use Haiku because the task is simple).</w:t>
      </w:r>
    </w:p>
    <w:p>
      <w:pPr>
        <w:pStyle w:val="Heading1"/>
        <w:spacing w:after="200" w:before="400"/>
      </w:pPr>
      <w:r>
        <w:t xml:space="preserve">3. Free vs. paid — what's actually gated, and where</w:t>
      </w:r>
    </w:p>
    <w:p>
      <w:pPr>
        <w:pStyle w:val="ListParagraph"/>
        <w:numPr>
          <w:ilvl w:val="0"/>
          <w:numId w:val="1"/>
        </w:numPr>
        <w:spacing w:after="80"/>
      </w:pPr>
      <w:r>
        <w:t xml:space="preserve">Tool access: Free users can only open Post Caption Generator and SEO Meta Generator. The other 10 show a locked state in the UI, and — confirmed via direct API testing, not just hiding the button — the server independently rejects any attempt to call a locked tool directly (403), so this isn't a cosmetic-only restriction.</w:t>
      </w:r>
    </w:p>
    <w:p>
      <w:pPr>
        <w:pStyle w:val="ListParagraph"/>
        <w:numPr>
          <w:ilvl w:val="0"/>
          <w:numId w:val="1"/>
        </w:numPr>
        <w:spacing w:after="80"/>
      </w:pPr>
      <w:r>
        <w:t xml:space="preserve">Generation limits: Free is 3/day, resets on a rolling daily clock. Pro is 200/month. Enterprise is marketed and displayed as unlimited, and backed by a hidden fair-use ceiling for cost protection — see section 8. The daily counter for Free resets at UTC midnight — for anyone outside UTC that's a different clock time than their own local midnight, so the dashboard now shows a live countdown ("Resets in Xh Ym") instead of a flat "Resets at midnight," so it's accurate no matter where the visitor is.</w:t>
      </w:r>
    </w:p>
    <w:p>
      <w:pPr>
        <w:pStyle w:val="ListParagraph"/>
        <w:numPr>
          <w:ilvl w:val="0"/>
          <w:numId w:val="1"/>
        </w:numPr>
        <w:spacing w:after="80"/>
      </w:pPr>
      <w:r>
        <w:t xml:space="preserve">Model tier: covered above — Free is always Haiku; paid plans get the tool's real configured model.</w:t>
      </w:r>
    </w:p>
    <w:p>
      <w:pPr>
        <w:pStyle w:val="ListParagraph"/>
        <w:numPr>
          <w:ilvl w:val="0"/>
          <w:numId w:val="1"/>
        </w:numPr>
        <w:spacing w:after="80"/>
      </w:pPr>
      <w:r>
        <w:t xml:space="preserve">Everything else (dashboard, account settings, data export, contact/support) is available to every registered user regardless of plan — none of that is paywalled.</w:t>
      </w:r>
    </w:p>
    <w:p>
      <w:pPr>
        <w:pStyle w:val="Heading1"/>
        <w:spacing w:after="200" w:before="400"/>
      </w:pPr>
      <w:r>
        <w:t xml:space="preserve">4. Upgrade CTAs currently live on the site</w:t>
      </w:r>
    </w:p>
    <w:p>
      <w:pPr>
        <w:pStyle w:val="ListParagraph"/>
        <w:numPr>
          <w:ilvl w:val="0"/>
          <w:numId w:val="1"/>
        </w:numPr>
        <w:spacing w:after="80"/>
      </w:pPr>
      <w:r>
        <w:t xml:space="preserve">Dashboard home: a persistent sidebar card ("Upgrade to Pro — Unlock all 12 tools &amp; 200 gens/month for $29/mo") plus a full-width banner at the bottom of the page.</w:t>
      </w:r>
    </w:p>
    <w:p>
      <w:pPr>
        <w:pStyle w:val="ListParagraph"/>
        <w:numPr>
          <w:ilvl w:val="0"/>
          <w:numId w:val="1"/>
        </w:numPr>
        <w:spacing w:after="80"/>
      </w:pPr>
      <w:r>
        <w:t xml:space="preserve">Tools list page: locked tools show a badge with their true tier so a Free user can see what they're missing, plus a banner to view plans.</w:t>
      </w:r>
    </w:p>
    <w:p>
      <w:pPr>
        <w:pStyle w:val="ListParagraph"/>
        <w:numPr>
          <w:ilvl w:val="0"/>
          <w:numId w:val="1"/>
        </w:numPr>
        <w:spacing w:after="80"/>
      </w:pPr>
      <w:r>
        <w:t xml:space="preserve">Inside every free tool, after a successful generation: a new CTA was added this week (post-generation, so it doesn't interrupt someone mid-task) — "You just saw what Shijo.ai can do. Imagine it across all 12 tools." linking to Billing.</w:t>
      </w:r>
    </w:p>
    <w:p>
      <w:pPr>
        <w:pStyle w:val="ListParagraph"/>
        <w:numPr>
          <w:ilvl w:val="0"/>
          <w:numId w:val="1"/>
        </w:numPr>
        <w:spacing w:after="80"/>
      </w:pPr>
      <w:r>
        <w:t xml:space="preserve">Usage meter: shows "X of Y used today/month" with an inline "Upgrade to Pro for 200/month" link once a Free user is getting close to or has hit their limit.</w:t>
      </w:r>
    </w:p>
    <w:p>
      <w:pPr>
        <w:spacing w:after="150"/>
      </w:pPr>
      <w:r>
        <w:t xml:space="preserve">New this session: the dashboard bell icon (top right) was previously fully decorative — it had a permanent "unread" dot and did nothing when clicked. It's now a working panel with quick product tips and a "Request a feature" box that lands directly in the same admin ticket queue as the Contact form, tagged as a feature request.</w:t>
      </w:r>
    </w:p>
    <w:p>
      <w:pPr>
        <w:pStyle w:val="Heading1"/>
        <w:spacing w:after="200" w:before="400"/>
      </w:pPr>
      <w:r>
        <w:t xml:space="preserve">5. Proposed new upgrade CTA copy — for review</w:t>
      </w:r>
    </w:p>
    <w:p>
      <w:pPr>
        <w:spacing w:after="150"/>
      </w:pPr>
      <w:r>
        <w:t xml:space="preserve">You asked for something catchier than the current, fairly plain "$29/mo" framing — the kind of "cheaper than a cup of coffee" line competitors use (confirmed as a real pattern: Monarch Money uses "less than two cups of coffee per month," and per-day cost-framing is a common conversion tactic across SaaS pricing pages). At $29/mo, that works out to almost exactly $1/day, which is a strong, honest anchor point. Options below, none implemented yet — pick one (or mix) and it can go into the CTA locations listed in section 4.</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800"/>
      </w:tblGrid>
      <w:tr>
        <w:trPr>
          <w:tblHeader/>
        </w:trPr>
        <w:tc>
          <w:tcPr>
            <w:tcW w:type="dxa" w:w="2000"/>
            <w:shd w:fill="0F172A" w:val="clear"/>
          </w:tcPr>
          <w:p>
            <w:pPr>
              <w:jc w:val="left"/>
            </w:pPr>
            <w:r>
              <w:rPr>
                <w:b/>
                <w:bCs/>
                <w:color w:val="FFFFFF"/>
                <w:sz w:val="18"/>
                <w:szCs w:val="18"/>
              </w:rPr>
              <w:t xml:space="preserve">Angle</w:t>
            </w:r>
          </w:p>
        </w:tc>
        <w:tc>
          <w:tcPr>
            <w:tcW w:type="dxa" w:w="4200"/>
            <w:shd w:fill="0F172A" w:val="clear"/>
          </w:tcPr>
          <w:p>
            <w:pPr>
              <w:jc w:val="left"/>
            </w:pPr>
            <w:r>
              <w:rPr>
                <w:b/>
                <w:bCs/>
                <w:color w:val="FFFFFF"/>
                <w:sz w:val="18"/>
                <w:szCs w:val="18"/>
              </w:rPr>
              <w:t xml:space="preserve">Line</w:t>
            </w:r>
          </w:p>
        </w:tc>
        <w:tc>
          <w:tcPr>
            <w:tcW w:type="dxa" w:w="3800"/>
            <w:shd w:fill="0F172A" w:val="clear"/>
          </w:tcPr>
          <w:p>
            <w:pPr>
              <w:jc w:val="left"/>
            </w:pPr>
            <w:r>
              <w:rPr>
                <w:b/>
                <w:bCs/>
                <w:color w:val="FFFFFF"/>
                <w:sz w:val="18"/>
                <w:szCs w:val="18"/>
              </w:rPr>
              <w:t xml:space="preserve">Why it works</w:t>
            </w:r>
          </w:p>
        </w:tc>
      </w:tr>
      <w:tr>
        <w:tc>
          <w:tcPr>
            <w:tcW w:type="dxa" w:w="2000"/>
          </w:tcPr>
          <w:p>
            <w:pPr>
              <w:jc w:val="left"/>
            </w:pPr>
            <w:r>
              <w:rPr>
                <w:b/>
                <w:bCs/>
                <w:sz w:val="18"/>
                <w:szCs w:val="18"/>
              </w:rPr>
              <w:t xml:space="preserve">Cost-anchor</w:t>
            </w:r>
          </w:p>
        </w:tc>
        <w:tc>
          <w:tcPr>
            <w:tcW w:type="dxa" w:w="4200"/>
          </w:tcPr>
          <w:p>
            <w:pPr>
              <w:jc w:val="left"/>
            </w:pPr>
            <w:r>
              <w:rPr>
                <w:b w:val="false"/>
                <w:bCs w:val="false"/>
                <w:sz w:val="18"/>
                <w:szCs w:val="18"/>
              </w:rPr>
              <w:t xml:space="preserve">Less than $1 a day for 200 AI generations a month.</w:t>
            </w:r>
          </w:p>
        </w:tc>
        <w:tc>
          <w:tcPr>
            <w:tcW w:type="dxa" w:w="3800"/>
          </w:tcPr>
          <w:p>
            <w:pPr>
              <w:jc w:val="left"/>
            </w:pPr>
            <w:r>
              <w:rPr>
                <w:b w:val="false"/>
                <w:bCs w:val="false"/>
                <w:sz w:val="18"/>
                <w:szCs w:val="18"/>
              </w:rPr>
              <w:t xml:space="preserve">Reframes $29/mo as a trivial daily cost — the classic "cheaper than a coffee" pattern (used by Monarch Money and others).</w:t>
            </w:r>
          </w:p>
        </w:tc>
      </w:tr>
      <w:tr>
        <w:tc>
          <w:tcPr>
            <w:tcW w:type="dxa" w:w="2000"/>
          </w:tcPr>
          <w:p>
            <w:pPr>
              <w:jc w:val="left"/>
            </w:pPr>
            <w:r>
              <w:rPr>
                <w:b/>
                <w:bCs/>
                <w:sz w:val="18"/>
                <w:szCs w:val="18"/>
              </w:rPr>
              <w:t xml:space="preserve">Cost-anchor</w:t>
            </w:r>
          </w:p>
        </w:tc>
        <w:tc>
          <w:tcPr>
            <w:tcW w:type="dxa" w:w="4200"/>
          </w:tcPr>
          <w:p>
            <w:pPr>
              <w:jc w:val="left"/>
            </w:pPr>
            <w:r>
              <w:rPr>
                <w:b w:val="false"/>
                <w:bCs w:val="false"/>
                <w:sz w:val="18"/>
                <w:szCs w:val="18"/>
              </w:rPr>
              <w:t xml:space="preserve">Skip one coffee a month. Unlock all 12 AI tools instead.</w:t>
            </w:r>
          </w:p>
        </w:tc>
        <w:tc>
          <w:tcPr>
            <w:tcW w:type="dxa" w:w="3800"/>
          </w:tcPr>
          <w:p>
            <w:pPr>
              <w:jc w:val="left"/>
            </w:pPr>
            <w:r>
              <w:rPr>
                <w:b w:val="false"/>
                <w:bCs w:val="false"/>
                <w:sz w:val="18"/>
                <w:szCs w:val="18"/>
              </w:rPr>
              <w:t xml:space="preserve">Same pattern, more concrete trade-off — asks for one small, specific sacrifice.</w:t>
            </w:r>
          </w:p>
        </w:tc>
      </w:tr>
      <w:tr>
        <w:tc>
          <w:tcPr>
            <w:tcW w:type="dxa" w:w="2000"/>
          </w:tcPr>
          <w:p>
            <w:pPr>
              <w:jc w:val="left"/>
            </w:pPr>
            <w:r>
              <w:rPr>
                <w:b/>
                <w:bCs/>
                <w:sz w:val="18"/>
                <w:szCs w:val="18"/>
              </w:rPr>
              <w:t xml:space="preserve">ROI framing</w:t>
            </w:r>
          </w:p>
        </w:tc>
        <w:tc>
          <w:tcPr>
            <w:tcW w:type="dxa" w:w="4200"/>
          </w:tcPr>
          <w:p>
            <w:pPr>
              <w:jc w:val="left"/>
            </w:pPr>
            <w:r>
              <w:rPr>
                <w:b w:val="false"/>
                <w:bCs w:val="false"/>
                <w:sz w:val="18"/>
                <w:szCs w:val="18"/>
              </w:rPr>
              <w:t xml:space="preserve">One good ad headline pays for itself. Pro gives you dozens more.</w:t>
            </w:r>
          </w:p>
        </w:tc>
        <w:tc>
          <w:tcPr>
            <w:tcW w:type="dxa" w:w="3800"/>
          </w:tcPr>
          <w:p>
            <w:pPr>
              <w:jc w:val="left"/>
            </w:pPr>
            <w:r>
              <w:rPr>
                <w:b w:val="false"/>
                <w:bCs w:val="false"/>
                <w:sz w:val="18"/>
                <w:szCs w:val="18"/>
              </w:rPr>
              <w:t xml:space="preserve">Ties the price to value produced, not just quantity of generations.</w:t>
            </w:r>
          </w:p>
        </w:tc>
      </w:tr>
      <w:tr>
        <w:tc>
          <w:tcPr>
            <w:tcW w:type="dxa" w:w="2000"/>
          </w:tcPr>
          <w:p>
            <w:pPr>
              <w:jc w:val="left"/>
            </w:pPr>
            <w:r>
              <w:rPr>
                <w:b/>
                <w:bCs/>
                <w:sz w:val="18"/>
                <w:szCs w:val="18"/>
              </w:rPr>
              <w:t xml:space="preserve">ROI framing</w:t>
            </w:r>
          </w:p>
        </w:tc>
        <w:tc>
          <w:tcPr>
            <w:tcW w:type="dxa" w:w="4200"/>
          </w:tcPr>
          <w:p>
            <w:pPr>
              <w:jc w:val="left"/>
            </w:pPr>
            <w:r>
              <w:rPr>
                <w:b w:val="false"/>
                <w:bCs w:val="false"/>
                <w:sz w:val="18"/>
                <w:szCs w:val="18"/>
              </w:rPr>
              <w:t xml:space="preserve">Free gets you a taste. Pro gets you the whole toolkit — 12 tools, 200 gens/month, $29.</w:t>
            </w:r>
          </w:p>
        </w:tc>
        <w:tc>
          <w:tcPr>
            <w:tcW w:type="dxa" w:w="3800"/>
          </w:tcPr>
          <w:p>
            <w:pPr>
              <w:jc w:val="left"/>
            </w:pPr>
            <w:r>
              <w:rPr>
                <w:b w:val="false"/>
                <w:bCs w:val="false"/>
                <w:sz w:val="18"/>
                <w:szCs w:val="18"/>
              </w:rPr>
              <w:t xml:space="preserve">Plain, confident comparison — no gimmick, just the facts stacked clearly.</w:t>
            </w:r>
          </w:p>
        </w:tc>
      </w:tr>
      <w:tr>
        <w:tc>
          <w:tcPr>
            <w:tcW w:type="dxa" w:w="2000"/>
          </w:tcPr>
          <w:p>
            <w:pPr>
              <w:jc w:val="left"/>
            </w:pPr>
            <w:r>
              <w:rPr>
                <w:b/>
                <w:bCs/>
                <w:sz w:val="18"/>
                <w:szCs w:val="18"/>
              </w:rPr>
              <w:t xml:space="preserve">Quantified benefit</w:t>
            </w:r>
          </w:p>
        </w:tc>
        <w:tc>
          <w:tcPr>
            <w:tcW w:type="dxa" w:w="4200"/>
          </w:tcPr>
          <w:p>
            <w:pPr>
              <w:jc w:val="left"/>
            </w:pPr>
            <w:r>
              <w:rPr>
                <w:b w:val="false"/>
                <w:bCs w:val="false"/>
                <w:sz w:val="18"/>
                <w:szCs w:val="18"/>
              </w:rPr>
              <w:t xml:space="preserve">3/day → 200/month. 2 tools → all 12. For $29.</w:t>
            </w:r>
          </w:p>
        </w:tc>
        <w:tc>
          <w:tcPr>
            <w:tcW w:type="dxa" w:w="3800"/>
          </w:tcPr>
          <w:p>
            <w:pPr>
              <w:jc w:val="left"/>
            </w:pPr>
            <w:r>
              <w:rPr>
                <w:b w:val="false"/>
                <w:bCs w:val="false"/>
                <w:sz w:val="18"/>
                <w:szCs w:val="18"/>
              </w:rPr>
              <w:t xml:space="preserve">Leads with the before/after numbers — good for users who already hit the free limit.</w:t>
            </w:r>
          </w:p>
        </w:tc>
      </w:tr>
      <w:tr>
        <w:tc>
          <w:tcPr>
            <w:tcW w:type="dxa" w:w="2000"/>
          </w:tcPr>
          <w:p>
            <w:pPr>
              <w:jc w:val="left"/>
            </w:pPr>
            <w:r>
              <w:rPr>
                <w:b/>
                <w:bCs/>
                <w:sz w:val="18"/>
                <w:szCs w:val="18"/>
              </w:rPr>
              <w:t xml:space="preserve">Loss-aversion (use sparingly)</w:t>
            </w:r>
          </w:p>
        </w:tc>
        <w:tc>
          <w:tcPr>
            <w:tcW w:type="dxa" w:w="4200"/>
          </w:tcPr>
          <w:p>
            <w:pPr>
              <w:jc w:val="left"/>
            </w:pPr>
            <w:r>
              <w:rPr>
                <w:b w:val="false"/>
                <w:bCs w:val="false"/>
                <w:sz w:val="18"/>
                <w:szCs w:val="18"/>
              </w:rPr>
              <w:t xml:space="preserve">You've used all 3 free generations today. Upgrade now so tomorrow isn't the only option.</w:t>
            </w:r>
          </w:p>
        </w:tc>
        <w:tc>
          <w:tcPr>
            <w:tcW w:type="dxa" w:w="3800"/>
          </w:tcPr>
          <w:p>
            <w:pPr>
              <w:jc w:val="left"/>
            </w:pPr>
            <w:r>
              <w:rPr>
                <w:b w:val="false"/>
                <w:bCs w:val="false"/>
                <w:sz w:val="18"/>
                <w:szCs w:val="18"/>
              </w:rPr>
              <w:t xml:space="preserve">Only show this once the daily limit is actually hit — otherwise it reads as manipulative.</w:t>
            </w:r>
          </w:p>
        </w:tc>
      </w:tr>
    </w:tbl>
    <w:p>
      <w:pPr>
        <w:spacing w:after="200"/>
      </w:pPr>
    </w:p>
    <w:p>
      <w:pPr>
        <w:spacing w:after="150"/>
      </w:pPr>
      <w:r>
        <w:t xml:space="preserve">Recommendation: lead with the cost-anchor or ROI framing lines for the always-visible CTAs (sidebar, banner), and reserve the loss-aversion line specifically for the moment someone actually hits their daily limit — using it everywhere else risks feeling pushy given this traffic is coming from paid ads and first impressions matter.</w:t>
      </w:r>
    </w:p>
    <w:p>
      <w:pPr>
        <w:pStyle w:val="Heading1"/>
        <w:spacing w:after="200" w:before="400"/>
      </w:pPr>
      <w:r>
        <w:t xml:space="preserve">6. Current state — confirmed via this week's testing</w:t>
      </w:r>
    </w:p>
    <w:p>
      <w:pPr>
        <w:spacing w:after="150"/>
      </w:pPr>
      <w:r>
        <w:t xml:space="preserve">A full positive/negative test pass was run against live production this week (43 test cases, 40 clean — see docs/testing/2026-07-19-full-test-report.md for the full breakdown). In short: all 12 tools generate correctly, quota and tool-access gating is enforced server-side (not just hidden in the UI), Stripe checkout reaches real live-mode sessions, and a full 32-table database schema audit found no drift between the code and the live database. Three low-risk gaps were found in the registration endpoint (no server-side password-confirmation or email-format check) — flagged for your decision, not yet fixed.</w:t>
      </w:r>
    </w:p>
    <w:p>
      <w:pPr>
        <w:pStyle w:val="Heading1"/>
        <w:spacing w:after="200" w:before="400"/>
      </w:pPr>
      <w:r>
        <w:t xml:space="preserve">7. Open decisions for you to review</w:t>
      </w:r>
    </w:p>
    <w:p>
      <w:pPr>
        <w:pStyle w:val="ListParagraph"/>
        <w:numPr>
          <w:ilvl w:val="0"/>
          <w:numId w:val="1"/>
        </w:numPr>
        <w:spacing w:after="80"/>
      </w:pPr>
      <w:r>
        <w:t xml:space="preserve">Pick (or edit) one of the CTA lines in section 5 to roll out across the site.</w:t>
      </w:r>
    </w:p>
    <w:p>
      <w:pPr>
        <w:pStyle w:val="ListParagraph"/>
        <w:numPr>
          <w:ilvl w:val="0"/>
          <w:numId w:val="1"/>
        </w:numPr>
        <w:spacing w:after="80"/>
      </w:pPr>
      <w:r>
        <w:t xml:space="preserve">Decide whether the two registration-endpoint gaps (section 6) are worth a small fix.</w:t>
      </w:r>
    </w:p>
    <w:p>
      <w:pPr>
        <w:pStyle w:val="ListParagraph"/>
        <w:numPr>
          <w:ilvl w:val="0"/>
          <w:numId w:val="1"/>
        </w:numPr>
        <w:spacing w:after="80"/>
      </w:pPr>
      <w:r>
        <w:t xml:space="preserve">Decide whether to also add a visual/graphic treatment to the upgrade CTAs (icon-based banner, matching the existing purple/blue gradient style, is the quickest option — a custom illustration would need a separate design pass).</w:t>
      </w:r>
    </w:p>
    <w:p>
      <w:pPr>
        <w:pStyle w:val="ListParagraph"/>
        <w:numPr>
          <w:ilvl w:val="0"/>
          <w:numId w:val="1"/>
        </w:numPr>
        <w:spacing w:after="80"/>
      </w:pPr>
      <w:r>
        <w:t xml:space="preserve">Confirm whether the daily-quota reset should stay UTC-anchored (simplest, what's live now) or be converted to each user's local timezone (more accurate per-user, but requires storing a timezone on the account).</w:t>
      </w:r>
    </w:p>
    <w:p>
      <w:pPr>
        <w:pStyle w:val="Heading1"/>
        <w:spacing w:after="200" w:before="400"/>
      </w:pPr>
      <w:r>
        <w:t xml:space="preserve">8. Enterprise "Unlimited" cost exposure — identified and fixed (added same day)</w:t>
      </w:r>
    </w:p>
    <w:p>
      <w:pPr>
        <w:spacing w:after="150"/>
      </w:pPr>
      <w:r>
        <w:t xml:space="preserve">You flagged a real gap after reviewing the billing page: the Enterprise plan promises "Unlimited generations," but every generation is a real, metered Anthropic API call — 9 of the 12 tools run on Sonnet ($3/$15 per million input/output tokens; Haiku tools are $1/$5). The code had zero enforcement on Enterprise: no cap, no throttle, allowed unconditionally.</w:t>
      </w:r>
    </w:p>
    <w:p>
      <w:pPr>
        <w:spacing w:after="150"/>
      </w:pPr>
      <w:r>
        <w:t xml:space="preserve">The math: worst case, a Sonnet generation costs about $0.03. At $99/month, the account's own revenue covers roughly 3,300 generations before the API cost exceeds what the customer paid — about 110/day, or under 5/hour running continuously. A single heavy or scripted account could blow past that with no ceiling in the code to stop it, and since Anthropic's rate limit is shared account-wide, one such user could also slow things down for every other customer on the platform, not just cost money.</w:t>
      </w:r>
    </w:p>
    <w:p>
      <w:pPr>
        <w:spacing w:after="150"/>
      </w:pPr>
      <w:r>
        <w:t xml:space="preserve">Fix shipped: a hidden fair-use ceiling (3,000 generations/month) now enforced server-side for Enterprise. It's deliberately invisible in the dashboard — genuinely heavy legitimate use never approaches it, so nothing changes for real customers, and the exact number isn't published (so it can't be gamed by probing for it). If it's ever hit, the response is a friendly "contact us to work out your usage volume" rather than a hard cutoff — this should be treated as a conversation with that customer, not an automated block.</w:t>
      </w:r>
    </w:p>
    <w:p>
      <w:pPr>
        <w:spacing w:after="150"/>
      </w:pPr>
      <w:r>
        <w:t xml:space="preserve">Also updated: the pricing copy on the landing page, the dashboard billing page, and the /lp variant all now say "Unlimited generations (fair use)" instead of a bare "Unlimited," plus a new Billing FAQ entry explaining what that means in plain terms. This keeps the marketing promise honest without publishing the internal ceiling.</w:t>
      </w:r>
    </w:p>
    <w:p>
      <w:pPr>
        <w:pStyle w:val="ListParagraph"/>
        <w:numPr>
          <w:ilvl w:val="0"/>
          <w:numId w:val="1"/>
        </w:numPr>
        <w:spacing w:after="80"/>
      </w:pPr>
      <w:r>
        <w:t xml:space="preserve">Not done yet, optional: a per-minute/burst rate limit across all plans (Free/Pro/Enterprise) to stop scripted abuse regardless of monthly total — there's already an unused rate_limits table in the schema, provisioned but never wired up, which would be the natural place to implement this if you want it.</w:t>
      </w:r>
    </w:p>
    <w:sectPr>
      <w:pgSz w:w="12240" w:h="15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2026-07-19T16:24:07.222Z</dcterms:created>
  <dcterms:modified xsi:type="dcterms:W3CDTF">2026-07-19T16:24:07.222Z</dcterms:modified>
</cp:coreProperties>
</file>

<file path=docProps/custom.xml><?xml version="1.0" encoding="utf-8"?>
<Properties xmlns="http://schemas.openxmlformats.org/officeDocument/2006/custom-properties" xmlns:vt="http://schemas.openxmlformats.org/officeDocument/2006/docPropsVTypes"/>
</file>